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213995</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230505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48895</wp:posOffset>
            </wp:positionV>
            <wp:extent cx="1427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84455</wp:posOffset>
            </wp:positionV>
            <wp:extent cx="1427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680" w:hanging="675"/>
        <w:spacing w:after="0"/>
        <w:tabs>
          <w:tab w:leader="none" w:pos="6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62" w:lineRule="exact"/>
        <w:rPr>
          <w:rFonts w:ascii="MS PGothic" w:cs="MS PGothic" w:eastAsia="MS PGothic" w:hAnsi="MS PGothic"/>
          <w:sz w:val="16"/>
          <w:szCs w:val="16"/>
          <w:color w:val="auto"/>
          <w:highlight w:val="black"/>
        </w:rPr>
      </w:pPr>
    </w:p>
    <w:p>
      <w:pPr>
        <w:ind w:left="370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quarterly period ended September 30, 2021</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680" w:hanging="675"/>
        <w:spacing w:after="0"/>
        <w:tabs>
          <w:tab w:leader="none" w:pos="6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74" w:lineRule="exact"/>
        <w:rPr>
          <w:rFonts w:ascii="MS PGothic" w:cs="MS PGothic" w:eastAsia="MS PGothic" w:hAnsi="MS PGothic"/>
          <w:sz w:val="16"/>
          <w:szCs w:val="16"/>
          <w:color w:val="auto"/>
          <w:highlight w:val="black"/>
        </w:rPr>
      </w:pPr>
    </w:p>
    <w:p>
      <w:pPr>
        <w:ind w:left="330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transition period from ____________ to ____________</w:t>
      </w:r>
    </w:p>
    <w:p>
      <w:pPr>
        <w:spacing w:after="0" w:line="69" w:lineRule="exact"/>
        <w:rPr>
          <w:rFonts w:ascii="MS PGothic" w:cs="MS PGothic" w:eastAsia="MS PGothic" w:hAnsi="MS PGothic"/>
          <w:sz w:val="16"/>
          <w:szCs w:val="16"/>
          <w:color w:val="auto"/>
          <w:highlight w:val="black"/>
        </w:rPr>
      </w:pPr>
    </w:p>
    <w:p>
      <w:pPr>
        <w:ind w:left="424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80645</wp:posOffset>
            </wp:positionV>
            <wp:extent cx="1427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Venus Concept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59690</wp:posOffset>
            </wp:positionV>
            <wp:extent cx="1427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47" w:lineRule="exact"/>
        <w:rPr>
          <w:sz w:val="24"/>
          <w:szCs w:val="24"/>
          <w:color w:val="auto"/>
        </w:rPr>
      </w:pPr>
    </w:p>
    <w:tbl>
      <w:tblPr>
        <w:tblLayout w:type="fixed"/>
        <w:tblInd w:w="2020" w:type="dxa"/>
        <w:tblCellMar>
          <w:top w:w="0" w:type="dxa"/>
          <w:left w:w="0" w:type="dxa"/>
          <w:bottom w:w="0" w:type="dxa"/>
          <w:right w:w="0" w:type="dxa"/>
        </w:tblCellMar>
      </w:tblPr>
      <w:tr>
        <w:trPr>
          <w:trHeight w:val="211"/>
        </w:trPr>
        <w:tc>
          <w:tcPr>
            <w:tcW w:w="3760" w:type="dxa"/>
            <w:vAlign w:val="bottom"/>
          </w:tcPr>
          <w:p>
            <w:pPr>
              <w:jc w:val="center"/>
              <w:ind w:right="209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2110"/>
              <w:spacing w:after="0"/>
              <w:rPr>
                <w:sz w:val="20"/>
                <w:szCs w:val="20"/>
                <w:color w:val="auto"/>
              </w:rPr>
            </w:pPr>
            <w:r>
              <w:rPr>
                <w:rFonts w:ascii="Arial" w:cs="Arial" w:eastAsia="Arial" w:hAnsi="Arial"/>
                <w:sz w:val="18"/>
                <w:szCs w:val="18"/>
                <w:b w:val="1"/>
                <w:bCs w:val="1"/>
                <w:color w:val="auto"/>
                <w:w w:val="87"/>
              </w:rPr>
              <w:t>06-1681204</w:t>
            </w:r>
          </w:p>
        </w:tc>
      </w:tr>
      <w:tr>
        <w:trPr>
          <w:trHeight w:val="131"/>
        </w:trPr>
        <w:tc>
          <w:tcPr>
            <w:tcW w:w="3760" w:type="dxa"/>
            <w:vAlign w:val="bottom"/>
          </w:tcPr>
          <w:p>
            <w:pPr>
              <w:jc w:val="center"/>
              <w:ind w:right="2090"/>
              <w:spacing w:after="0" w:line="132" w:lineRule="exact"/>
              <w:rPr>
                <w:sz w:val="20"/>
                <w:szCs w:val="20"/>
                <w:color w:val="auto"/>
              </w:rPr>
            </w:pPr>
            <w:r>
              <w:rPr>
                <w:rFonts w:ascii="Arial" w:cs="Arial" w:eastAsia="Arial" w:hAnsi="Arial"/>
                <w:sz w:val="12"/>
                <w:szCs w:val="12"/>
                <w:b w:val="1"/>
                <w:bCs w:val="1"/>
                <w:color w:val="auto"/>
                <w:w w:val="92"/>
              </w:rPr>
              <w:t>(State or other jurisdiction of</w:t>
            </w:r>
          </w:p>
        </w:tc>
        <w:tc>
          <w:tcPr>
            <w:tcW w:w="3140" w:type="dxa"/>
            <w:vAlign w:val="bottom"/>
          </w:tcPr>
          <w:p>
            <w:pPr>
              <w:jc w:val="center"/>
              <w:ind w:left="2110"/>
              <w:spacing w:after="0" w:line="132" w:lineRule="exact"/>
              <w:rPr>
                <w:sz w:val="20"/>
                <w:szCs w:val="20"/>
                <w:color w:val="auto"/>
              </w:rPr>
            </w:pPr>
            <w:r>
              <w:rPr>
                <w:rFonts w:ascii="Arial" w:cs="Arial" w:eastAsia="Arial" w:hAnsi="Arial"/>
                <w:sz w:val="12"/>
                <w:szCs w:val="12"/>
                <w:b w:val="1"/>
                <w:bCs w:val="1"/>
                <w:color w:val="auto"/>
                <w:w w:val="95"/>
              </w:rPr>
              <w:t>(I.R.S. Employer</w:t>
            </w:r>
          </w:p>
        </w:tc>
      </w:tr>
      <w:tr>
        <w:trPr>
          <w:trHeight w:val="159"/>
        </w:trPr>
        <w:tc>
          <w:tcPr>
            <w:tcW w:w="3760" w:type="dxa"/>
            <w:vAlign w:val="bottom"/>
          </w:tcPr>
          <w:p>
            <w:pPr>
              <w:jc w:val="center"/>
              <w:ind w:right="2090"/>
              <w:spacing w:after="0"/>
              <w:rPr>
                <w:sz w:val="20"/>
                <w:szCs w:val="20"/>
                <w:color w:val="auto"/>
              </w:rPr>
            </w:pPr>
            <w:r>
              <w:rPr>
                <w:rFonts w:ascii="Arial" w:cs="Arial" w:eastAsia="Arial" w:hAnsi="Arial"/>
                <w:sz w:val="12"/>
                <w:szCs w:val="12"/>
                <w:b w:val="1"/>
                <w:bCs w:val="1"/>
                <w:color w:val="auto"/>
                <w:w w:val="93"/>
              </w:rPr>
              <w:t>incorporation or organization)</w:t>
            </w:r>
          </w:p>
        </w:tc>
        <w:tc>
          <w:tcPr>
            <w:tcW w:w="3140" w:type="dxa"/>
            <w:vAlign w:val="bottom"/>
          </w:tcPr>
          <w:p>
            <w:pPr>
              <w:jc w:val="center"/>
              <w:ind w:left="2110"/>
              <w:spacing w:after="0"/>
              <w:rPr>
                <w:sz w:val="20"/>
                <w:szCs w:val="20"/>
                <w:color w:val="auto"/>
              </w:rPr>
            </w:pPr>
            <w:r>
              <w:rPr>
                <w:rFonts w:ascii="Arial" w:cs="Arial" w:eastAsia="Arial" w:hAnsi="Arial"/>
                <w:sz w:val="12"/>
                <w:szCs w:val="12"/>
                <w:b w:val="1"/>
                <w:bCs w:val="1"/>
                <w:color w:val="auto"/>
                <w:w w:val="94"/>
              </w:rPr>
              <w:t>Identification No.)</w:t>
            </w:r>
          </w:p>
        </w:tc>
      </w:tr>
    </w:tbl>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235 Yorkland Blvd., Suite 900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 M2J 4Y8</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(877) 848-8430</w:t>
      </w:r>
    </w:p>
    <w:p>
      <w:pPr>
        <w:jc w:val="center"/>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65405</wp:posOffset>
            </wp:positionV>
            <wp:extent cx="1427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800" w:type="dxa"/>
            <w:vAlign w:val="bottom"/>
          </w:tcPr>
          <w:p>
            <w:pPr>
              <w:spacing w:after="0"/>
              <w:rPr>
                <w:sz w:val="17"/>
                <w:szCs w:val="17"/>
                <w:color w:val="auto"/>
              </w:rPr>
            </w:pPr>
          </w:p>
        </w:tc>
        <w:tc>
          <w:tcPr>
            <w:tcW w:w="7440" w:type="dxa"/>
            <w:vAlign w:val="bottom"/>
            <w:gridSpan w:val="5"/>
          </w:tcPr>
          <w:p>
            <w:pPr>
              <w:ind w:left="16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289"/>
        </w:trPr>
        <w:tc>
          <w:tcPr>
            <w:tcW w:w="3800" w:type="dxa"/>
            <w:vAlign w:val="bottom"/>
          </w:tcPr>
          <w:p>
            <w:pPr>
              <w:jc w:val="center"/>
              <w:ind w:left="601"/>
              <w:spacing w:after="0"/>
              <w:rPr>
                <w:sz w:val="20"/>
                <w:szCs w:val="20"/>
                <w:color w:val="auto"/>
              </w:rPr>
            </w:pPr>
            <w:r>
              <w:rPr>
                <w:rFonts w:ascii="Arial" w:cs="Arial" w:eastAsia="Arial" w:hAnsi="Arial"/>
                <w:sz w:val="16"/>
                <w:szCs w:val="16"/>
                <w:b w:val="1"/>
                <w:bCs w:val="1"/>
                <w:color w:val="auto"/>
                <w:w w:val="87"/>
              </w:rPr>
              <w:t>Title of each class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Trading Symbol</w:t>
            </w:r>
          </w:p>
        </w:tc>
        <w:tc>
          <w:tcPr>
            <w:tcW w:w="4680" w:type="dxa"/>
            <w:vAlign w:val="bottom"/>
          </w:tcPr>
          <w:p>
            <w:pPr>
              <w:ind w:left="88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33"/>
        </w:trPr>
        <w:tc>
          <w:tcPr>
            <w:tcW w:w="3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9"/>
        </w:trPr>
        <w:tc>
          <w:tcPr>
            <w:tcW w:w="3800" w:type="dxa"/>
            <w:vAlign w:val="bottom"/>
          </w:tcPr>
          <w:p>
            <w:pPr>
              <w:jc w:val="center"/>
              <w:ind w:left="601"/>
              <w:spacing w:after="0"/>
              <w:rPr>
                <w:sz w:val="20"/>
                <w:szCs w:val="20"/>
                <w:color w:val="auto"/>
              </w:rPr>
            </w:pPr>
            <w:r>
              <w:rPr>
                <w:rFonts w:ascii="Arial" w:cs="Arial" w:eastAsia="Arial" w:hAnsi="Arial"/>
                <w:sz w:val="16"/>
                <w:szCs w:val="16"/>
                <w:color w:val="auto"/>
                <w:w w:val="87"/>
              </w:rPr>
              <w:t>Common Stock, $0.0001 par value per share</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color w:val="auto"/>
                <w:w w:val="96"/>
              </w:rPr>
              <w:t>VERO</w:t>
            </w:r>
          </w:p>
        </w:tc>
        <w:tc>
          <w:tcPr>
            <w:tcW w:w="4680" w:type="dxa"/>
            <w:vAlign w:val="bottom"/>
          </w:tcPr>
          <w:p>
            <w:pPr>
              <w:ind w:left="1360"/>
              <w:spacing w:after="0"/>
              <w:rPr>
                <w:sz w:val="20"/>
                <w:szCs w:val="20"/>
                <w:color w:val="auto"/>
              </w:rPr>
            </w:pPr>
            <w:r>
              <w:rPr>
                <w:rFonts w:ascii="Arial" w:cs="Arial" w:eastAsia="Arial" w:hAnsi="Arial"/>
                <w:sz w:val="18"/>
                <w:szCs w:val="18"/>
                <w:color w:val="auto"/>
              </w:rPr>
              <w:t>The Nasdaq Global Market</w:t>
            </w:r>
          </w:p>
        </w:tc>
      </w:tr>
    </w:tbl>
    <w:p>
      <w:pPr>
        <w:spacing w:after="0" w:line="96" w:lineRule="exact"/>
        <w:rPr>
          <w:sz w:val="24"/>
          <w:szCs w:val="24"/>
          <w:color w:val="auto"/>
        </w:rPr>
      </w:pPr>
    </w:p>
    <w:p>
      <w:pPr>
        <w:ind w:right="300" w:firstLine="51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ind w:right="20" w:firstLine="510"/>
        <w:spacing w:after="0" w:line="20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ind w:right="120" w:firstLine="510"/>
        <w:spacing w:after="0" w:line="3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18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6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7" w:lineRule="exact"/>
        <w:rPr>
          <w:sz w:val="24"/>
          <w:szCs w:val="24"/>
          <w:color w:val="auto"/>
        </w:rPr>
      </w:pPr>
    </w:p>
    <w:p>
      <w:pPr>
        <w:ind w:right="360" w:firstLine="51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ind w:left="520" w:right="2380"/>
        <w:spacing w:after="0" w:line="252"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9, 2021 the registrant had 54,162,629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3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80010</wp:posOffset>
            </wp:positionV>
            <wp:extent cx="7136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367665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660" w:type="dxa"/>
            <w:vAlign w:val="bottom"/>
            <w:gridSpan w:val="5"/>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7560" w:type="dxa"/>
            <w:vAlign w:val="bottom"/>
            <w:gridSpan w:val="14"/>
            <w:vMerge w:val="restart"/>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360" w:type="dxa"/>
            <w:vAlign w:val="bottom"/>
            <w:gridSpan w:val="2"/>
            <w:vMerge w:val="continue"/>
          </w:tcPr>
          <w:p>
            <w:pPr>
              <w:spacing w:after="0"/>
              <w:rPr>
                <w:sz w:val="14"/>
                <w:szCs w:val="14"/>
                <w:color w:val="auto"/>
              </w:rPr>
            </w:pPr>
          </w:p>
        </w:tc>
        <w:tc>
          <w:tcPr>
            <w:tcW w:w="1660" w:type="dxa"/>
            <w:vAlign w:val="bottom"/>
            <w:tcBorders>
              <w:bottom w:val="single" w:sz="8" w:color="0000EE"/>
            </w:tcBorders>
            <w:gridSpan w:val="5"/>
            <w:vMerge w:val="continue"/>
          </w:tcPr>
          <w:p>
            <w:pPr>
              <w:spacing w:after="0"/>
              <w:rPr>
                <w:sz w:val="14"/>
                <w:szCs w:val="14"/>
                <w:color w:val="auto"/>
              </w:rPr>
            </w:pPr>
          </w:p>
        </w:tc>
        <w:tc>
          <w:tcPr>
            <w:tcW w:w="7560" w:type="dxa"/>
            <w:vAlign w:val="bottom"/>
            <w:gridSpan w:val="14"/>
            <w:vMerge w:val="continue"/>
          </w:tcPr>
          <w:p>
            <w:pPr>
              <w:spacing w:after="0"/>
              <w:rPr>
                <w:sz w:val="14"/>
                <w:szCs w:val="14"/>
                <w:color w:val="auto"/>
              </w:rPr>
            </w:pPr>
          </w:p>
        </w:tc>
        <w:tc>
          <w:tcPr>
            <w:tcW w:w="6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Item 1.</w:t>
            </w:r>
          </w:p>
        </w:tc>
        <w:tc>
          <w:tcPr>
            <w:tcW w:w="9220" w:type="dxa"/>
            <w:vAlign w:val="bottom"/>
            <w:gridSpan w:val="19"/>
          </w:tcPr>
          <w:p>
            <w:pPr>
              <w:spacing w:after="0" w:line="190"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Condensed Consolidated Financial Statements (unaudited)</w:t>
              </w:r>
            </w:hyperlink>
          </w:p>
        </w:tc>
        <w:tc>
          <w:tcPr>
            <w:tcW w:w="6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60" w:type="dxa"/>
            <w:vAlign w:val="bottom"/>
            <w:tcBorders>
              <w:top w:val="single" w:sz="8" w:color="0000EE"/>
              <w:bottom w:val="single" w:sz="8" w:color="0000EE"/>
            </w:tcBorders>
            <w:gridSpan w:val="9"/>
          </w:tcPr>
          <w:p>
            <w:pPr>
              <w:spacing w:after="0" w:line="190"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Balance Sheets</w:t>
              </w:r>
            </w:hyperlink>
          </w:p>
        </w:tc>
        <w:tc>
          <w:tcPr>
            <w:tcW w:w="1520" w:type="dxa"/>
            <w:vAlign w:val="bottom"/>
            <w:tcBorders>
              <w:top w:val="single" w:sz="8" w:color="0000EE"/>
            </w:tcBorders>
            <w:gridSpan w:val="6"/>
          </w:tcPr>
          <w:p>
            <w:pPr>
              <w:spacing w:after="0"/>
              <w:rPr>
                <w:sz w:val="16"/>
                <w:szCs w:val="16"/>
                <w:color w:val="auto"/>
              </w:rPr>
            </w:pPr>
          </w:p>
        </w:tc>
        <w:tc>
          <w:tcPr>
            <w:tcW w:w="4840" w:type="dxa"/>
            <w:vAlign w:val="bottom"/>
            <w:gridSpan w:val="4"/>
          </w:tcPr>
          <w:p>
            <w:pPr>
              <w:spacing w:after="0"/>
              <w:rPr>
                <w:sz w:val="16"/>
                <w:szCs w:val="16"/>
                <w:color w:val="auto"/>
              </w:rPr>
            </w:pPr>
          </w:p>
        </w:tc>
        <w:tc>
          <w:tcPr>
            <w:tcW w:w="6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20" w:type="dxa"/>
            <w:vAlign w:val="bottom"/>
            <w:gridSpan w:val="19"/>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6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20" w:type="dxa"/>
            <w:vAlign w:val="bottom"/>
            <w:gridSpan w:val="19"/>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w:t>
              </w:r>
            </w:hyperlink>
          </w:p>
        </w:tc>
        <w:tc>
          <w:tcPr>
            <w:tcW w:w="6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80" w:type="dxa"/>
            <w:vAlign w:val="bottom"/>
            <w:tcBorders>
              <w:bottom w:val="single" w:sz="8" w:color="0000EE"/>
            </w:tcBorders>
            <w:gridSpan w:val="14"/>
          </w:tcPr>
          <w:p>
            <w:pPr>
              <w:spacing w:after="0" w:line="190"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Stockholders’ Equity</w:t>
              </w:r>
            </w:hyperlink>
          </w:p>
        </w:tc>
        <w:tc>
          <w:tcPr>
            <w:tcW w:w="4940" w:type="dxa"/>
            <w:vAlign w:val="bottom"/>
            <w:gridSpan w:val="5"/>
          </w:tcPr>
          <w:p>
            <w:pPr>
              <w:spacing w:after="0"/>
              <w:rPr>
                <w:sz w:val="16"/>
                <w:szCs w:val="16"/>
                <w:color w:val="auto"/>
              </w:rPr>
            </w:pPr>
          </w:p>
        </w:tc>
        <w:tc>
          <w:tcPr>
            <w:tcW w:w="6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20" w:type="dxa"/>
            <w:vAlign w:val="bottom"/>
            <w:tcBorders>
              <w:bottom w:val="single" w:sz="8" w:color="0000EE"/>
            </w:tcBorders>
            <w:gridSpan w:val="11"/>
          </w:tcPr>
          <w:p>
            <w:pPr>
              <w:spacing w:after="0" w:line="190"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w:t>
              </w:r>
            </w:hyperlink>
          </w:p>
        </w:tc>
        <w:tc>
          <w:tcPr>
            <w:tcW w:w="5600" w:type="dxa"/>
            <w:vAlign w:val="bottom"/>
            <w:gridSpan w:val="8"/>
          </w:tcPr>
          <w:p>
            <w:pPr>
              <w:spacing w:after="0"/>
              <w:rPr>
                <w:sz w:val="16"/>
                <w:szCs w:val="16"/>
                <w:color w:val="auto"/>
              </w:rPr>
            </w:pPr>
          </w:p>
        </w:tc>
        <w:tc>
          <w:tcPr>
            <w:tcW w:w="6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20" w:type="dxa"/>
            <w:vAlign w:val="bottom"/>
            <w:gridSpan w:val="19"/>
          </w:tcPr>
          <w:p>
            <w:pPr>
              <w:spacing w:after="0" w:line="190"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6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Item 2.</w:t>
            </w:r>
          </w:p>
        </w:tc>
        <w:tc>
          <w:tcPr>
            <w:tcW w:w="9220" w:type="dxa"/>
            <w:vAlign w:val="bottom"/>
            <w:gridSpan w:val="19"/>
          </w:tcPr>
          <w:p>
            <w:pPr>
              <w:spacing w:after="0" w:line="190"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Management’s Discussion and Analysis of Financial Condition and Results of Operations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Item 3.</w:t>
            </w:r>
          </w:p>
        </w:tc>
        <w:tc>
          <w:tcPr>
            <w:tcW w:w="6640" w:type="dxa"/>
            <w:vAlign w:val="bottom"/>
            <w:tcBorders>
              <w:top w:val="single" w:sz="8" w:color="0000EE"/>
            </w:tcBorders>
            <w:gridSpan w:val="18"/>
          </w:tcPr>
          <w:p>
            <w:pPr>
              <w:spacing w:after="0" w:line="190"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Quantitative and Qualitative Disclosures About Market Risk</w:t>
              </w:r>
            </w:hyperlink>
          </w:p>
        </w:tc>
        <w:tc>
          <w:tcPr>
            <w:tcW w:w="2580" w:type="dxa"/>
            <w:vAlign w:val="bottom"/>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Item 4.</w:t>
            </w:r>
          </w:p>
        </w:tc>
        <w:tc>
          <w:tcPr>
            <w:tcW w:w="1860" w:type="dxa"/>
            <w:vAlign w:val="bottom"/>
            <w:tcBorders>
              <w:top w:val="single" w:sz="8" w:color="0000EE"/>
              <w:bottom w:val="single" w:sz="8" w:color="0000EE"/>
            </w:tcBorders>
            <w:gridSpan w:val="7"/>
          </w:tcPr>
          <w:p>
            <w:pPr>
              <w:spacing w:after="0" w:line="190" w:lineRule="exact"/>
              <w:rPr>
                <w:rFonts w:ascii="Arial" w:cs="Arial" w:eastAsia="Arial" w:hAnsi="Arial"/>
                <w:sz w:val="18"/>
                <w:szCs w:val="18"/>
                <w:b w:val="1"/>
                <w:bCs w:val="1"/>
                <w:color w:val="0000EE"/>
                <w:w w:val="85"/>
              </w:rPr>
            </w:pPr>
            <w:hyperlink w:anchor="page47">
              <w:r>
                <w:rPr>
                  <w:rFonts w:ascii="Arial" w:cs="Arial" w:eastAsia="Arial" w:hAnsi="Arial"/>
                  <w:sz w:val="18"/>
                  <w:szCs w:val="18"/>
                  <w:b w:val="1"/>
                  <w:bCs w:val="1"/>
                  <w:color w:val="0000EE"/>
                  <w:w w:val="85"/>
                </w:rPr>
                <w:t>Controls and Procedures</w:t>
              </w:r>
            </w:hyperlink>
          </w:p>
        </w:tc>
        <w:tc>
          <w:tcPr>
            <w:tcW w:w="2680" w:type="dxa"/>
            <w:vAlign w:val="bottom"/>
            <w:tcBorders>
              <w:top w:val="single" w:sz="8" w:color="0000EE"/>
            </w:tcBorders>
            <w:gridSpan w:val="10"/>
          </w:tcPr>
          <w:p>
            <w:pPr>
              <w:spacing w:after="0"/>
              <w:rPr>
                <w:sz w:val="16"/>
                <w:szCs w:val="16"/>
                <w:color w:val="auto"/>
              </w:rPr>
            </w:pPr>
          </w:p>
        </w:tc>
        <w:tc>
          <w:tcPr>
            <w:tcW w:w="4680" w:type="dxa"/>
            <w:vAlign w:val="bottom"/>
            <w:gridSpan w:val="2"/>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PART II.</w:t>
            </w:r>
          </w:p>
        </w:tc>
        <w:tc>
          <w:tcPr>
            <w:tcW w:w="9220" w:type="dxa"/>
            <w:vAlign w:val="bottom"/>
            <w:gridSpan w:val="19"/>
          </w:tcPr>
          <w:p>
            <w:pPr>
              <w:spacing w:after="0" w:line="190"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Item 1.</w:t>
            </w:r>
          </w:p>
        </w:tc>
        <w:tc>
          <w:tcPr>
            <w:tcW w:w="1400" w:type="dxa"/>
            <w:vAlign w:val="bottom"/>
            <w:tcBorders>
              <w:top w:val="single" w:sz="8" w:color="0000EE"/>
            </w:tcBorders>
            <w:gridSpan w:val="4"/>
          </w:tcPr>
          <w:p>
            <w:pPr>
              <w:spacing w:after="0" w:line="190" w:lineRule="exact"/>
              <w:rPr>
                <w:rFonts w:ascii="Arial" w:cs="Arial" w:eastAsia="Arial" w:hAnsi="Arial"/>
                <w:sz w:val="18"/>
                <w:szCs w:val="18"/>
                <w:b w:val="1"/>
                <w:bCs w:val="1"/>
                <w:color w:val="0000EE"/>
                <w:w w:val="86"/>
              </w:rPr>
            </w:pPr>
            <w:hyperlink w:anchor="page48">
              <w:r>
                <w:rPr>
                  <w:rFonts w:ascii="Arial" w:cs="Arial" w:eastAsia="Arial" w:hAnsi="Arial"/>
                  <w:sz w:val="18"/>
                  <w:szCs w:val="18"/>
                  <w:b w:val="1"/>
                  <w:bCs w:val="1"/>
                  <w:color w:val="0000EE"/>
                  <w:w w:val="86"/>
                </w:rPr>
                <w:t>Legal Proceedings</w:t>
              </w:r>
            </w:hyperlink>
          </w:p>
        </w:tc>
        <w:tc>
          <w:tcPr>
            <w:tcW w:w="7820" w:type="dxa"/>
            <w:vAlign w:val="bottom"/>
            <w:gridSpan w:val="15"/>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Item 1A.</w:t>
            </w:r>
          </w:p>
        </w:tc>
        <w:tc>
          <w:tcPr>
            <w:tcW w:w="1360" w:type="dxa"/>
            <w:vAlign w:val="bottom"/>
            <w:tcBorders>
              <w:top w:val="single" w:sz="8" w:color="0000EE"/>
            </w:tcBorders>
            <w:gridSpan w:val="3"/>
          </w:tcPr>
          <w:p>
            <w:pPr>
              <w:spacing w:after="0" w:line="190"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Risk Factors</w:t>
              </w:r>
            </w:hyperlink>
          </w:p>
        </w:tc>
        <w:tc>
          <w:tcPr>
            <w:tcW w:w="7860" w:type="dxa"/>
            <w:vAlign w:val="bottom"/>
            <w:gridSpan w:val="16"/>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Item 2.</w:t>
            </w:r>
          </w:p>
        </w:tc>
        <w:tc>
          <w:tcPr>
            <w:tcW w:w="9220" w:type="dxa"/>
            <w:vAlign w:val="bottom"/>
            <w:gridSpan w:val="19"/>
          </w:tcPr>
          <w:p>
            <w:pPr>
              <w:spacing w:after="0" w:line="190"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Unregistered Sales of Equity Securities and Use of Proceeds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Item 3.</w:t>
            </w:r>
          </w:p>
        </w:tc>
        <w:tc>
          <w:tcPr>
            <w:tcW w:w="2380" w:type="dxa"/>
            <w:vAlign w:val="bottom"/>
            <w:tcBorders>
              <w:top w:val="single" w:sz="8" w:color="0000EE"/>
              <w:bottom w:val="single" w:sz="8" w:color="0000EE"/>
            </w:tcBorders>
            <w:gridSpan w:val="8"/>
          </w:tcPr>
          <w:p>
            <w:pPr>
              <w:spacing w:after="0" w:line="190" w:lineRule="exact"/>
              <w:rPr>
                <w:rFonts w:ascii="Arial" w:cs="Arial" w:eastAsia="Arial" w:hAnsi="Arial"/>
                <w:sz w:val="18"/>
                <w:szCs w:val="18"/>
                <w:b w:val="1"/>
                <w:bCs w:val="1"/>
                <w:color w:val="0000EE"/>
                <w:w w:val="86"/>
              </w:rPr>
            </w:pPr>
            <w:hyperlink w:anchor="page49">
              <w:r>
                <w:rPr>
                  <w:rFonts w:ascii="Arial" w:cs="Arial" w:eastAsia="Arial" w:hAnsi="Arial"/>
                  <w:sz w:val="18"/>
                  <w:szCs w:val="18"/>
                  <w:b w:val="1"/>
                  <w:bCs w:val="1"/>
                  <w:color w:val="0000EE"/>
                  <w:w w:val="86"/>
                </w:rPr>
                <w:t>Defaults Upon Senior Securities</w:t>
              </w:r>
            </w:hyperlink>
          </w:p>
        </w:tc>
        <w:tc>
          <w:tcPr>
            <w:tcW w:w="2060" w:type="dxa"/>
            <w:vAlign w:val="bottom"/>
            <w:tcBorders>
              <w:top w:val="single" w:sz="8" w:color="0000EE"/>
            </w:tcBorders>
            <w:gridSpan w:val="8"/>
          </w:tcPr>
          <w:p>
            <w:pPr>
              <w:spacing w:after="0"/>
              <w:rPr>
                <w:sz w:val="16"/>
                <w:szCs w:val="16"/>
                <w:color w:val="auto"/>
              </w:rPr>
            </w:pPr>
          </w:p>
        </w:tc>
        <w:tc>
          <w:tcPr>
            <w:tcW w:w="4780" w:type="dxa"/>
            <w:vAlign w:val="bottom"/>
            <w:gridSpan w:val="3"/>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Item 4.</w:t>
            </w:r>
          </w:p>
        </w:tc>
        <w:tc>
          <w:tcPr>
            <w:tcW w:w="9220" w:type="dxa"/>
            <w:vAlign w:val="bottom"/>
            <w:gridSpan w:val="19"/>
          </w:tcPr>
          <w:p>
            <w:pPr>
              <w:spacing w:after="0" w:line="190"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Mine Safety Disclosures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Item 5.</w:t>
            </w:r>
          </w:p>
        </w:tc>
        <w:tc>
          <w:tcPr>
            <w:tcW w:w="1780" w:type="dxa"/>
            <w:vAlign w:val="bottom"/>
            <w:tcBorders>
              <w:top w:val="single" w:sz="8" w:color="0000EE"/>
            </w:tcBorders>
            <w:gridSpan w:val="6"/>
          </w:tcPr>
          <w:p>
            <w:pPr>
              <w:spacing w:after="0" w:line="190"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Other Information</w:t>
              </w:r>
            </w:hyperlink>
          </w:p>
        </w:tc>
        <w:tc>
          <w:tcPr>
            <w:tcW w:w="7440" w:type="dxa"/>
            <w:vAlign w:val="bottom"/>
            <w:gridSpan w:val="13"/>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Item 6.</w:t>
            </w:r>
          </w:p>
        </w:tc>
        <w:tc>
          <w:tcPr>
            <w:tcW w:w="1400" w:type="dxa"/>
            <w:vAlign w:val="bottom"/>
            <w:tcBorders>
              <w:top w:val="single" w:sz="8" w:color="0000EE"/>
            </w:tcBorders>
            <w:gridSpan w:val="4"/>
          </w:tcPr>
          <w:p>
            <w:pPr>
              <w:spacing w:after="0" w:line="190"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Exhibits</w:t>
              </w:r>
            </w:hyperlink>
          </w:p>
        </w:tc>
        <w:tc>
          <w:tcPr>
            <w:tcW w:w="7820" w:type="dxa"/>
            <w:vAlign w:val="bottom"/>
            <w:gridSpan w:val="15"/>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line="190"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Signatures</w:t>
              </w:r>
            </w:hyperlink>
          </w:p>
        </w:tc>
        <w:tc>
          <w:tcPr>
            <w:tcW w:w="62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2" w:name="page3"/>
    <w:bookmarkEnd w:id="2"/>
    <w:p>
      <w:pPr>
        <w:ind w:left="5340"/>
        <w:spacing w:after="0"/>
        <w:rPr>
          <w:sz w:val="20"/>
          <w:szCs w:val="20"/>
          <w:color w:val="auto"/>
        </w:rPr>
      </w:pPr>
      <w:r>
        <w:rPr>
          <w:rFonts w:ascii="Arial" w:cs="Arial" w:eastAsia="Arial" w:hAnsi="Arial"/>
          <w:sz w:val="18"/>
          <w:szCs w:val="18"/>
          <w:b w:val="1"/>
          <w:bCs w:val="1"/>
          <w:color w:val="auto"/>
        </w:rPr>
        <w:t>PART I</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1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VENUS CONCEPT INC.</w:t>
      </w:r>
    </w:p>
    <w:p>
      <w:pPr>
        <w:spacing w:after="0" w:line="10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shares and per share data)</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September 30,</w:t>
            </w: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7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519"/>
              <w:spacing w:after="0"/>
              <w:rPr>
                <w:sz w:val="20"/>
                <w:szCs w:val="20"/>
                <w:color w:val="auto"/>
              </w:rPr>
            </w:pPr>
            <w:r>
              <w:rPr>
                <w:rFonts w:ascii="Arial" w:cs="Arial" w:eastAsia="Arial" w:hAnsi="Arial"/>
                <w:sz w:val="12"/>
                <w:szCs w:val="12"/>
                <w:b w:val="1"/>
                <w:bCs w:val="1"/>
                <w:color w:val="auto"/>
              </w:rPr>
              <w:t>2021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December 31, 2020</w:t>
            </w:r>
          </w:p>
        </w:tc>
      </w:tr>
      <w:tr>
        <w:trPr>
          <w:trHeight w:val="138"/>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4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5"/>
        </w:trPr>
        <w:tc>
          <w:tcPr>
            <w:tcW w:w="7880" w:type="dxa"/>
            <w:vAlign w:val="bottom"/>
          </w:tcPr>
          <w:p>
            <w:pPr>
              <w:spacing w:after="0"/>
              <w:rPr>
                <w:sz w:val="20"/>
                <w:szCs w:val="20"/>
                <w:color w:val="auto"/>
              </w:rPr>
            </w:pPr>
            <w:r>
              <w:rPr>
                <w:rFonts w:ascii="Arial" w:cs="Arial" w:eastAsia="Arial" w:hAnsi="Arial"/>
                <w:sz w:val="12"/>
                <w:szCs w:val="12"/>
                <w:color w:val="auto"/>
              </w:rPr>
              <w:t>CURRENT ASSETS: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Cash and cash equivalents</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15,781</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34,297</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83</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Accounts receivable, net of allowance of $11,459 and $18,490 as of September 30, 2021, and December 31, 2020</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47,792</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52,764</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ind w:left="240"/>
              <w:spacing w:after="0"/>
              <w:rPr>
                <w:sz w:val="20"/>
                <w:szCs w:val="20"/>
                <w:color w:val="auto"/>
              </w:rPr>
            </w:pPr>
            <w:r>
              <w:rPr>
                <w:rFonts w:ascii="Arial" w:cs="Arial" w:eastAsia="Arial" w:hAnsi="Arial"/>
                <w:sz w:val="12"/>
                <w:szCs w:val="12"/>
                <w:color w:val="auto"/>
              </w:rPr>
              <w:t>Inventories</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21,005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17,759</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Prepaid expenses</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2,395</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2,240</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ind w:left="240"/>
              <w:spacing w:after="0"/>
              <w:rPr>
                <w:sz w:val="20"/>
                <w:szCs w:val="20"/>
                <w:color w:val="auto"/>
              </w:rPr>
            </w:pPr>
            <w:r>
              <w:rPr>
                <w:rFonts w:ascii="Arial" w:cs="Arial" w:eastAsia="Arial" w:hAnsi="Arial"/>
                <w:sz w:val="12"/>
                <w:szCs w:val="12"/>
                <w:color w:val="auto"/>
              </w:rPr>
              <w:t>Advances to suppliers</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2,728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2,587</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ind w:left="240"/>
              <w:spacing w:after="0"/>
              <w:rPr>
                <w:sz w:val="20"/>
                <w:szCs w:val="20"/>
                <w:color w:val="auto"/>
              </w:rPr>
            </w:pPr>
            <w:r>
              <w:rPr>
                <w:rFonts w:ascii="Arial" w:cs="Arial" w:eastAsia="Arial" w:hAnsi="Arial"/>
                <w:sz w:val="12"/>
                <w:szCs w:val="12"/>
                <w:color w:val="auto"/>
              </w:rPr>
              <w:t>Other current assets</w:t>
            </w:r>
          </w:p>
        </w:tc>
        <w:tc>
          <w:tcPr>
            <w:tcW w:w="18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4,756</w:t>
            </w:r>
          </w:p>
        </w:tc>
        <w:tc>
          <w:tcPr>
            <w:tcW w:w="28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5,674</w:t>
            </w:r>
          </w:p>
        </w:tc>
        <w:tc>
          <w:tcPr>
            <w:tcW w:w="100" w:type="dxa"/>
            <w:vAlign w:val="bottom"/>
            <w:shd w:val="clear" w:color="auto" w:fill="CFF0FC"/>
          </w:tcPr>
          <w:p>
            <w:pPr>
              <w:spacing w:after="0"/>
              <w:rPr>
                <w:sz w:val="12"/>
                <w:szCs w:val="12"/>
                <w:color w:val="auto"/>
              </w:rPr>
            </w:pPr>
          </w:p>
        </w:tc>
      </w:tr>
      <w:tr>
        <w:trPr>
          <w:trHeight w:val="138"/>
        </w:trPr>
        <w:tc>
          <w:tcPr>
            <w:tcW w:w="7880" w:type="dxa"/>
            <w:vAlign w:val="bottom"/>
          </w:tcPr>
          <w:p>
            <w:pPr>
              <w:ind w:left="480"/>
              <w:spacing w:after="0"/>
              <w:rPr>
                <w:sz w:val="20"/>
                <w:szCs w:val="20"/>
                <w:color w:val="auto"/>
              </w:rPr>
            </w:pPr>
            <w:r>
              <w:rPr>
                <w:rFonts w:ascii="Arial" w:cs="Arial" w:eastAsia="Arial" w:hAnsi="Arial"/>
                <w:sz w:val="12"/>
                <w:szCs w:val="12"/>
                <w:color w:val="auto"/>
              </w:rPr>
              <w:t>Total current assets</w:t>
            </w:r>
          </w:p>
        </w:tc>
        <w:tc>
          <w:tcPr>
            <w:tcW w:w="1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94,540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115,404</w:t>
            </w:r>
          </w:p>
        </w:tc>
        <w:tc>
          <w:tcPr>
            <w:tcW w:w="100" w:type="dxa"/>
            <w:vAlign w:val="bottom"/>
          </w:tcPr>
          <w:p>
            <w:pPr>
              <w:spacing w:after="0"/>
              <w:rPr>
                <w:sz w:val="11"/>
                <w:szCs w:val="11"/>
                <w:color w:val="auto"/>
              </w:rPr>
            </w:pPr>
          </w:p>
        </w:tc>
      </w:tr>
      <w:tr>
        <w:trPr>
          <w:trHeight w:val="145"/>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LONG-TERM ASSETS:</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spacing w:after="0"/>
              <w:rPr>
                <w:sz w:val="20"/>
                <w:szCs w:val="20"/>
                <w:color w:val="auto"/>
              </w:rPr>
            </w:pPr>
            <w:r>
              <w:rPr>
                <w:rFonts w:ascii="Arial" w:cs="Arial" w:eastAsia="Arial" w:hAnsi="Arial"/>
                <w:sz w:val="12"/>
                <w:szCs w:val="12"/>
                <w:color w:val="auto"/>
              </w:rPr>
              <w:t>Long-term receivables</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23,243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21,148</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Deferred tax assets</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785</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884</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spacing w:after="0"/>
              <w:rPr>
                <w:sz w:val="20"/>
                <w:szCs w:val="20"/>
                <w:color w:val="auto"/>
              </w:rPr>
            </w:pPr>
            <w:r>
              <w:rPr>
                <w:rFonts w:ascii="Arial" w:cs="Arial" w:eastAsia="Arial" w:hAnsi="Arial"/>
                <w:sz w:val="12"/>
                <w:szCs w:val="12"/>
                <w:color w:val="auto"/>
              </w:rPr>
              <w:t>Severance pay funds</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742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685</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Property and equipment, net</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2,575</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3,539</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Intangible assets</w:t>
            </w: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16,268</w:t>
            </w:r>
          </w:p>
        </w:tc>
        <w:tc>
          <w:tcPr>
            <w:tcW w:w="2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18,865</w:t>
            </w:r>
          </w:p>
        </w:tc>
        <w:tc>
          <w:tcPr>
            <w:tcW w:w="100" w:type="dxa"/>
            <w:vAlign w:val="bottom"/>
            <w:tcBorders>
              <w:bottom w:val="single" w:sz="8" w:color="CFF0FC"/>
            </w:tcBorders>
          </w:tcPr>
          <w:p>
            <w:pPr>
              <w:spacing w:after="0"/>
              <w:rPr>
                <w:sz w:val="12"/>
                <w:szCs w:val="12"/>
                <w:color w:val="auto"/>
              </w:rPr>
            </w:pPr>
          </w:p>
        </w:tc>
      </w:tr>
      <w:tr>
        <w:trPr>
          <w:trHeight w:val="138"/>
        </w:trPr>
        <w:tc>
          <w:tcPr>
            <w:tcW w:w="7880" w:type="dxa"/>
            <w:vAlign w:val="bottom"/>
            <w:shd w:val="clear" w:color="auto" w:fill="CFF0FC"/>
          </w:tcPr>
          <w:p>
            <w:pPr>
              <w:ind w:left="480"/>
              <w:spacing w:after="0"/>
              <w:rPr>
                <w:sz w:val="20"/>
                <w:szCs w:val="20"/>
                <w:color w:val="auto"/>
              </w:rPr>
            </w:pPr>
            <w:r>
              <w:rPr>
                <w:rFonts w:ascii="Arial" w:cs="Arial" w:eastAsia="Arial" w:hAnsi="Arial"/>
                <w:sz w:val="12"/>
                <w:szCs w:val="12"/>
                <w:color w:val="auto"/>
              </w:rPr>
              <w:t>Total long-term assets</w:t>
            </w:r>
          </w:p>
        </w:tc>
        <w:tc>
          <w:tcPr>
            <w:tcW w:w="18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43,613</w:t>
            </w:r>
          </w:p>
        </w:tc>
        <w:tc>
          <w:tcPr>
            <w:tcW w:w="28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45,121</w:t>
            </w:r>
          </w:p>
        </w:tc>
        <w:tc>
          <w:tcPr>
            <w:tcW w:w="100" w:type="dxa"/>
            <w:vAlign w:val="bottom"/>
            <w:shd w:val="clear" w:color="auto" w:fill="CFF0FC"/>
          </w:tcPr>
          <w:p>
            <w:pPr>
              <w:spacing w:after="0"/>
              <w:rPr>
                <w:sz w:val="11"/>
                <w:szCs w:val="11"/>
                <w:color w:val="auto"/>
              </w:rPr>
            </w:pPr>
          </w:p>
        </w:tc>
      </w:tr>
      <w:tr>
        <w:trPr>
          <w:trHeight w:val="178"/>
        </w:trPr>
        <w:tc>
          <w:tcPr>
            <w:tcW w:w="78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ASSETS</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138,153</w:t>
            </w:r>
          </w:p>
        </w:tc>
        <w:tc>
          <w:tcPr>
            <w:tcW w:w="2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160,525</w:t>
            </w:r>
          </w:p>
        </w:tc>
        <w:tc>
          <w:tcPr>
            <w:tcW w:w="100" w:type="dxa"/>
            <w:vAlign w:val="bottom"/>
            <w:tcBorders>
              <w:bottom w:val="single" w:sz="8" w:color="CFF0FC"/>
            </w:tcBorders>
          </w:tcPr>
          <w:p>
            <w:pPr>
              <w:spacing w:after="0"/>
              <w:rPr>
                <w:sz w:val="15"/>
                <w:szCs w:val="15"/>
                <w:color w:val="auto"/>
              </w:rPr>
            </w:pPr>
          </w:p>
        </w:tc>
      </w:tr>
      <w:tr>
        <w:trPr>
          <w:trHeight w:val="124"/>
        </w:trPr>
        <w:tc>
          <w:tcPr>
            <w:tcW w:w="7880" w:type="dxa"/>
            <w:vAlign w:val="bottom"/>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LIABILITIES AND STOCKHOLDERS’ EQUITY</w:t>
            </w:r>
          </w:p>
        </w:tc>
        <w:tc>
          <w:tcPr>
            <w:tcW w:w="18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5"/>
        </w:trPr>
        <w:tc>
          <w:tcPr>
            <w:tcW w:w="7880" w:type="dxa"/>
            <w:vAlign w:val="bottom"/>
          </w:tcPr>
          <w:p>
            <w:pPr>
              <w:spacing w:after="0"/>
              <w:rPr>
                <w:sz w:val="20"/>
                <w:szCs w:val="20"/>
                <w:color w:val="auto"/>
              </w:rPr>
            </w:pPr>
            <w:r>
              <w:rPr>
                <w:rFonts w:ascii="Arial" w:cs="Arial" w:eastAsia="Arial" w:hAnsi="Arial"/>
                <w:sz w:val="12"/>
                <w:szCs w:val="12"/>
                <w:color w:val="auto"/>
              </w:rPr>
              <w:t>CURRENT LIABILITIES: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ind w:left="240"/>
              <w:spacing w:after="0"/>
              <w:rPr>
                <w:sz w:val="20"/>
                <w:szCs w:val="20"/>
                <w:color w:val="auto"/>
              </w:rPr>
            </w:pPr>
            <w:r>
              <w:rPr>
                <w:rFonts w:ascii="Arial" w:cs="Arial" w:eastAsia="Arial" w:hAnsi="Arial"/>
                <w:sz w:val="12"/>
                <w:szCs w:val="12"/>
                <w:color w:val="auto"/>
              </w:rPr>
              <w:t>Trade payables</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4,749</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6,322</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17,180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20,253</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ind w:left="240"/>
              <w:spacing w:after="0"/>
              <w:rPr>
                <w:sz w:val="20"/>
                <w:szCs w:val="20"/>
                <w:color w:val="auto"/>
              </w:rPr>
            </w:pPr>
            <w:r>
              <w:rPr>
                <w:rFonts w:ascii="Arial" w:cs="Arial" w:eastAsia="Arial" w:hAnsi="Arial"/>
                <w:sz w:val="12"/>
                <w:szCs w:val="12"/>
                <w:color w:val="auto"/>
              </w:rPr>
              <w:t>Taxes payable</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2,149</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1,132</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ind w:left="240"/>
              <w:spacing w:after="0"/>
              <w:rPr>
                <w:sz w:val="20"/>
                <w:szCs w:val="20"/>
                <w:color w:val="auto"/>
              </w:rPr>
            </w:pPr>
            <w:r>
              <w:rPr>
                <w:rFonts w:ascii="Arial" w:cs="Arial" w:eastAsia="Arial" w:hAnsi="Arial"/>
                <w:sz w:val="12"/>
                <w:szCs w:val="12"/>
                <w:color w:val="auto"/>
              </w:rPr>
              <w:t>Unearned interest income</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2,565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1,950</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ind w:left="240"/>
              <w:spacing w:after="0"/>
              <w:rPr>
                <w:sz w:val="20"/>
                <w:szCs w:val="20"/>
                <w:color w:val="auto"/>
              </w:rPr>
            </w:pPr>
            <w:r>
              <w:rPr>
                <w:rFonts w:ascii="Arial" w:cs="Arial" w:eastAsia="Arial" w:hAnsi="Arial"/>
                <w:sz w:val="12"/>
                <w:szCs w:val="12"/>
                <w:color w:val="auto"/>
              </w:rPr>
              <w:t>Warranty accrual</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1,173</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1,106</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ind w:left="240"/>
              <w:spacing w:after="0"/>
              <w:rPr>
                <w:sz w:val="20"/>
                <w:szCs w:val="20"/>
                <w:color w:val="auto"/>
              </w:rPr>
            </w:pPr>
            <w:r>
              <w:rPr>
                <w:rFonts w:ascii="Arial" w:cs="Arial" w:eastAsia="Arial" w:hAnsi="Arial"/>
                <w:sz w:val="12"/>
                <w:szCs w:val="12"/>
                <w:color w:val="auto"/>
              </w:rPr>
              <w:t>Deferred revenues</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420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1,752</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Current portion of government assistance loans</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950</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38"/>
        </w:trPr>
        <w:tc>
          <w:tcPr>
            <w:tcW w:w="7880" w:type="dxa"/>
            <w:vAlign w:val="bottom"/>
          </w:tcPr>
          <w:p>
            <w:pPr>
              <w:ind w:left="480"/>
              <w:spacing w:after="0"/>
              <w:rPr>
                <w:sz w:val="20"/>
                <w:szCs w:val="20"/>
                <w:color w:val="auto"/>
              </w:rPr>
            </w:pPr>
            <w:r>
              <w:rPr>
                <w:rFonts w:ascii="Arial" w:cs="Arial" w:eastAsia="Arial" w:hAnsi="Arial"/>
                <w:sz w:val="12"/>
                <w:szCs w:val="12"/>
                <w:color w:val="auto"/>
              </w:rPr>
              <w:t>Total current liabilities</w:t>
            </w: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29,186</w:t>
            </w: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32,515</w:t>
            </w:r>
          </w:p>
        </w:tc>
        <w:tc>
          <w:tcPr>
            <w:tcW w:w="100" w:type="dxa"/>
            <w:vAlign w:val="bottom"/>
          </w:tcPr>
          <w:p>
            <w:pPr>
              <w:spacing w:after="0"/>
              <w:rPr>
                <w:sz w:val="11"/>
                <w:szCs w:val="11"/>
                <w:color w:val="auto"/>
              </w:rPr>
            </w:pPr>
          </w:p>
        </w:tc>
      </w:tr>
      <w:tr>
        <w:trPr>
          <w:trHeight w:val="145"/>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LONG-TERM LIABILITIES:</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spacing w:after="0"/>
              <w:rPr>
                <w:sz w:val="20"/>
                <w:szCs w:val="20"/>
                <w:color w:val="auto"/>
              </w:rPr>
            </w:pPr>
            <w:r>
              <w:rPr>
                <w:rFonts w:ascii="Arial" w:cs="Arial" w:eastAsia="Arial" w:hAnsi="Arial"/>
                <w:sz w:val="12"/>
                <w:szCs w:val="12"/>
                <w:color w:val="auto"/>
              </w:rPr>
              <w:t>Long-term debt</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76,857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75,491</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Government assistance loans</w:t>
            </w:r>
          </w:p>
        </w:tc>
        <w:tc>
          <w:tcPr>
            <w:tcW w:w="18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4,110</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spacing w:after="0"/>
              <w:rPr>
                <w:sz w:val="20"/>
                <w:szCs w:val="20"/>
                <w:color w:val="auto"/>
              </w:rPr>
            </w:pPr>
            <w:r>
              <w:rPr>
                <w:rFonts w:ascii="Arial" w:cs="Arial" w:eastAsia="Arial" w:hAnsi="Arial"/>
                <w:sz w:val="12"/>
                <w:szCs w:val="12"/>
                <w:color w:val="auto"/>
              </w:rPr>
              <w:t>Taxes payable</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478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478</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Accrued severance pay</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852</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755</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spacing w:after="0"/>
              <w:rPr>
                <w:sz w:val="20"/>
                <w:szCs w:val="20"/>
                <w:color w:val="auto"/>
              </w:rPr>
            </w:pPr>
            <w:r>
              <w:rPr>
                <w:rFonts w:ascii="Arial" w:cs="Arial" w:eastAsia="Arial" w:hAnsi="Arial"/>
                <w:sz w:val="12"/>
                <w:szCs w:val="12"/>
                <w:color w:val="auto"/>
              </w:rPr>
              <w:t>Deferred tax liabilities</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811</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Unearned interest income</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1,291</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1,778</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spacing w:after="0"/>
              <w:rPr>
                <w:sz w:val="20"/>
                <w:szCs w:val="20"/>
                <w:color w:val="auto"/>
              </w:rPr>
            </w:pPr>
            <w:r>
              <w:rPr>
                <w:rFonts w:ascii="Arial" w:cs="Arial" w:eastAsia="Arial" w:hAnsi="Arial"/>
                <w:sz w:val="12"/>
                <w:szCs w:val="12"/>
                <w:color w:val="auto"/>
              </w:rPr>
              <w:t>Warranty accrual</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471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533</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Other long-term liabilities</w:t>
            </w:r>
          </w:p>
        </w:tc>
        <w:tc>
          <w:tcPr>
            <w:tcW w:w="18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202</w:t>
            </w:r>
          </w:p>
        </w:tc>
        <w:tc>
          <w:tcPr>
            <w:tcW w:w="28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293</w:t>
            </w:r>
          </w:p>
        </w:tc>
        <w:tc>
          <w:tcPr>
            <w:tcW w:w="100" w:type="dxa"/>
            <w:vAlign w:val="bottom"/>
            <w:shd w:val="clear" w:color="auto" w:fill="CFF0FC"/>
          </w:tcPr>
          <w:p>
            <w:pPr>
              <w:spacing w:after="0"/>
              <w:rPr>
                <w:sz w:val="12"/>
                <w:szCs w:val="12"/>
                <w:color w:val="auto"/>
              </w:rPr>
            </w:pPr>
          </w:p>
        </w:tc>
      </w:tr>
      <w:tr>
        <w:trPr>
          <w:trHeight w:val="138"/>
        </w:trPr>
        <w:tc>
          <w:tcPr>
            <w:tcW w:w="7880" w:type="dxa"/>
            <w:vAlign w:val="bottom"/>
            <w:tcBorders>
              <w:bottom w:val="single" w:sz="8" w:color="CFF0FC"/>
            </w:tcBorders>
          </w:tcPr>
          <w:p>
            <w:pPr>
              <w:ind w:left="360"/>
              <w:spacing w:after="0"/>
              <w:rPr>
                <w:sz w:val="20"/>
                <w:szCs w:val="20"/>
                <w:color w:val="auto"/>
              </w:rPr>
            </w:pPr>
            <w:r>
              <w:rPr>
                <w:rFonts w:ascii="Arial" w:cs="Arial" w:eastAsia="Arial" w:hAnsi="Arial"/>
                <w:sz w:val="12"/>
                <w:szCs w:val="12"/>
                <w:color w:val="auto"/>
              </w:rPr>
              <w:t>Total long-term liabilities</w:t>
            </w: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80,196</w:t>
            </w:r>
          </w:p>
        </w:tc>
        <w:tc>
          <w:tcPr>
            <w:tcW w:w="28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84,249</w:t>
            </w:r>
          </w:p>
        </w:tc>
        <w:tc>
          <w:tcPr>
            <w:tcW w:w="100" w:type="dxa"/>
            <w:vAlign w:val="bottom"/>
            <w:tcBorders>
              <w:bottom w:val="single" w:sz="8" w:color="CFF0FC"/>
            </w:tcBorders>
          </w:tcPr>
          <w:p>
            <w:pPr>
              <w:spacing w:after="0"/>
              <w:rPr>
                <w:sz w:val="11"/>
                <w:szCs w:val="11"/>
                <w:color w:val="auto"/>
              </w:rPr>
            </w:pPr>
          </w:p>
        </w:tc>
      </w:tr>
      <w:tr>
        <w:trPr>
          <w:trHeight w:val="138"/>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TOTAL LIABILITIES</w:t>
            </w:r>
          </w:p>
        </w:tc>
        <w:tc>
          <w:tcPr>
            <w:tcW w:w="18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109,382</w:t>
            </w:r>
          </w:p>
        </w:tc>
        <w:tc>
          <w:tcPr>
            <w:tcW w:w="28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116,764</w:t>
            </w:r>
          </w:p>
        </w:tc>
        <w:tc>
          <w:tcPr>
            <w:tcW w:w="100" w:type="dxa"/>
            <w:vAlign w:val="bottom"/>
            <w:shd w:val="clear" w:color="auto" w:fill="CFF0FC"/>
          </w:tcPr>
          <w:p>
            <w:pPr>
              <w:spacing w:after="0"/>
              <w:rPr>
                <w:sz w:val="11"/>
                <w:szCs w:val="11"/>
                <w:color w:val="auto"/>
              </w:rPr>
            </w:pPr>
          </w:p>
        </w:tc>
      </w:tr>
      <w:tr>
        <w:trPr>
          <w:trHeight w:val="138"/>
        </w:trPr>
        <w:tc>
          <w:tcPr>
            <w:tcW w:w="7880" w:type="dxa"/>
            <w:vAlign w:val="bottom"/>
          </w:tcPr>
          <w:p>
            <w:pPr>
              <w:spacing w:after="0"/>
              <w:rPr>
                <w:sz w:val="20"/>
                <w:szCs w:val="20"/>
                <w:color w:val="auto"/>
              </w:rPr>
            </w:pPr>
            <w:r>
              <w:rPr>
                <w:rFonts w:ascii="Arial" w:cs="Arial" w:eastAsia="Arial" w:hAnsi="Arial"/>
                <w:sz w:val="12"/>
                <w:szCs w:val="12"/>
                <w:color w:val="auto"/>
              </w:rPr>
              <w:t>Commitments and Contingencies (Note 8)</w:t>
            </w: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STOCKHOLDERS’ EQUITY (Note 1):</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0"/>
        </w:trPr>
        <w:tc>
          <w:tcPr>
            <w:tcW w:w="7880" w:type="dxa"/>
            <w:vAlign w:val="bottom"/>
          </w:tcPr>
          <w:p>
            <w:pPr>
              <w:spacing w:after="0" w:line="130" w:lineRule="exact"/>
              <w:rPr>
                <w:sz w:val="20"/>
                <w:szCs w:val="20"/>
                <w:color w:val="auto"/>
              </w:rPr>
            </w:pPr>
            <w:r>
              <w:rPr>
                <w:rFonts w:ascii="Arial" w:cs="Arial" w:eastAsia="Arial" w:hAnsi="Arial"/>
                <w:sz w:val="12"/>
                <w:szCs w:val="12"/>
                <w:color w:val="auto"/>
                <w:w w:val="95"/>
              </w:rPr>
              <w:t>Common Stock, $0.0001 par value: 300,000,000 shares authorized as of September 30, 2021 and December 31, 2020; 54,157,969 and 53,551,126 issued</w:t>
            </w: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6"/>
        </w:trPr>
        <w:tc>
          <w:tcPr>
            <w:tcW w:w="7880" w:type="dxa"/>
            <w:vAlign w:val="bottom"/>
          </w:tcPr>
          <w:p>
            <w:pPr>
              <w:spacing w:after="0"/>
              <w:rPr>
                <w:sz w:val="20"/>
                <w:szCs w:val="20"/>
                <w:color w:val="auto"/>
              </w:rPr>
            </w:pPr>
            <w:r>
              <w:rPr>
                <w:rFonts w:ascii="Arial" w:cs="Arial" w:eastAsia="Arial" w:hAnsi="Arial"/>
                <w:sz w:val="12"/>
                <w:szCs w:val="12"/>
                <w:color w:val="auto"/>
              </w:rPr>
              <w:t>and outstanding as of September 30, 2021 and December 31, 2020, respectively</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2"/>
                <w:szCs w:val="12"/>
                <w:color w:val="auto"/>
              </w:rPr>
            </w:pPr>
          </w:p>
        </w:tc>
      </w:tr>
      <w:tr>
        <w:trPr>
          <w:trHeight w:val="145"/>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Additional paid-in capital (Note 1)</w:t>
            </w: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204,094</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201,598</w:t>
            </w:r>
          </w:p>
        </w:tc>
        <w:tc>
          <w:tcPr>
            <w:tcW w:w="100" w:type="dxa"/>
            <w:vAlign w:val="bottom"/>
            <w:shd w:val="clear" w:color="auto" w:fill="CFF0FC"/>
          </w:tcPr>
          <w:p>
            <w:pPr>
              <w:spacing w:after="0"/>
              <w:rPr>
                <w:sz w:val="12"/>
                <w:szCs w:val="12"/>
                <w:color w:val="auto"/>
              </w:rPr>
            </w:pPr>
          </w:p>
        </w:tc>
      </w:tr>
      <w:tr>
        <w:trPr>
          <w:trHeight w:val="145"/>
        </w:trPr>
        <w:tc>
          <w:tcPr>
            <w:tcW w:w="7880" w:type="dxa"/>
            <w:vAlign w:val="bottom"/>
          </w:tcPr>
          <w:p>
            <w:pPr>
              <w:spacing w:after="0"/>
              <w:rPr>
                <w:sz w:val="20"/>
                <w:szCs w:val="20"/>
                <w:color w:val="auto"/>
              </w:rPr>
            </w:pPr>
            <w:r>
              <w:rPr>
                <w:rFonts w:ascii="Arial" w:cs="Arial" w:eastAsia="Arial" w:hAnsi="Arial"/>
                <w:sz w:val="12"/>
                <w:szCs w:val="12"/>
                <w:color w:val="auto"/>
              </w:rPr>
              <w:t>Accumulated deficit</w:t>
            </w:r>
          </w:p>
        </w:tc>
        <w:tc>
          <w:tcPr>
            <w:tcW w:w="180" w:type="dxa"/>
            <w:vAlign w:val="bottom"/>
          </w:tcPr>
          <w:p>
            <w:pPr>
              <w:spacing w:after="0"/>
              <w:rPr>
                <w:sz w:val="12"/>
                <w:szCs w:val="12"/>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2"/>
                <w:szCs w:val="12"/>
                <w:color w:val="auto"/>
              </w:rPr>
              <w:t>(176,072)</w:t>
            </w:r>
          </w:p>
        </w:tc>
        <w:tc>
          <w:tcPr>
            <w:tcW w:w="18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2"/>
                <w:szCs w:val="12"/>
                <w:color w:val="auto"/>
              </w:rPr>
              <w:t>(157,392)</w:t>
            </w:r>
          </w:p>
        </w:tc>
      </w:tr>
      <w:tr>
        <w:trPr>
          <w:trHeight w:val="138"/>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STOCKHOLDERS’ EQUITY</w:t>
            </w: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28,048</w:t>
            </w: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44,232</w:t>
            </w:r>
          </w:p>
        </w:tc>
        <w:tc>
          <w:tcPr>
            <w:tcW w:w="100" w:type="dxa"/>
            <w:vAlign w:val="bottom"/>
            <w:tcBorders>
              <w:top w:val="single" w:sz="8" w:color="CFF0FC"/>
            </w:tcBorders>
            <w:shd w:val="clear" w:color="auto" w:fill="CFF0FC"/>
          </w:tcPr>
          <w:p>
            <w:pPr>
              <w:spacing w:after="0"/>
              <w:rPr>
                <w:sz w:val="11"/>
                <w:szCs w:val="11"/>
                <w:color w:val="auto"/>
              </w:rPr>
            </w:pPr>
          </w:p>
        </w:tc>
      </w:tr>
      <w:tr>
        <w:trPr>
          <w:trHeight w:val="145"/>
        </w:trPr>
        <w:tc>
          <w:tcPr>
            <w:tcW w:w="788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723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2"/>
                <w:szCs w:val="12"/>
                <w:color w:val="auto"/>
              </w:rPr>
              <w:t>(471)</w:t>
            </w:r>
          </w:p>
        </w:tc>
      </w:tr>
      <w:tr>
        <w:trPr>
          <w:trHeight w:val="138"/>
        </w:trPr>
        <w:tc>
          <w:tcPr>
            <w:tcW w:w="78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bottom w:val="single" w:sz="8" w:color="auto"/>
            </w:tcBorders>
            <w:shd w:val="clear" w:color="auto" w:fill="CFF0FC"/>
          </w:tcPr>
          <w:p>
            <w:pPr>
              <w:spacing w:after="0"/>
              <w:rPr>
                <w:sz w:val="11"/>
                <w:szCs w:val="1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28,771</w:t>
            </w: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bottom w:val="single" w:sz="8" w:color="auto"/>
            </w:tcBorders>
            <w:shd w:val="clear" w:color="auto" w:fill="CFF0FC"/>
          </w:tcPr>
          <w:p>
            <w:pPr>
              <w:spacing w:after="0"/>
              <w:rPr>
                <w:sz w:val="11"/>
                <w:szCs w:val="1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43,761</w:t>
            </w:r>
          </w:p>
        </w:tc>
        <w:tc>
          <w:tcPr>
            <w:tcW w:w="100" w:type="dxa"/>
            <w:vAlign w:val="bottom"/>
            <w:tcBorders>
              <w:top w:val="single" w:sz="8" w:color="CFF0FC"/>
            </w:tcBorders>
            <w:shd w:val="clear" w:color="auto" w:fill="CFF0FC"/>
          </w:tcPr>
          <w:p>
            <w:pPr>
              <w:spacing w:after="0"/>
              <w:rPr>
                <w:sz w:val="11"/>
                <w:szCs w:val="11"/>
                <w:color w:val="auto"/>
              </w:rPr>
            </w:pPr>
          </w:p>
        </w:tc>
      </w:tr>
      <w:tr>
        <w:trPr>
          <w:trHeight w:val="138"/>
        </w:trPr>
        <w:tc>
          <w:tcPr>
            <w:tcW w:w="7880" w:type="dxa"/>
            <w:vAlign w:val="bottom"/>
          </w:tcPr>
          <w:p>
            <w:pPr>
              <w:spacing w:after="0"/>
              <w:rPr>
                <w:sz w:val="20"/>
                <w:szCs w:val="20"/>
                <w:color w:val="auto"/>
              </w:rPr>
            </w:pPr>
            <w:r>
              <w:rPr>
                <w:rFonts w:ascii="Arial" w:cs="Arial" w:eastAsia="Arial" w:hAnsi="Arial"/>
                <w:sz w:val="12"/>
                <w:szCs w:val="12"/>
                <w:color w:val="auto"/>
              </w:rPr>
              <w:t>TOTAL LIABILITIES AND STOCKHOLDERS’ EQUITY</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138,153</w:t>
            </w:r>
          </w:p>
        </w:tc>
        <w:tc>
          <w:tcPr>
            <w:tcW w:w="280" w:type="dxa"/>
            <w:vAlign w:val="bottom"/>
          </w:tcPr>
          <w:p>
            <w:pPr>
              <w:spacing w:after="0"/>
              <w:rPr>
                <w:sz w:val="11"/>
                <w:szCs w:val="11"/>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160,525</w:t>
            </w:r>
          </w:p>
        </w:tc>
        <w:tc>
          <w:tcPr>
            <w:tcW w:w="100" w:type="dxa"/>
            <w:vAlign w:val="bottom"/>
          </w:tcPr>
          <w:p>
            <w:pPr>
              <w:spacing w:after="0"/>
              <w:rPr>
                <w:sz w:val="11"/>
                <w:szCs w:val="11"/>
                <w:color w:val="auto"/>
              </w:rPr>
            </w:pP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3" w:name="page4"/>
    <w:bookmarkEnd w:id="3"/>
    <w:p>
      <w:pPr>
        <w:ind w:left="4680"/>
        <w:spacing w:after="0"/>
        <w:rPr>
          <w:sz w:val="20"/>
          <w:szCs w:val="20"/>
          <w:color w:val="auto"/>
        </w:rPr>
      </w:pPr>
      <w:r>
        <w:rPr>
          <w:rFonts w:ascii="Arial" w:cs="Arial" w:eastAsia="Arial" w:hAnsi="Arial"/>
          <w:sz w:val="18"/>
          <w:szCs w:val="18"/>
          <w:b w:val="1"/>
          <w:bCs w:val="1"/>
          <w:color w:val="auto"/>
        </w:rPr>
        <w:t>VENUS CONCEPT INC.</w:t>
      </w:r>
    </w:p>
    <w:p>
      <w:pPr>
        <w:spacing w:after="0" w:line="10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Ended September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Ended September 30,</w:t>
            </w:r>
          </w:p>
        </w:tc>
        <w:tc>
          <w:tcPr>
            <w:tcW w:w="0" w:type="dxa"/>
            <w:vAlign w:val="bottom"/>
          </w:tcPr>
          <w:p>
            <w:pPr>
              <w:spacing w:after="0"/>
              <w:rPr>
                <w:sz w:val="1"/>
                <w:szCs w:val="1"/>
                <w:color w:val="auto"/>
              </w:rPr>
            </w:pPr>
          </w:p>
        </w:tc>
      </w:tr>
      <w:tr>
        <w:trPr>
          <w:trHeight w:val="204"/>
        </w:trPr>
        <w:tc>
          <w:tcPr>
            <w:tcW w:w="582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Leases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12,634</w:t>
            </w:r>
          </w:p>
        </w:tc>
        <w:tc>
          <w:tcPr>
            <w:tcW w:w="2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9,431</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33,958</w:t>
            </w:r>
          </w:p>
        </w:tc>
        <w:tc>
          <w:tcPr>
            <w:tcW w:w="2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Products and services</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11,929</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39,030</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24,563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72,988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Leases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7,444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Products and services</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14,287</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2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21,731</w:t>
            </w:r>
          </w:p>
        </w:tc>
        <w:tc>
          <w:tcPr>
            <w:tcW w:w="2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17,306</w:t>
            </w:r>
          </w:p>
        </w:tc>
        <w:tc>
          <w:tcPr>
            <w:tcW w:w="2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51,257</w:t>
            </w:r>
          </w:p>
        </w:tc>
        <w:tc>
          <w:tcPr>
            <w:tcW w:w="2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11,990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31,983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forgiveness of government assistance loans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(2,775)</w:t>
            </w: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22,695</w:t>
            </w:r>
          </w:p>
        </w:tc>
        <w:tc>
          <w:tcPr>
            <w:tcW w:w="22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61,956</w:t>
            </w:r>
          </w:p>
        </w:tc>
        <w:tc>
          <w:tcPr>
            <w:tcW w:w="22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92,363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(5,389)</w:t>
            </w:r>
          </w:p>
        </w:tc>
        <w:tc>
          <w:tcPr>
            <w:tcW w:w="3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(5,294)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(10,699)</w:t>
            </w: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(57,683)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expenses: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loss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Finance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disposal of subsidiaries</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(8,222)</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(17,422)</w:t>
            </w: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(68,799)</w:t>
            </w:r>
          </w:p>
        </w:tc>
        <w:tc>
          <w:tcPr>
            <w:tcW w:w="0" w:type="dxa"/>
            <w:vAlign w:val="bottom"/>
          </w:tcPr>
          <w:p>
            <w:pPr>
              <w:spacing w:after="0"/>
              <w:rPr>
                <w:sz w:val="1"/>
                <w:szCs w:val="1"/>
                <w:color w:val="auto"/>
              </w:rPr>
            </w:pPr>
          </w:p>
        </w:tc>
      </w:tr>
      <w:tr>
        <w:trPr>
          <w:trHeight w:val="224"/>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(8,838)</w:t>
            </w:r>
          </w:p>
        </w:tc>
        <w:tc>
          <w:tcPr>
            <w:tcW w:w="3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(18,031)</w:t>
            </w:r>
          </w:p>
        </w:tc>
        <w:tc>
          <w:tcPr>
            <w:tcW w:w="3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(67,789)</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Deemed dividend</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Loss attributable to stockholders of the Company</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(9,798)</w:t>
            </w:r>
          </w:p>
        </w:tc>
        <w:tc>
          <w:tcPr>
            <w:tcW w:w="3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(7,243)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(18,680)</w:t>
            </w:r>
          </w:p>
        </w:tc>
        <w:tc>
          <w:tcPr>
            <w:tcW w:w="3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(70,585)</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Income (loss) attributable to non-controlling interest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960</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649</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(0.35)</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(0.18)</w:t>
            </w:r>
          </w:p>
        </w:tc>
        <w:tc>
          <w:tcPr>
            <w:tcW w:w="380" w:type="dxa"/>
            <w:vAlign w:val="bottom"/>
            <w:shd w:val="clear" w:color="auto" w:fill="CFF0FC"/>
          </w:tcPr>
          <w:p>
            <w:pPr>
              <w:jc w:val="right"/>
              <w:ind w:right="192"/>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(0.35)</w:t>
            </w:r>
          </w:p>
        </w:tc>
        <w:tc>
          <w:tcPr>
            <w:tcW w:w="380" w:type="dxa"/>
            <w:vAlign w:val="bottom"/>
            <w:shd w:val="clear" w:color="auto" w:fill="CFF0FC"/>
          </w:tcPr>
          <w:p>
            <w:pPr>
              <w:jc w:val="right"/>
              <w:ind w:right="19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number of shares used in per share calculation: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54,145</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40,466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53,994</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54,145</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53,994</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34,553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 w:name="page5"/>
    <w:bookmarkEnd w:id="4"/>
    <w:p>
      <w:pPr>
        <w:ind w:left="4680"/>
        <w:spacing w:after="0"/>
        <w:rPr>
          <w:sz w:val="20"/>
          <w:szCs w:val="20"/>
          <w:color w:val="auto"/>
        </w:rPr>
      </w:pPr>
      <w:r>
        <w:rPr>
          <w:rFonts w:ascii="Arial" w:cs="Arial" w:eastAsia="Arial" w:hAnsi="Arial"/>
          <w:sz w:val="18"/>
          <w:szCs w:val="18"/>
          <w:b w:val="1"/>
          <w:bCs w:val="1"/>
          <w:color w:val="auto"/>
        </w:rPr>
        <w:t>VENUS CONCEPT INC.</w:t>
      </w:r>
    </w:p>
    <w:p>
      <w:pPr>
        <w:spacing w:after="0" w:line="10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1"/>
        </w:trPr>
        <w:tc>
          <w:tcPr>
            <w:tcW w:w="58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9"/>
              <w:spacing w:after="0" w:line="151"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55"/>
              <w:spacing w:after="0" w:line="151"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9"/>
              <w:spacing w:after="0" w:line="151"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55"/>
              <w:spacing w:after="0" w:line="151"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(8,838)</w:t>
            </w:r>
          </w:p>
        </w:tc>
        <w:tc>
          <w:tcPr>
            <w:tcW w:w="38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(7,321)</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(18,031)</w:t>
            </w: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(67,789)</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Deemed dividend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3,564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attributable to stockholders of the Company</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(9,798)</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(7,243)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(18,680)</w:t>
            </w: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(70,585)</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Income (loss) attributable to non-controlling interest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(8,838)</w:t>
            </w:r>
          </w:p>
        </w:tc>
        <w:tc>
          <w:tcPr>
            <w:tcW w:w="38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(7,321)</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(18,031)</w:t>
            </w: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(67,789)</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 w:name="page6"/>
    <w:bookmarkEnd w:id="5"/>
    <w:p>
      <w:pPr>
        <w:ind w:left="4100"/>
        <w:spacing w:after="0"/>
        <w:rPr>
          <w:sz w:val="20"/>
          <w:szCs w:val="20"/>
          <w:color w:val="auto"/>
        </w:rPr>
      </w:pPr>
      <w:r>
        <w:rPr>
          <w:rFonts w:ascii="Arial" w:cs="Arial" w:eastAsia="Arial" w:hAnsi="Arial"/>
          <w:sz w:val="18"/>
          <w:szCs w:val="18"/>
          <w:b w:val="1"/>
          <w:bCs w:val="1"/>
          <w:color w:val="auto"/>
        </w:rPr>
        <w:t>VENUS CONCEPT INC.</w:t>
      </w:r>
    </w:p>
    <w:p>
      <w:pPr>
        <w:spacing w:after="0" w:line="10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for shares)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5"/>
          </w:tcPr>
          <w:p>
            <w:pPr>
              <w:ind w:left="80"/>
              <w:spacing w:after="0"/>
              <w:rPr>
                <w:sz w:val="20"/>
                <w:szCs w:val="20"/>
                <w:color w:val="auto"/>
              </w:rPr>
            </w:pPr>
            <w:r>
              <w:rPr>
                <w:rFonts w:ascii="Arial" w:cs="Arial" w:eastAsia="Arial" w:hAnsi="Arial"/>
                <w:sz w:val="13"/>
                <w:szCs w:val="13"/>
                <w:b w:val="1"/>
                <w:bCs w:val="1"/>
                <w:color w:val="auto"/>
                <w:w w:val="92"/>
              </w:rPr>
              <w:t>Preferred Stock</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tcPr>
          <w:p>
            <w:pPr>
              <w:ind w:left="300"/>
              <w:spacing w:after="0"/>
              <w:rPr>
                <w:sz w:val="20"/>
                <w:szCs w:val="20"/>
                <w:color w:val="auto"/>
              </w:rPr>
            </w:pPr>
            <w:r>
              <w:rPr>
                <w:rFonts w:ascii="Arial" w:cs="Arial" w:eastAsia="Arial" w:hAnsi="Arial"/>
                <w:sz w:val="13"/>
                <w:szCs w:val="13"/>
                <w:b w:val="1"/>
                <w:bCs w:val="1"/>
                <w:color w:val="auto"/>
              </w:rPr>
              <w:t>Series A</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3"/>
                <w:szCs w:val="13"/>
                <w:b w:val="1"/>
                <w:bCs w:val="1"/>
                <w:color w:val="auto"/>
                <w:w w:val="96"/>
              </w:rPr>
              <w:t>Common 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Paid-</w:t>
            </w:r>
          </w:p>
        </w:tc>
        <w:tc>
          <w:tcPr>
            <w:tcW w:w="980" w:type="dxa"/>
            <w:vAlign w:val="bottom"/>
            <w:gridSpan w:val="4"/>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9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rPr>
              <w:t>Shares</w:t>
            </w:r>
          </w:p>
        </w:tc>
        <w:tc>
          <w:tcPr>
            <w:tcW w:w="180" w:type="dxa"/>
            <w:vAlign w:val="bottom"/>
            <w:gridSpan w:val="2"/>
          </w:tcPr>
          <w:p>
            <w:pPr>
              <w:spacing w:after="0"/>
              <w:rPr>
                <w:sz w:val="18"/>
                <w:szCs w:val="18"/>
                <w:color w:val="auto"/>
              </w:rPr>
            </w:pP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3"/>
                <w:szCs w:val="13"/>
                <w:b w:val="1"/>
                <w:bCs w:val="1"/>
                <w:color w:val="auto"/>
              </w:rPr>
              <w:t>Shares</w:t>
            </w:r>
          </w:p>
        </w:tc>
        <w:tc>
          <w:tcPr>
            <w:tcW w:w="800" w:type="dxa"/>
            <w:vAlign w:val="bottom"/>
            <w:gridSpan w:val="4"/>
          </w:tcPr>
          <w:p>
            <w:pPr>
              <w:ind w:left="1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in-Capital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Interest</w:t>
            </w:r>
          </w:p>
        </w:tc>
        <w:tc>
          <w:tcPr>
            <w:tcW w:w="14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 January 1, 2021</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4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w w:val="92"/>
              </w:rPr>
              <w:t>53,551,126</w:t>
            </w:r>
          </w:p>
        </w:tc>
        <w:tc>
          <w:tcPr>
            <w:tcW w:w="4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6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FF0FC"/>
            </w:tcBorders>
            <w:shd w:val="clear" w:color="auto" w:fill="CFF0FC"/>
          </w:tcPr>
          <w:p>
            <w:pPr>
              <w:jc w:val="right"/>
              <w:ind w:right="15"/>
              <w:spacing w:after="0"/>
              <w:rPr>
                <w:sz w:val="20"/>
                <w:szCs w:val="20"/>
                <w:color w:val="auto"/>
              </w:rPr>
            </w:pPr>
            <w:r>
              <w:rPr>
                <w:rFonts w:ascii="Arial" w:cs="Arial" w:eastAsia="Arial" w:hAnsi="Arial"/>
                <w:sz w:val="13"/>
                <w:szCs w:val="13"/>
                <w:color w:val="auto"/>
              </w:rPr>
              <w:t>201,598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(157,392)</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(471)</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December 2020 Public Offering warrants exercise</w:t>
            </w:r>
          </w:p>
        </w:tc>
        <w:tc>
          <w:tcPr>
            <w:tcW w:w="80" w:type="dxa"/>
            <w:vAlign w:val="bottom"/>
          </w:tcPr>
          <w:p>
            <w:pPr>
              <w:spacing w:after="0"/>
              <w:rPr>
                <w:sz w:val="13"/>
                <w:szCs w:val="13"/>
                <w:color w:val="auto"/>
              </w:rPr>
            </w:pPr>
          </w:p>
        </w:tc>
        <w:tc>
          <w:tcPr>
            <w:tcW w:w="68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3"/>
                <w:szCs w:val="13"/>
                <w:color w:val="auto"/>
                <w:w w:val="91"/>
              </w:rPr>
              <w:t>—</w:t>
            </w:r>
          </w:p>
        </w:tc>
        <w:tc>
          <w:tcPr>
            <w:tcW w:w="700" w:type="dxa"/>
            <w:vAlign w:val="bottom"/>
          </w:tcPr>
          <w:p>
            <w:pPr>
              <w:jc w:val="right"/>
              <w:ind w:right="14"/>
              <w:spacing w:after="0"/>
              <w:rPr>
                <w:sz w:val="20"/>
                <w:szCs w:val="20"/>
                <w:color w:val="auto"/>
              </w:rPr>
            </w:pPr>
            <w:r>
              <w:rPr>
                <w:rFonts w:ascii="Arial" w:cs="Arial" w:eastAsia="Arial" w:hAnsi="Arial"/>
                <w:sz w:val="13"/>
                <w:szCs w:val="13"/>
                <w:color w:val="auto"/>
              </w:rPr>
              <w:t>361,200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ind w:right="15"/>
              <w:spacing w:after="0"/>
              <w:rPr>
                <w:sz w:val="20"/>
                <w:szCs w:val="20"/>
                <w:color w:val="auto"/>
              </w:rPr>
            </w:pPr>
            <w:r>
              <w:rPr>
                <w:rFonts w:ascii="Arial" w:cs="Arial" w:eastAsia="Arial" w:hAnsi="Arial"/>
                <w:sz w:val="13"/>
                <w:szCs w:val="13"/>
                <w:color w:val="auto"/>
              </w:rPr>
              <w:t>903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Options exercised</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rPr>
              <w:t>157,304</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ind w:right="15"/>
              <w:spacing w:after="0"/>
              <w:rPr>
                <w:sz w:val="20"/>
                <w:szCs w:val="20"/>
                <w:color w:val="auto"/>
              </w:rPr>
            </w:pPr>
            <w:r>
              <w:rPr>
                <w:rFonts w:ascii="Arial" w:cs="Arial" w:eastAsia="Arial" w:hAnsi="Arial"/>
                <w:sz w:val="13"/>
                <w:szCs w:val="13"/>
                <w:color w:val="auto"/>
              </w:rPr>
              <w:t>212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Net loss - the Company</w:t>
            </w:r>
          </w:p>
        </w:tc>
        <w:tc>
          <w:tcPr>
            <w:tcW w:w="80" w:type="dxa"/>
            <w:vAlign w:val="bottom"/>
          </w:tcPr>
          <w:p>
            <w:pPr>
              <w:spacing w:after="0"/>
              <w:rPr>
                <w:sz w:val="13"/>
                <w:szCs w:val="13"/>
                <w:color w:val="auto"/>
              </w:rPr>
            </w:pPr>
          </w:p>
        </w:tc>
        <w:tc>
          <w:tcPr>
            <w:tcW w:w="68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3"/>
                <w:szCs w:val="13"/>
                <w:color w:val="auto"/>
                <w:w w:val="91"/>
              </w:rPr>
              <w:t>—</w:t>
            </w:r>
          </w:p>
        </w:tc>
        <w:tc>
          <w:tcPr>
            <w:tcW w:w="7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(9,259)</w:t>
            </w:r>
          </w:p>
        </w:tc>
        <w:tc>
          <w:tcPr>
            <w:tcW w:w="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(9,259)</w:t>
            </w: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loss - non-controlling interest</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(176)</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58"/>
        </w:trPr>
        <w:tc>
          <w:tcPr>
            <w:tcW w:w="344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Stock-based compensation</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508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40" w:type="dxa"/>
            <w:vAlign w:val="bottom"/>
            <w:shd w:val="clear" w:color="auto" w:fill="CFF0FC"/>
          </w:tcPr>
          <w:p>
            <w:pPr>
              <w:spacing w:after="0"/>
              <w:rPr>
                <w:sz w:val="20"/>
                <w:szCs w:val="20"/>
                <w:color w:val="auto"/>
              </w:rPr>
            </w:pPr>
            <w:r>
              <w:rPr>
                <w:rFonts w:ascii="Arial" w:cs="Arial" w:eastAsia="Arial" w:hAnsi="Arial"/>
                <w:sz w:val="13"/>
                <w:szCs w:val="13"/>
                <w:color w:val="auto"/>
              </w:rPr>
              <w:t>Balance — March 31, 2021</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w w:val="92"/>
              </w:rPr>
              <w:t>54,069,630</w:t>
            </w:r>
          </w:p>
        </w:tc>
        <w:tc>
          <w:tcPr>
            <w:tcW w:w="4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6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FF0FC"/>
            </w:tcBorders>
            <w:shd w:val="clear" w:color="auto" w:fill="CFF0FC"/>
          </w:tcPr>
          <w:p>
            <w:pPr>
              <w:jc w:val="right"/>
              <w:ind w:right="15"/>
              <w:spacing w:after="0"/>
              <w:rPr>
                <w:sz w:val="20"/>
                <w:szCs w:val="20"/>
                <w:color w:val="auto"/>
              </w:rPr>
            </w:pPr>
            <w:r>
              <w:rPr>
                <w:rFonts w:ascii="Arial" w:cs="Arial" w:eastAsia="Arial" w:hAnsi="Arial"/>
                <w:sz w:val="13"/>
                <w:szCs w:val="13"/>
                <w:color w:val="auto"/>
              </w:rPr>
              <w:t>203,221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(166,651)</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(647)</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3"/>
                <w:szCs w:val="13"/>
                <w:color w:val="auto"/>
              </w:rPr>
              <w:t>Options exercised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ind w:left="340"/>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w w:val="91"/>
              </w:rPr>
              <w:t>—</w:t>
            </w:r>
          </w:p>
        </w:tc>
        <w:tc>
          <w:tcPr>
            <w:tcW w:w="700" w:type="dxa"/>
            <w:vAlign w:val="bottom"/>
          </w:tcPr>
          <w:p>
            <w:pPr>
              <w:jc w:val="right"/>
              <w:ind w:right="14"/>
              <w:spacing w:after="0" w:line="138" w:lineRule="exact"/>
              <w:rPr>
                <w:sz w:val="20"/>
                <w:szCs w:val="20"/>
                <w:color w:val="auto"/>
              </w:rPr>
            </w:pPr>
            <w:r>
              <w:rPr>
                <w:rFonts w:ascii="Arial" w:cs="Arial" w:eastAsia="Arial" w:hAnsi="Arial"/>
                <w:sz w:val="13"/>
                <w:szCs w:val="13"/>
                <w:color w:val="auto"/>
              </w:rPr>
              <w:t>72,192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5"/>
              <w:spacing w:after="0" w:line="138" w:lineRule="exact"/>
              <w:rPr>
                <w:sz w:val="20"/>
                <w:szCs w:val="20"/>
                <w:color w:val="auto"/>
              </w:rPr>
            </w:pPr>
            <w:r>
              <w:rPr>
                <w:rFonts w:ascii="Arial" w:cs="Arial" w:eastAsia="Arial" w:hAnsi="Arial"/>
                <w:sz w:val="13"/>
                <w:szCs w:val="13"/>
                <w:color w:val="auto"/>
              </w:rPr>
              <w:t>98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income - the Company</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377</w:t>
            </w:r>
          </w:p>
        </w:tc>
        <w:tc>
          <w:tcPr>
            <w:tcW w:w="2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Net loss - non-controlling interest</w:t>
            </w:r>
          </w:p>
        </w:tc>
        <w:tc>
          <w:tcPr>
            <w:tcW w:w="80" w:type="dxa"/>
            <w:vAlign w:val="bottom"/>
          </w:tcPr>
          <w:p>
            <w:pPr>
              <w:spacing w:after="0"/>
              <w:rPr>
                <w:sz w:val="13"/>
                <w:szCs w:val="13"/>
                <w:color w:val="auto"/>
              </w:rPr>
            </w:pPr>
          </w:p>
        </w:tc>
        <w:tc>
          <w:tcPr>
            <w:tcW w:w="68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3"/>
                <w:szCs w:val="13"/>
                <w:color w:val="auto"/>
                <w:w w:val="91"/>
              </w:rPr>
              <w:t>—</w:t>
            </w:r>
          </w:p>
        </w:tc>
        <w:tc>
          <w:tcPr>
            <w:tcW w:w="7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(135)</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Stock-based compensation</w:t>
            </w:r>
          </w:p>
        </w:tc>
        <w:tc>
          <w:tcPr>
            <w:tcW w:w="8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w w:val="91"/>
              </w:rPr>
              <w:t>—</w:t>
            </w:r>
          </w:p>
        </w:tc>
        <w:tc>
          <w:tcPr>
            <w:tcW w:w="20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bottom w:val="single" w:sz="8" w:color="auto"/>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tcBorders>
              <w:left w:val="single" w:sz="8" w:color="CFF0FC"/>
              <w:bottom w:val="single" w:sz="8" w:color="auto"/>
            </w:tcBorders>
            <w:shd w:val="clear" w:color="auto" w:fill="CFF0FC"/>
          </w:tcPr>
          <w:p>
            <w:pPr>
              <w:spacing w:after="0"/>
              <w:rPr>
                <w:sz w:val="13"/>
                <w:szCs w:val="13"/>
                <w:color w:val="auto"/>
              </w:rPr>
            </w:pPr>
          </w:p>
        </w:tc>
        <w:tc>
          <w:tcPr>
            <w:tcW w:w="760" w:type="dxa"/>
            <w:vAlign w:val="bottom"/>
            <w:tcBorders>
              <w:bottom w:val="single" w:sz="8" w:color="auto"/>
              <w:right w:val="single" w:sz="8" w:color="CFF0FC"/>
            </w:tcBorders>
            <w:shd w:val="clear" w:color="auto" w:fill="CFF0FC"/>
          </w:tcPr>
          <w:p>
            <w:pPr>
              <w:jc w:val="right"/>
              <w:ind w:right="15"/>
              <w:spacing w:after="0"/>
              <w:rPr>
                <w:sz w:val="20"/>
                <w:szCs w:val="20"/>
                <w:color w:val="auto"/>
              </w:rPr>
            </w:pPr>
            <w:r>
              <w:rPr>
                <w:rFonts w:ascii="Arial" w:cs="Arial" w:eastAsia="Arial" w:hAnsi="Arial"/>
                <w:sz w:val="13"/>
                <w:szCs w:val="13"/>
                <w:color w:val="auto"/>
              </w:rPr>
              <w:t>558</w:t>
            </w:r>
          </w:p>
        </w:tc>
        <w:tc>
          <w:tcPr>
            <w:tcW w:w="1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40" w:type="dxa"/>
            <w:vAlign w:val="bottom"/>
          </w:tcPr>
          <w:p>
            <w:pPr>
              <w:spacing w:after="0"/>
              <w:rPr>
                <w:sz w:val="20"/>
                <w:szCs w:val="20"/>
                <w:color w:val="auto"/>
              </w:rPr>
            </w:pPr>
            <w:r>
              <w:rPr>
                <w:rFonts w:ascii="Arial" w:cs="Arial" w:eastAsia="Arial" w:hAnsi="Arial"/>
                <w:sz w:val="13"/>
                <w:szCs w:val="13"/>
                <w:color w:val="auto"/>
              </w:rPr>
              <w:t>Balance — June 30, 2021</w:t>
            </w:r>
          </w:p>
        </w:tc>
        <w:tc>
          <w:tcPr>
            <w:tcW w:w="8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Arial" w:cs="Arial" w:eastAsia="Arial" w:hAnsi="Arial"/>
                <w:sz w:val="13"/>
                <w:szCs w:val="13"/>
                <w:color w:val="auto"/>
              </w:rPr>
              <w:t>—</w:t>
            </w:r>
          </w:p>
        </w:tc>
        <w:tc>
          <w:tcPr>
            <w:tcW w:w="180" w:type="dxa"/>
            <w:vAlign w:val="bottom"/>
            <w:gridSpan w:val="2"/>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Arial" w:cs="Arial" w:eastAsia="Arial" w:hAnsi="Arial"/>
                <w:sz w:val="13"/>
                <w:szCs w:val="13"/>
                <w:color w:val="auto"/>
                <w:w w:val="92"/>
              </w:rPr>
              <w:t>54,141,822</w:t>
            </w:r>
          </w:p>
        </w:tc>
        <w:tc>
          <w:tcPr>
            <w:tcW w:w="4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5"/>
              <w:spacing w:after="0"/>
              <w:rPr>
                <w:sz w:val="20"/>
                <w:szCs w:val="20"/>
                <w:color w:val="auto"/>
              </w:rPr>
            </w:pPr>
            <w:r>
              <w:rPr>
                <w:rFonts w:ascii="Arial" w:cs="Arial" w:eastAsia="Arial" w:hAnsi="Arial"/>
                <w:sz w:val="13"/>
                <w:szCs w:val="13"/>
                <w:color w:val="auto"/>
              </w:rPr>
              <w:t>203,877</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(166,274)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(782)</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36,847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440" w:type="dxa"/>
            <w:vAlign w:val="bottom"/>
            <w:tcBorders>
              <w:top w:val="single" w:sz="8" w:color="CFF0FC"/>
            </w:tcBorders>
            <w:shd w:val="clear" w:color="auto" w:fill="CFF0FC"/>
          </w:tcPr>
          <w:p>
            <w:pPr>
              <w:ind w:left="240"/>
              <w:spacing w:after="0" w:line="138" w:lineRule="exact"/>
              <w:rPr>
                <w:sz w:val="20"/>
                <w:szCs w:val="20"/>
                <w:color w:val="auto"/>
              </w:rPr>
            </w:pPr>
            <w:r>
              <w:rPr>
                <w:rFonts w:ascii="Arial" w:cs="Arial" w:eastAsia="Arial" w:hAnsi="Arial"/>
                <w:sz w:val="13"/>
                <w:szCs w:val="13"/>
                <w:color w:val="auto"/>
              </w:rPr>
              <w:t>Options exercised</w:t>
            </w: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ind w:left="340"/>
              <w:spacing w:after="0" w:line="138"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gridSpan w:val="2"/>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right w:val="single" w:sz="8" w:color="CFF0FC"/>
            </w:tcBorders>
            <w:shd w:val="clear" w:color="auto" w:fill="CFF0FC"/>
          </w:tcPr>
          <w:p>
            <w:pPr>
              <w:jc w:val="right"/>
              <w:ind w:right="14"/>
              <w:spacing w:after="0" w:line="138" w:lineRule="exact"/>
              <w:rPr>
                <w:sz w:val="20"/>
                <w:szCs w:val="20"/>
                <w:color w:val="auto"/>
              </w:rPr>
            </w:pPr>
            <w:r>
              <w:rPr>
                <w:rFonts w:ascii="Arial" w:cs="Arial" w:eastAsia="Arial" w:hAnsi="Arial"/>
                <w:sz w:val="13"/>
                <w:szCs w:val="13"/>
                <w:color w:val="auto"/>
                <w:w w:val="91"/>
              </w:rPr>
              <w:t>—</w:t>
            </w:r>
          </w:p>
        </w:tc>
        <w:tc>
          <w:tcPr>
            <w:tcW w:w="200" w:type="dxa"/>
            <w:vAlign w:val="bottom"/>
            <w:tcBorders>
              <w:top w:val="single" w:sz="8" w:color="CFF0FC"/>
              <w:right w:val="single" w:sz="8" w:color="CFF0FC"/>
            </w:tcBorders>
            <w:shd w:val="clear" w:color="auto" w:fill="CFF0FC"/>
          </w:tcPr>
          <w:p>
            <w:pPr>
              <w:spacing w:after="0"/>
              <w:rPr>
                <w:sz w:val="11"/>
                <w:szCs w:val="11"/>
                <w:color w:val="auto"/>
              </w:rPr>
            </w:pPr>
          </w:p>
        </w:tc>
        <w:tc>
          <w:tcPr>
            <w:tcW w:w="700" w:type="dxa"/>
            <w:vAlign w:val="bottom"/>
            <w:tcBorders>
              <w:top w:val="single" w:sz="8" w:color="auto"/>
              <w:right w:val="single" w:sz="8" w:color="CFF0FC"/>
            </w:tcBorders>
            <w:shd w:val="clear" w:color="auto" w:fill="CFF0FC"/>
          </w:tcPr>
          <w:p>
            <w:pPr>
              <w:jc w:val="right"/>
              <w:ind w:right="14"/>
              <w:spacing w:after="0" w:line="138" w:lineRule="exact"/>
              <w:rPr>
                <w:sz w:val="20"/>
                <w:szCs w:val="20"/>
                <w:color w:val="auto"/>
              </w:rPr>
            </w:pPr>
            <w:r>
              <w:rPr>
                <w:rFonts w:ascii="Arial" w:cs="Arial" w:eastAsia="Arial" w:hAnsi="Arial"/>
                <w:sz w:val="13"/>
                <w:szCs w:val="13"/>
                <w:color w:val="auto"/>
              </w:rPr>
              <w:t>16,147</w:t>
            </w:r>
          </w:p>
        </w:tc>
        <w:tc>
          <w:tcPr>
            <w:tcW w:w="200" w:type="dxa"/>
            <w:vAlign w:val="bottom"/>
            <w:tcBorders>
              <w:top w:val="single" w:sz="8" w:color="CFF0FC"/>
              <w:right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left w:val="single" w:sz="8" w:color="CFF0FC"/>
            </w:tcBorders>
            <w:shd w:val="clear" w:color="auto" w:fill="CFF0FC"/>
          </w:tcPr>
          <w:p>
            <w:pPr>
              <w:spacing w:after="0"/>
              <w:rPr>
                <w:sz w:val="11"/>
                <w:szCs w:val="11"/>
                <w:color w:val="auto"/>
              </w:rPr>
            </w:pPr>
          </w:p>
        </w:tc>
        <w:tc>
          <w:tcPr>
            <w:tcW w:w="760" w:type="dxa"/>
            <w:vAlign w:val="bottom"/>
            <w:tcBorders>
              <w:top w:val="single" w:sz="8" w:color="auto"/>
              <w:right w:val="single" w:sz="8" w:color="CFF0FC"/>
            </w:tcBorders>
            <w:shd w:val="clear" w:color="auto" w:fill="CFF0FC"/>
          </w:tcPr>
          <w:p>
            <w:pPr>
              <w:jc w:val="right"/>
              <w:ind w:right="15"/>
              <w:spacing w:after="0" w:line="138" w:lineRule="exact"/>
              <w:rPr>
                <w:sz w:val="20"/>
                <w:szCs w:val="20"/>
                <w:color w:val="auto"/>
              </w:rPr>
            </w:pPr>
            <w:r>
              <w:rPr>
                <w:rFonts w:ascii="Arial" w:cs="Arial" w:eastAsia="Arial" w:hAnsi="Arial"/>
                <w:sz w:val="13"/>
                <w:szCs w:val="13"/>
                <w:color w:val="auto"/>
              </w:rPr>
              <w:t>22</w:t>
            </w: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right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22</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Net loss - the Company</w:t>
            </w:r>
          </w:p>
        </w:tc>
        <w:tc>
          <w:tcPr>
            <w:tcW w:w="80" w:type="dxa"/>
            <w:vAlign w:val="bottom"/>
          </w:tcPr>
          <w:p>
            <w:pPr>
              <w:spacing w:after="0"/>
              <w:rPr>
                <w:sz w:val="13"/>
                <w:szCs w:val="13"/>
                <w:color w:val="auto"/>
              </w:rPr>
            </w:pPr>
          </w:p>
        </w:tc>
        <w:tc>
          <w:tcPr>
            <w:tcW w:w="68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3"/>
                <w:szCs w:val="13"/>
                <w:color w:val="auto"/>
                <w:w w:val="91"/>
              </w:rPr>
              <w:t>—</w:t>
            </w:r>
          </w:p>
        </w:tc>
        <w:tc>
          <w:tcPr>
            <w:tcW w:w="7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(9,798)</w:t>
            </w:r>
          </w:p>
        </w:tc>
        <w:tc>
          <w:tcPr>
            <w:tcW w:w="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(9,798)</w:t>
            </w: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income - non-controlling interest</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960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Acquisition of non-controlling interest</w:t>
            </w:r>
          </w:p>
        </w:tc>
        <w:tc>
          <w:tcPr>
            <w:tcW w:w="80" w:type="dxa"/>
            <w:vAlign w:val="bottom"/>
          </w:tcPr>
          <w:p>
            <w:pPr>
              <w:spacing w:after="0"/>
              <w:rPr>
                <w:sz w:val="13"/>
                <w:szCs w:val="13"/>
                <w:color w:val="auto"/>
              </w:rPr>
            </w:pPr>
          </w:p>
        </w:tc>
        <w:tc>
          <w:tcPr>
            <w:tcW w:w="68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3"/>
                <w:szCs w:val="13"/>
                <w:color w:val="auto"/>
                <w:w w:val="91"/>
              </w:rPr>
              <w:t>—</w:t>
            </w:r>
          </w:p>
        </w:tc>
        <w:tc>
          <w:tcPr>
            <w:tcW w:w="7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Disposal of subsidiary</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Stock-based compensation</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536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40" w:type="dxa"/>
            <w:vAlign w:val="bottom"/>
            <w:shd w:val="clear" w:color="auto" w:fill="CFF0FC"/>
          </w:tcPr>
          <w:p>
            <w:pPr>
              <w:spacing w:after="0"/>
              <w:rPr>
                <w:sz w:val="20"/>
                <w:szCs w:val="20"/>
                <w:color w:val="auto"/>
              </w:rPr>
            </w:pPr>
            <w:r>
              <w:rPr>
                <w:rFonts w:ascii="Arial" w:cs="Arial" w:eastAsia="Arial" w:hAnsi="Arial"/>
                <w:sz w:val="13"/>
                <w:szCs w:val="13"/>
                <w:color w:val="auto"/>
              </w:rPr>
              <w:t>Balance — September 30, 2021</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w w:val="92"/>
              </w:rPr>
              <w:t>54,157,969</w:t>
            </w:r>
          </w:p>
        </w:tc>
        <w:tc>
          <w:tcPr>
            <w:tcW w:w="4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6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FF0FC"/>
            </w:tcBorders>
            <w:shd w:val="clear" w:color="auto" w:fill="CFF0FC"/>
          </w:tcPr>
          <w:p>
            <w:pPr>
              <w:jc w:val="right"/>
              <w:ind w:right="15"/>
              <w:spacing w:after="0"/>
              <w:rPr>
                <w:sz w:val="20"/>
                <w:szCs w:val="20"/>
                <w:color w:val="auto"/>
              </w:rPr>
            </w:pPr>
            <w:r>
              <w:rPr>
                <w:rFonts w:ascii="Arial" w:cs="Arial" w:eastAsia="Arial" w:hAnsi="Arial"/>
                <w:sz w:val="13"/>
                <w:szCs w:val="13"/>
                <w:color w:val="auto"/>
              </w:rPr>
              <w:t>204,094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(176,072)</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723</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7"/>
          </w:tcPr>
          <w:p>
            <w:pPr>
              <w:ind w:left="200"/>
              <w:spacing w:after="0"/>
              <w:rPr>
                <w:sz w:val="20"/>
                <w:szCs w:val="20"/>
                <w:color w:val="auto"/>
              </w:rPr>
            </w:pPr>
            <w:r>
              <w:rPr>
                <w:rFonts w:ascii="Arial" w:cs="Arial" w:eastAsia="Arial" w:hAnsi="Arial"/>
                <w:sz w:val="12"/>
                <w:szCs w:val="12"/>
                <w:b w:val="1"/>
                <w:bCs w:val="1"/>
                <w:color w:val="auto"/>
              </w:rPr>
              <w:t>Preferred Stock</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Non-</w:t>
            </w:r>
          </w:p>
        </w:tc>
        <w:tc>
          <w:tcPr>
            <w:tcW w:w="1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5"/>
          </w:tcPr>
          <w:p>
            <w:pPr>
              <w:ind w:left="400"/>
              <w:spacing w:after="0"/>
              <w:rPr>
                <w:sz w:val="20"/>
                <w:szCs w:val="20"/>
                <w:color w:val="auto"/>
              </w:rPr>
            </w:pPr>
            <w:r>
              <w:rPr>
                <w:rFonts w:ascii="Arial" w:cs="Arial" w:eastAsia="Arial" w:hAnsi="Arial"/>
                <w:sz w:val="12"/>
                <w:szCs w:val="12"/>
                <w:b w:val="1"/>
                <w:bCs w:val="1"/>
                <w:color w:val="auto"/>
              </w:rPr>
              <w:t>Series A</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ind w:left="260"/>
              <w:spacing w:after="0"/>
              <w:rPr>
                <w:sz w:val="20"/>
                <w:szCs w:val="20"/>
                <w:color w:val="auto"/>
              </w:rPr>
            </w:pPr>
            <w:r>
              <w:rPr>
                <w:rFonts w:ascii="Arial" w:cs="Arial" w:eastAsia="Arial" w:hAnsi="Arial"/>
                <w:sz w:val="12"/>
                <w:szCs w:val="12"/>
                <w:b w:val="1"/>
                <w:bCs w:val="1"/>
                <w:color w:val="auto"/>
                <w:w w:val="95"/>
              </w:rPr>
              <w:t>Common Stock</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Paid-</w:t>
            </w:r>
          </w:p>
        </w:tc>
        <w:tc>
          <w:tcPr>
            <w:tcW w:w="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80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3"/>
              </w:rPr>
              <w:t>controlling</w:t>
            </w:r>
          </w:p>
        </w:tc>
        <w:tc>
          <w:tcPr>
            <w:tcW w:w="9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jc w:val="right"/>
              <w:ind w:right="114"/>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in-Capital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Interest</w:t>
            </w:r>
          </w:p>
        </w:tc>
        <w:tc>
          <w:tcPr>
            <w:tcW w:w="14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 January 1, 2020</w:t>
            </w:r>
          </w:p>
        </w:tc>
        <w:tc>
          <w:tcPr>
            <w:tcW w:w="80" w:type="dxa"/>
            <w:vAlign w:val="bottom"/>
            <w:shd w:val="clear" w:color="auto" w:fill="CFF0FC"/>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4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28,686,116</w:t>
            </w:r>
          </w:p>
        </w:tc>
        <w:tc>
          <w:tcPr>
            <w:tcW w:w="42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16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149,840</w:t>
            </w:r>
          </w:p>
        </w:tc>
        <w:tc>
          <w:tcPr>
            <w:tcW w:w="1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(75,686)</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2,500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76,678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Issuance of common stock</w:t>
            </w: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1,208,169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2020 Private Placement shares, net of costs</w:t>
            </w: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660,000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2,300,000</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12,115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2020 Private Placement Warrants, net of costs</w:t>
            </w: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Beneficial conversion feature</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3,564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Dividends from subsidiaries</w:t>
            </w: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(218)</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loss - the Company</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(50,190)</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(50,190)</w:t>
            </w: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Net loss - non-controlling interest</w:t>
            </w: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(513)</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(513)</w:t>
            </w: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FF0FC"/>
          </w:tcPr>
          <w:p>
            <w:pPr>
              <w:spacing w:after="0"/>
              <w:rPr>
                <w:sz w:val="13"/>
                <w:szCs w:val="13"/>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tcBorders>
              <w:left w:val="single" w:sz="8" w:color="CFF0FC"/>
              <w:bottom w:val="single" w:sz="8" w:color="auto"/>
            </w:tcBorders>
            <w:shd w:val="clear" w:color="auto" w:fill="CFF0FC"/>
          </w:tcPr>
          <w:p>
            <w:pPr>
              <w:spacing w:after="0"/>
              <w:rPr>
                <w:sz w:val="13"/>
                <w:szCs w:val="13"/>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517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40" w:type="dxa"/>
            <w:vAlign w:val="bottom"/>
          </w:tcPr>
          <w:p>
            <w:pPr>
              <w:spacing w:after="0"/>
              <w:rPr>
                <w:sz w:val="20"/>
                <w:szCs w:val="20"/>
                <w:color w:val="auto"/>
              </w:rPr>
            </w:pPr>
            <w:r>
              <w:rPr>
                <w:rFonts w:ascii="Arial" w:cs="Arial" w:eastAsia="Arial" w:hAnsi="Arial"/>
                <w:sz w:val="13"/>
                <w:szCs w:val="13"/>
                <w:color w:val="auto"/>
              </w:rPr>
              <w:t>Balance — March 31, 2020</w:t>
            </w:r>
          </w:p>
        </w:tc>
        <w:tc>
          <w:tcPr>
            <w:tcW w:w="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660,000</w:t>
            </w:r>
          </w:p>
        </w:tc>
        <w:tc>
          <w:tcPr>
            <w:tcW w:w="80" w:type="dxa"/>
            <w:vAlign w:val="bottom"/>
          </w:tcPr>
          <w:p>
            <w:pPr>
              <w:spacing w:after="0"/>
              <w:rPr>
                <w:sz w:val="16"/>
                <w:szCs w:val="16"/>
                <w:color w:val="auto"/>
              </w:rPr>
            </w:pPr>
          </w:p>
        </w:tc>
        <w:tc>
          <w:tcPr>
            <w:tcW w:w="3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32,194,285</w:t>
            </w:r>
          </w:p>
        </w:tc>
        <w:tc>
          <w:tcPr>
            <w:tcW w:w="4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170,657</w:t>
            </w:r>
          </w:p>
        </w:tc>
        <w:tc>
          <w:tcPr>
            <w:tcW w:w="120" w:type="dxa"/>
            <w:vAlign w:val="bottom"/>
          </w:tcPr>
          <w:p>
            <w:pPr>
              <w:spacing w:after="0"/>
              <w:rPr>
                <w:sz w:val="16"/>
                <w:szCs w:val="16"/>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(125,876)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1,769</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46,574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440" w:type="dxa"/>
            <w:vAlign w:val="bottom"/>
            <w:tcBorders>
              <w:top w:val="single" w:sz="8" w:color="CFF0FC"/>
            </w:tcBorders>
            <w:shd w:val="clear" w:color="auto" w:fill="CFF0FC"/>
          </w:tcPr>
          <w:p>
            <w:pPr>
              <w:ind w:left="240"/>
              <w:spacing w:after="0" w:line="138" w:lineRule="exact"/>
              <w:rPr>
                <w:sz w:val="20"/>
                <w:szCs w:val="20"/>
                <w:color w:val="auto"/>
              </w:rPr>
            </w:pPr>
            <w:r>
              <w:rPr>
                <w:rFonts w:ascii="Arial" w:cs="Arial" w:eastAsia="Arial" w:hAnsi="Arial"/>
                <w:sz w:val="13"/>
                <w:szCs w:val="13"/>
                <w:color w:val="auto"/>
              </w:rPr>
              <w:t>Issuance of common stock</w:t>
            </w:r>
          </w:p>
        </w:tc>
        <w:tc>
          <w:tcPr>
            <w:tcW w:w="8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gridSpan w:val="2"/>
            <w:shd w:val="clear" w:color="auto" w:fill="CFF0FC"/>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right w:val="single" w:sz="8" w:color="CFF0FC"/>
            </w:tcBorders>
            <w:shd w:val="clear" w:color="auto" w:fill="CFF0FC"/>
          </w:tcPr>
          <w:p>
            <w:pPr>
              <w:spacing w:after="0"/>
              <w:rPr>
                <w:sz w:val="11"/>
                <w:szCs w:val="11"/>
                <w:color w:val="auto"/>
              </w:rPr>
            </w:pPr>
          </w:p>
        </w:tc>
        <w:tc>
          <w:tcPr>
            <w:tcW w:w="70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1,013,060</w:t>
            </w:r>
          </w:p>
        </w:tc>
        <w:tc>
          <w:tcPr>
            <w:tcW w:w="200" w:type="dxa"/>
            <w:vAlign w:val="bottom"/>
            <w:tcBorders>
              <w:top w:val="single" w:sz="8" w:color="CFF0FC"/>
              <w:right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left w:val="single" w:sz="8" w:color="CFF0FC"/>
            </w:tcBorders>
            <w:shd w:val="clear" w:color="auto" w:fill="CFF0FC"/>
          </w:tcPr>
          <w:p>
            <w:pPr>
              <w:spacing w:after="0"/>
              <w:rPr>
                <w:sz w:val="11"/>
                <w:szCs w:val="11"/>
                <w:color w:val="auto"/>
              </w:rPr>
            </w:pPr>
          </w:p>
        </w:tc>
        <w:tc>
          <w:tcPr>
            <w:tcW w:w="76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3,393</w:t>
            </w: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right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3,393</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Conversion of Preferred Stock Series A</w:t>
            </w:r>
          </w:p>
        </w:tc>
        <w:tc>
          <w:tcPr>
            <w:tcW w:w="760" w:type="dxa"/>
            <w:vAlign w:val="bottom"/>
            <w:gridSpan w:val="4"/>
          </w:tcPr>
          <w:p>
            <w:pPr>
              <w:jc w:val="right"/>
              <w:ind w:right="40"/>
              <w:spacing w:after="0"/>
              <w:rPr>
                <w:sz w:val="20"/>
                <w:szCs w:val="20"/>
                <w:color w:val="auto"/>
              </w:rPr>
            </w:pPr>
            <w:r>
              <w:rPr>
                <w:rFonts w:ascii="Arial" w:cs="Arial" w:eastAsia="Arial" w:hAnsi="Arial"/>
                <w:sz w:val="13"/>
                <w:szCs w:val="13"/>
                <w:color w:val="auto"/>
              </w:rPr>
              <w:t>(660,000)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6,600,000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Beneficial conversion feature</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(3,564)</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(3,564)</w:t>
            </w: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Deemed dividend</w:t>
            </w: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3,564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Disposal of subsidiary</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(441)</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Net loss - the Company</w:t>
            </w: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(9,588)</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(9,588)</w:t>
            </w: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loss - non-controlling interest</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(177)</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Options exercised</w:t>
            </w: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22,777</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FF0FC"/>
          </w:tcPr>
          <w:p>
            <w:pPr>
              <w:spacing w:after="0"/>
              <w:rPr>
                <w:sz w:val="13"/>
                <w:szCs w:val="13"/>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tcBorders>
              <w:left w:val="single" w:sz="8" w:color="CFF0FC"/>
              <w:bottom w:val="single" w:sz="8" w:color="auto"/>
            </w:tcBorders>
            <w:shd w:val="clear" w:color="auto" w:fill="CFF0FC"/>
          </w:tcPr>
          <w:p>
            <w:pPr>
              <w:spacing w:after="0"/>
              <w:rPr>
                <w:sz w:val="13"/>
                <w:szCs w:val="13"/>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539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40" w:type="dxa"/>
            <w:vAlign w:val="bottom"/>
          </w:tcPr>
          <w:p>
            <w:pPr>
              <w:spacing w:after="0"/>
              <w:rPr>
                <w:sz w:val="20"/>
                <w:szCs w:val="20"/>
                <w:color w:val="auto"/>
              </w:rPr>
            </w:pPr>
            <w:r>
              <w:rPr>
                <w:rFonts w:ascii="Arial" w:cs="Arial" w:eastAsia="Arial" w:hAnsi="Arial"/>
                <w:sz w:val="13"/>
                <w:szCs w:val="13"/>
                <w:color w:val="auto"/>
              </w:rPr>
              <w:t>Balance — June 30, 2020</w:t>
            </w:r>
          </w:p>
        </w:tc>
        <w:tc>
          <w:tcPr>
            <w:tcW w:w="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3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39,830,122</w:t>
            </w:r>
          </w:p>
        </w:tc>
        <w:tc>
          <w:tcPr>
            <w:tcW w:w="4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25</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174,622</w:t>
            </w:r>
          </w:p>
        </w:tc>
        <w:tc>
          <w:tcPr>
            <w:tcW w:w="120" w:type="dxa"/>
            <w:vAlign w:val="bottom"/>
          </w:tcPr>
          <w:p>
            <w:pPr>
              <w:spacing w:after="0"/>
              <w:rPr>
                <w:sz w:val="16"/>
                <w:szCs w:val="16"/>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(135,464)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1,151</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40,334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440" w:type="dxa"/>
            <w:vAlign w:val="bottom"/>
            <w:tcBorders>
              <w:top w:val="single" w:sz="8" w:color="CFF0FC"/>
            </w:tcBorders>
            <w:shd w:val="clear" w:color="auto" w:fill="CFF0FC"/>
          </w:tcPr>
          <w:p>
            <w:pPr>
              <w:ind w:left="240"/>
              <w:spacing w:after="0" w:line="138" w:lineRule="exact"/>
              <w:rPr>
                <w:sz w:val="20"/>
                <w:szCs w:val="20"/>
                <w:color w:val="auto"/>
              </w:rPr>
            </w:pPr>
            <w:r>
              <w:rPr>
                <w:rFonts w:ascii="Arial" w:cs="Arial" w:eastAsia="Arial" w:hAnsi="Arial"/>
                <w:sz w:val="13"/>
                <w:szCs w:val="13"/>
                <w:color w:val="auto"/>
              </w:rPr>
              <w:t>Issuance of common stock</w:t>
            </w:r>
          </w:p>
        </w:tc>
        <w:tc>
          <w:tcPr>
            <w:tcW w:w="8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gridSpan w:val="2"/>
            <w:shd w:val="clear" w:color="auto" w:fill="CFF0FC"/>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right w:val="single" w:sz="8" w:color="CFF0FC"/>
            </w:tcBorders>
            <w:shd w:val="clear" w:color="auto" w:fill="CFF0FC"/>
          </w:tcPr>
          <w:p>
            <w:pPr>
              <w:spacing w:after="0"/>
              <w:rPr>
                <w:sz w:val="11"/>
                <w:szCs w:val="11"/>
                <w:color w:val="auto"/>
              </w:rPr>
            </w:pPr>
          </w:p>
        </w:tc>
        <w:tc>
          <w:tcPr>
            <w:tcW w:w="70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1,017,655</w:t>
            </w:r>
          </w:p>
        </w:tc>
        <w:tc>
          <w:tcPr>
            <w:tcW w:w="200" w:type="dxa"/>
            <w:vAlign w:val="bottom"/>
            <w:tcBorders>
              <w:top w:val="single" w:sz="8" w:color="CFF0FC"/>
              <w:right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left w:val="single" w:sz="8" w:color="CFF0FC"/>
            </w:tcBorders>
            <w:shd w:val="clear" w:color="auto" w:fill="CFF0FC"/>
          </w:tcPr>
          <w:p>
            <w:pPr>
              <w:spacing w:after="0"/>
              <w:rPr>
                <w:sz w:val="11"/>
                <w:szCs w:val="11"/>
                <w:color w:val="auto"/>
              </w:rPr>
            </w:pPr>
          </w:p>
        </w:tc>
        <w:tc>
          <w:tcPr>
            <w:tcW w:w="76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3,049</w:t>
            </w: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right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right w:val="single" w:sz="8" w:color="CFF0FC"/>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3,049</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Net loss - the Company</w:t>
            </w: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(7,243)</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(7,243)</w:t>
            </w: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loss - non-controlling interest</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(78)</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8"/>
        </w:trPr>
        <w:tc>
          <w:tcPr>
            <w:tcW w:w="3440" w:type="dxa"/>
            <w:vAlign w:val="bottom"/>
          </w:tcPr>
          <w:p>
            <w:pPr>
              <w:ind w:left="240"/>
              <w:spacing w:after="0"/>
              <w:rPr>
                <w:sz w:val="20"/>
                <w:szCs w:val="20"/>
                <w:color w:val="auto"/>
              </w:rPr>
            </w:pPr>
            <w:r>
              <w:rPr>
                <w:rFonts w:ascii="Arial" w:cs="Arial" w:eastAsia="Arial" w:hAnsi="Arial"/>
                <w:sz w:val="13"/>
                <w:szCs w:val="13"/>
                <w:color w:val="auto"/>
              </w:rPr>
              <w:t>Options exercised</w:t>
            </w: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25,811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FF0FC"/>
          </w:tcPr>
          <w:p>
            <w:pPr>
              <w:spacing w:after="0"/>
              <w:rPr>
                <w:sz w:val="13"/>
                <w:szCs w:val="13"/>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tcBorders>
              <w:left w:val="single" w:sz="8" w:color="CFF0FC"/>
              <w:bottom w:val="single" w:sz="8" w:color="auto"/>
            </w:tcBorders>
            <w:shd w:val="clear" w:color="auto" w:fill="CFF0FC"/>
          </w:tcPr>
          <w:p>
            <w:pPr>
              <w:spacing w:after="0"/>
              <w:rPr>
                <w:sz w:val="13"/>
                <w:szCs w:val="13"/>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547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40" w:type="dxa"/>
            <w:vAlign w:val="bottom"/>
          </w:tcPr>
          <w:p>
            <w:pPr>
              <w:spacing w:after="0"/>
              <w:rPr>
                <w:sz w:val="20"/>
                <w:szCs w:val="20"/>
                <w:color w:val="auto"/>
              </w:rPr>
            </w:pPr>
            <w:r>
              <w:rPr>
                <w:rFonts w:ascii="Arial" w:cs="Arial" w:eastAsia="Arial" w:hAnsi="Arial"/>
                <w:sz w:val="13"/>
                <w:szCs w:val="13"/>
                <w:color w:val="auto"/>
              </w:rPr>
              <w:t>Balance — September 30, 2020</w:t>
            </w: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40,873,588</w:t>
            </w:r>
          </w:p>
        </w:tc>
        <w:tc>
          <w:tcPr>
            <w:tcW w:w="4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25</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178,258</w:t>
            </w:r>
          </w:p>
        </w:tc>
        <w:tc>
          <w:tcPr>
            <w:tcW w:w="120" w:type="dxa"/>
            <w:vAlign w:val="bottom"/>
          </w:tcPr>
          <w:p>
            <w:pPr>
              <w:spacing w:after="0"/>
              <w:rPr>
                <w:sz w:val="13"/>
                <w:szCs w:val="13"/>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(142,707)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1,073</w:t>
            </w:r>
          </w:p>
        </w:tc>
        <w:tc>
          <w:tcPr>
            <w:tcW w:w="1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36,649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64135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00"/>
          </w:cols>
          <w:pgMar w:left="900" w:top="331" w:right="899" w:bottom="1440" w:gutter="0" w:footer="0" w:header="0"/>
        </w:sectPr>
      </w:pPr>
    </w:p>
    <w:bookmarkStart w:id="6" w:name="page7"/>
    <w:bookmarkEnd w:id="6"/>
    <w:p>
      <w:pPr>
        <w:ind w:left="4680"/>
        <w:spacing w:after="0"/>
        <w:rPr>
          <w:sz w:val="20"/>
          <w:szCs w:val="20"/>
          <w:color w:val="auto"/>
        </w:rPr>
      </w:pPr>
      <w:r>
        <w:rPr>
          <w:rFonts w:ascii="Arial" w:cs="Arial" w:eastAsia="Arial" w:hAnsi="Arial"/>
          <w:sz w:val="18"/>
          <w:szCs w:val="18"/>
          <w:b w:val="1"/>
          <w:bCs w:val="1"/>
          <w:color w:val="auto"/>
        </w:rPr>
        <w:t>VENUS CONCEPT INC.</w:t>
      </w:r>
    </w:p>
    <w:p>
      <w:pPr>
        <w:spacing w:after="0" w:line="10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4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740" w:type="dxa"/>
            <w:vAlign w:val="bottom"/>
          </w:tcPr>
          <w:p>
            <w:pPr>
              <w:spacing w:after="0"/>
              <w:rPr>
                <w:sz w:val="13"/>
                <w:szCs w:val="13"/>
                <w:color w:val="auto"/>
              </w:rPr>
            </w:pPr>
          </w:p>
        </w:tc>
        <w:tc>
          <w:tcPr>
            <w:tcW w:w="1020" w:type="dxa"/>
            <w:vAlign w:val="bottom"/>
          </w:tcPr>
          <w:p>
            <w:pPr>
              <w:jc w:val="right"/>
              <w:ind w:right="63"/>
              <w:spacing w:after="0" w:line="151"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89"/>
              <w:spacing w:after="0" w:line="151"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8"/>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0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5"/>
        </w:trPr>
        <w:tc>
          <w:tcPr>
            <w:tcW w:w="7740" w:type="dxa"/>
            <w:vAlign w:val="bottom"/>
          </w:tcPr>
          <w:p>
            <w:pPr>
              <w:spacing w:after="0"/>
              <w:rPr>
                <w:sz w:val="20"/>
                <w:szCs w:val="20"/>
                <w:color w:val="auto"/>
              </w:rPr>
            </w:pPr>
            <w:r>
              <w:rPr>
                <w:rFonts w:ascii="Arial" w:cs="Arial" w:eastAsia="Arial" w:hAnsi="Arial"/>
                <w:sz w:val="12"/>
                <w:szCs w:val="12"/>
                <w:color w:val="auto"/>
              </w:rPr>
              <w:t>Net loss</w:t>
            </w:r>
          </w:p>
        </w:tc>
        <w:tc>
          <w:tcPr>
            <w:tcW w:w="1020" w:type="dxa"/>
            <w:vAlign w:val="bottom"/>
          </w:tcPr>
          <w:p>
            <w:pPr>
              <w:jc w:val="right"/>
              <w:ind w:right="903"/>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(18,031)</w:t>
            </w:r>
          </w:p>
        </w:tc>
        <w:tc>
          <w:tcPr>
            <w:tcW w:w="1180" w:type="dxa"/>
            <w:vAlign w:val="bottom"/>
            <w:gridSpan w:val="2"/>
          </w:tcPr>
          <w:p>
            <w:pPr>
              <w:jc w:val="right"/>
              <w:ind w:right="929"/>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(67,789)</w:t>
            </w:r>
          </w:p>
        </w:tc>
      </w:tr>
      <w:tr>
        <w:trPr>
          <w:trHeight w:val="145"/>
        </w:trPr>
        <w:tc>
          <w:tcPr>
            <w:tcW w:w="7740" w:type="dxa"/>
            <w:vAlign w:val="bottom"/>
            <w:shd w:val="clear" w:color="auto" w:fill="CFF0FC"/>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Goodwill impairment</w:t>
            </w:r>
          </w:p>
        </w:tc>
        <w:tc>
          <w:tcPr>
            <w:tcW w:w="10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27,450</w:t>
            </w:r>
          </w:p>
        </w:tc>
        <w:tc>
          <w:tcPr>
            <w:tcW w:w="100" w:type="dxa"/>
            <w:vAlign w:val="bottom"/>
          </w:tcPr>
          <w:p>
            <w:pPr>
              <w:spacing w:after="0"/>
              <w:rPr>
                <w:sz w:val="12"/>
                <w:szCs w:val="12"/>
                <w:color w:val="auto"/>
              </w:rPr>
            </w:pPr>
          </w:p>
        </w:tc>
      </w:tr>
      <w:tr>
        <w:trPr>
          <w:trHeight w:val="145"/>
        </w:trPr>
        <w:tc>
          <w:tcPr>
            <w:tcW w:w="77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Depreciation and amortization</w:t>
            </w: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3,756</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3,695</w:t>
            </w: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Stock-based compensation</w:t>
            </w: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1,603</w:t>
            </w:r>
          </w:p>
        </w:tc>
        <w:tc>
          <w:tcPr>
            <w:tcW w:w="100" w:type="dxa"/>
            <w:vAlign w:val="bottom"/>
          </w:tcPr>
          <w:p>
            <w:pPr>
              <w:spacing w:after="0"/>
              <w:rPr>
                <w:sz w:val="12"/>
                <w:szCs w:val="12"/>
                <w:color w:val="auto"/>
              </w:rPr>
            </w:pPr>
          </w:p>
        </w:tc>
      </w:tr>
      <w:tr>
        <w:trPr>
          <w:trHeight w:val="145"/>
        </w:trPr>
        <w:tc>
          <w:tcPr>
            <w:tcW w:w="77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Provision for bad debt</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(628)</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8,450</w:t>
            </w: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Provision for inventory obsolescence</w:t>
            </w: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1,107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703</w:t>
            </w:r>
          </w:p>
        </w:tc>
        <w:tc>
          <w:tcPr>
            <w:tcW w:w="100" w:type="dxa"/>
            <w:vAlign w:val="bottom"/>
          </w:tcPr>
          <w:p>
            <w:pPr>
              <w:spacing w:after="0"/>
              <w:rPr>
                <w:sz w:val="12"/>
                <w:szCs w:val="12"/>
                <w:color w:val="auto"/>
              </w:rPr>
            </w:pPr>
          </w:p>
        </w:tc>
      </w:tr>
      <w:tr>
        <w:trPr>
          <w:trHeight w:val="145"/>
        </w:trPr>
        <w:tc>
          <w:tcPr>
            <w:tcW w:w="77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Finance expenses and accretion</w:t>
            </w: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5,286</w:t>
            </w: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Deferred tax recovery</w:t>
            </w:r>
          </w:p>
        </w:tc>
        <w:tc>
          <w:tcPr>
            <w:tcW w:w="10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(666)</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(1,245)</w:t>
            </w:r>
          </w:p>
        </w:tc>
      </w:tr>
      <w:tr>
        <w:trPr>
          <w:trHeight w:val="145"/>
        </w:trPr>
        <w:tc>
          <w:tcPr>
            <w:tcW w:w="77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Change in fair value of earn-out liability</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291</w:t>
            </w: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Loss on sale of subsidiary</w:t>
            </w: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385</w:t>
            </w:r>
          </w:p>
        </w:tc>
        <w:tc>
          <w:tcPr>
            <w:tcW w:w="100" w:type="dxa"/>
            <w:vAlign w:val="bottom"/>
          </w:tcPr>
          <w:p>
            <w:pPr>
              <w:spacing w:after="0"/>
              <w:rPr>
                <w:sz w:val="12"/>
                <w:szCs w:val="12"/>
                <w:color w:val="auto"/>
              </w:rPr>
            </w:pPr>
          </w:p>
        </w:tc>
      </w:tr>
      <w:tr>
        <w:trPr>
          <w:trHeight w:val="145"/>
        </w:trPr>
        <w:tc>
          <w:tcPr>
            <w:tcW w:w="77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Gain on disposal of property and equipment</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Gain on forgiveness of government assistance loans</w:t>
            </w:r>
          </w:p>
        </w:tc>
        <w:tc>
          <w:tcPr>
            <w:tcW w:w="10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(2,775)</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5"/>
        </w:trPr>
        <w:tc>
          <w:tcPr>
            <w:tcW w:w="7740" w:type="dxa"/>
            <w:vAlign w:val="bottom"/>
            <w:shd w:val="clear" w:color="auto" w:fill="CFF0FC"/>
          </w:tcPr>
          <w:p>
            <w:pPr>
              <w:spacing w:after="0"/>
              <w:rPr>
                <w:sz w:val="20"/>
                <w:szCs w:val="20"/>
                <w:color w:val="auto"/>
              </w:rPr>
            </w:pPr>
            <w:r>
              <w:rPr>
                <w:rFonts w:ascii="Arial" w:cs="Arial" w:eastAsia="Arial" w:hAnsi="Arial"/>
                <w:sz w:val="12"/>
                <w:szCs w:val="12"/>
                <w:color w:val="auto"/>
              </w:rPr>
              <w:t>Changes in operating assets and liabilities:</w:t>
            </w: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480"/>
              <w:spacing w:after="0"/>
              <w:rPr>
                <w:sz w:val="20"/>
                <w:szCs w:val="20"/>
                <w:color w:val="auto"/>
              </w:rPr>
            </w:pPr>
            <w:r>
              <w:rPr>
                <w:rFonts w:ascii="Arial" w:cs="Arial" w:eastAsia="Arial" w:hAnsi="Arial"/>
                <w:sz w:val="12"/>
                <w:szCs w:val="12"/>
                <w:color w:val="auto"/>
              </w:rPr>
              <w:t>Accounts receivable short-term and long-term</w:t>
            </w: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3,468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5,298</w:t>
            </w:r>
          </w:p>
        </w:tc>
        <w:tc>
          <w:tcPr>
            <w:tcW w:w="100" w:type="dxa"/>
            <w:vAlign w:val="bottom"/>
          </w:tcPr>
          <w:p>
            <w:pPr>
              <w:spacing w:after="0"/>
              <w:rPr>
                <w:sz w:val="12"/>
                <w:szCs w:val="12"/>
                <w:color w:val="auto"/>
              </w:rPr>
            </w:pPr>
          </w:p>
        </w:tc>
      </w:tr>
      <w:tr>
        <w:trPr>
          <w:trHeight w:val="145"/>
        </w:trPr>
        <w:tc>
          <w:tcPr>
            <w:tcW w:w="7740" w:type="dxa"/>
            <w:vAlign w:val="bottom"/>
            <w:shd w:val="clear" w:color="auto" w:fill="CFF0FC"/>
          </w:tcPr>
          <w:p>
            <w:pPr>
              <w:ind w:left="480"/>
              <w:spacing w:after="0"/>
              <w:rPr>
                <w:sz w:val="20"/>
                <w:szCs w:val="20"/>
                <w:color w:val="auto"/>
              </w:rPr>
            </w:pPr>
            <w:r>
              <w:rPr>
                <w:rFonts w:ascii="Arial" w:cs="Arial" w:eastAsia="Arial" w:hAnsi="Arial"/>
                <w:sz w:val="12"/>
                <w:szCs w:val="12"/>
                <w:color w:val="auto"/>
              </w:rPr>
              <w:t>Inventories</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(4,373)</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(1,612)</w:t>
            </w:r>
          </w:p>
        </w:tc>
      </w:tr>
      <w:tr>
        <w:trPr>
          <w:trHeight w:val="145"/>
        </w:trPr>
        <w:tc>
          <w:tcPr>
            <w:tcW w:w="7740" w:type="dxa"/>
            <w:vAlign w:val="bottom"/>
          </w:tcPr>
          <w:p>
            <w:pPr>
              <w:ind w:left="480"/>
              <w:spacing w:after="0"/>
              <w:rPr>
                <w:sz w:val="20"/>
                <w:szCs w:val="20"/>
                <w:color w:val="auto"/>
              </w:rPr>
            </w:pPr>
            <w:r>
              <w:rPr>
                <w:rFonts w:ascii="Arial" w:cs="Arial" w:eastAsia="Arial" w:hAnsi="Arial"/>
                <w:sz w:val="12"/>
                <w:szCs w:val="12"/>
                <w:color w:val="auto"/>
              </w:rPr>
              <w:t>Prepaid expenses</w:t>
            </w:r>
          </w:p>
        </w:tc>
        <w:tc>
          <w:tcPr>
            <w:tcW w:w="10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(112)</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493</w:t>
            </w:r>
          </w:p>
        </w:tc>
        <w:tc>
          <w:tcPr>
            <w:tcW w:w="100" w:type="dxa"/>
            <w:vAlign w:val="bottom"/>
          </w:tcPr>
          <w:p>
            <w:pPr>
              <w:spacing w:after="0"/>
              <w:rPr>
                <w:sz w:val="12"/>
                <w:szCs w:val="12"/>
                <w:color w:val="auto"/>
              </w:rPr>
            </w:pPr>
          </w:p>
        </w:tc>
      </w:tr>
      <w:tr>
        <w:trPr>
          <w:trHeight w:val="145"/>
        </w:trPr>
        <w:tc>
          <w:tcPr>
            <w:tcW w:w="7740" w:type="dxa"/>
            <w:vAlign w:val="bottom"/>
            <w:shd w:val="clear" w:color="auto" w:fill="CFF0FC"/>
          </w:tcPr>
          <w:p>
            <w:pPr>
              <w:ind w:left="480"/>
              <w:spacing w:after="0"/>
              <w:rPr>
                <w:sz w:val="20"/>
                <w:szCs w:val="20"/>
                <w:color w:val="auto"/>
              </w:rPr>
            </w:pPr>
            <w:r>
              <w:rPr>
                <w:rFonts w:ascii="Arial" w:cs="Arial" w:eastAsia="Arial" w:hAnsi="Arial"/>
                <w:sz w:val="12"/>
                <w:szCs w:val="12"/>
                <w:color w:val="auto"/>
              </w:rPr>
              <w:t>Advances to suppliers</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(142)</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480"/>
              <w:spacing w:after="0"/>
              <w:rPr>
                <w:sz w:val="20"/>
                <w:szCs w:val="20"/>
                <w:color w:val="auto"/>
              </w:rPr>
            </w:pPr>
            <w:r>
              <w:rPr>
                <w:rFonts w:ascii="Arial" w:cs="Arial" w:eastAsia="Arial" w:hAnsi="Arial"/>
                <w:sz w:val="12"/>
                <w:szCs w:val="12"/>
                <w:color w:val="auto"/>
              </w:rPr>
              <w:t>Other current assets</w:t>
            </w: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(3,533)</w:t>
            </w:r>
          </w:p>
        </w:tc>
      </w:tr>
      <w:tr>
        <w:trPr>
          <w:trHeight w:val="145"/>
        </w:trPr>
        <w:tc>
          <w:tcPr>
            <w:tcW w:w="7740" w:type="dxa"/>
            <w:vAlign w:val="bottom"/>
            <w:shd w:val="clear" w:color="auto" w:fill="CFF0FC"/>
          </w:tcPr>
          <w:p>
            <w:pPr>
              <w:ind w:left="480"/>
              <w:spacing w:after="0"/>
              <w:rPr>
                <w:sz w:val="20"/>
                <w:szCs w:val="20"/>
                <w:color w:val="auto"/>
              </w:rPr>
            </w:pPr>
            <w:r>
              <w:rPr>
                <w:rFonts w:ascii="Arial" w:cs="Arial" w:eastAsia="Arial" w:hAnsi="Arial"/>
                <w:sz w:val="12"/>
                <w:szCs w:val="12"/>
                <w:color w:val="auto"/>
              </w:rPr>
              <w:t>Other long-term assets</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(102)</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480"/>
              <w:spacing w:after="0"/>
              <w:rPr>
                <w:sz w:val="20"/>
                <w:szCs w:val="20"/>
                <w:color w:val="auto"/>
              </w:rPr>
            </w:pPr>
            <w:r>
              <w:rPr>
                <w:rFonts w:ascii="Arial" w:cs="Arial" w:eastAsia="Arial" w:hAnsi="Arial"/>
                <w:sz w:val="12"/>
                <w:szCs w:val="12"/>
                <w:color w:val="auto"/>
              </w:rPr>
              <w:t>Trade payables</w:t>
            </w:r>
          </w:p>
        </w:tc>
        <w:tc>
          <w:tcPr>
            <w:tcW w:w="10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(1,573)</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447</w:t>
            </w:r>
          </w:p>
        </w:tc>
        <w:tc>
          <w:tcPr>
            <w:tcW w:w="100" w:type="dxa"/>
            <w:vAlign w:val="bottom"/>
          </w:tcPr>
          <w:p>
            <w:pPr>
              <w:spacing w:after="0"/>
              <w:rPr>
                <w:sz w:val="12"/>
                <w:szCs w:val="12"/>
                <w:color w:val="auto"/>
              </w:rPr>
            </w:pPr>
          </w:p>
        </w:tc>
      </w:tr>
      <w:tr>
        <w:trPr>
          <w:trHeight w:val="145"/>
        </w:trPr>
        <w:tc>
          <w:tcPr>
            <w:tcW w:w="7740" w:type="dxa"/>
            <w:vAlign w:val="bottom"/>
            <w:shd w:val="clear" w:color="auto" w:fill="CFF0FC"/>
          </w:tcPr>
          <w:p>
            <w:pPr>
              <w:ind w:left="480"/>
              <w:spacing w:after="0"/>
              <w:rPr>
                <w:sz w:val="20"/>
                <w:szCs w:val="20"/>
                <w:color w:val="auto"/>
              </w:rPr>
            </w:pPr>
            <w:r>
              <w:rPr>
                <w:rFonts w:ascii="Arial" w:cs="Arial" w:eastAsia="Arial" w:hAnsi="Arial"/>
                <w:sz w:val="12"/>
                <w:szCs w:val="12"/>
                <w:color w:val="auto"/>
              </w:rPr>
              <w:t>Accrued expenses and other current liabilities</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(3,135)</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(6,584)</w:t>
            </w:r>
          </w:p>
        </w:tc>
      </w:tr>
      <w:tr>
        <w:trPr>
          <w:trHeight w:val="145"/>
        </w:trPr>
        <w:tc>
          <w:tcPr>
            <w:tcW w:w="7740" w:type="dxa"/>
            <w:vAlign w:val="bottom"/>
          </w:tcPr>
          <w:p>
            <w:pPr>
              <w:ind w:left="480"/>
              <w:spacing w:after="0"/>
              <w:rPr>
                <w:sz w:val="20"/>
                <w:szCs w:val="20"/>
                <w:color w:val="auto"/>
              </w:rPr>
            </w:pPr>
            <w:r>
              <w:rPr>
                <w:rFonts w:ascii="Arial" w:cs="Arial" w:eastAsia="Arial" w:hAnsi="Arial"/>
                <w:sz w:val="12"/>
                <w:szCs w:val="12"/>
                <w:color w:val="auto"/>
              </w:rPr>
              <w:t>Severance pay funds</w:t>
            </w:r>
          </w:p>
        </w:tc>
        <w:tc>
          <w:tcPr>
            <w:tcW w:w="10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(58)</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2"/>
                <w:szCs w:val="12"/>
                <w:color w:val="auto"/>
              </w:rPr>
            </w:pPr>
          </w:p>
        </w:tc>
      </w:tr>
      <w:tr>
        <w:trPr>
          <w:trHeight w:val="145"/>
        </w:trPr>
        <w:tc>
          <w:tcPr>
            <w:tcW w:w="7740" w:type="dxa"/>
            <w:vAlign w:val="bottom"/>
            <w:shd w:val="clear" w:color="auto" w:fill="CFF0FC"/>
          </w:tcPr>
          <w:p>
            <w:pPr>
              <w:ind w:left="480"/>
              <w:spacing w:after="0"/>
              <w:rPr>
                <w:sz w:val="20"/>
                <w:szCs w:val="20"/>
                <w:color w:val="auto"/>
              </w:rPr>
            </w:pPr>
            <w:r>
              <w:rPr>
                <w:rFonts w:ascii="Arial" w:cs="Arial" w:eastAsia="Arial" w:hAnsi="Arial"/>
                <w:sz w:val="12"/>
                <w:szCs w:val="12"/>
                <w:color w:val="auto"/>
              </w:rPr>
              <w:t>Unearned interest income</w:t>
            </w: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(1,630)</w:t>
            </w:r>
          </w:p>
        </w:tc>
      </w:tr>
      <w:tr>
        <w:trPr>
          <w:trHeight w:val="145"/>
        </w:trPr>
        <w:tc>
          <w:tcPr>
            <w:tcW w:w="7740" w:type="dxa"/>
            <w:vAlign w:val="bottom"/>
          </w:tcPr>
          <w:p>
            <w:pPr>
              <w:ind w:left="480"/>
              <w:spacing w:after="0"/>
              <w:rPr>
                <w:sz w:val="20"/>
                <w:szCs w:val="20"/>
                <w:color w:val="auto"/>
              </w:rPr>
            </w:pPr>
            <w:r>
              <w:rPr>
                <w:rFonts w:ascii="Arial" w:cs="Arial" w:eastAsia="Arial" w:hAnsi="Arial"/>
                <w:sz w:val="12"/>
                <w:szCs w:val="12"/>
                <w:color w:val="auto"/>
              </w:rPr>
              <w:t>Other long-term liabilities</w:t>
            </w: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(671)</w:t>
            </w:r>
          </w:p>
        </w:tc>
      </w:tr>
      <w:tr>
        <w:trPr>
          <w:trHeight w:val="138"/>
        </w:trPr>
        <w:tc>
          <w:tcPr>
            <w:tcW w:w="77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2"/>
                <w:szCs w:val="12"/>
                <w:color w:val="auto"/>
              </w:rPr>
              <w:t>Net cash used in operating activities</w:t>
            </w:r>
          </w:p>
        </w:tc>
        <w:tc>
          <w:tcPr>
            <w:tcW w:w="102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(19,370)</w:t>
            </w: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(28,780)</w:t>
            </w:r>
          </w:p>
        </w:tc>
        <w:tc>
          <w:tcPr>
            <w:tcW w:w="100" w:type="dxa"/>
            <w:vAlign w:val="bottom"/>
            <w:tcBorders>
              <w:top w:val="single" w:sz="8" w:color="CFF0FC"/>
            </w:tcBorders>
            <w:shd w:val="clear" w:color="auto" w:fill="CFF0FC"/>
          </w:tcPr>
          <w:p>
            <w:pPr>
              <w:spacing w:after="0"/>
              <w:rPr>
                <w:sz w:val="11"/>
                <w:szCs w:val="11"/>
                <w:color w:val="auto"/>
              </w:rPr>
            </w:pPr>
          </w:p>
        </w:tc>
      </w:tr>
      <w:tr>
        <w:trPr>
          <w:trHeight w:val="138"/>
        </w:trPr>
        <w:tc>
          <w:tcPr>
            <w:tcW w:w="774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77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Purchases of property and equipment</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(194)</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(208)</w:t>
            </w: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Cash received from sale of subsidiary, net of cash relinquished</w:t>
            </w:r>
          </w:p>
        </w:tc>
        <w:tc>
          <w:tcPr>
            <w:tcW w:w="10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(40)</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2"/>
                <w:szCs w:val="12"/>
                <w:color w:val="auto"/>
              </w:rPr>
            </w:pPr>
          </w:p>
        </w:tc>
      </w:tr>
      <w:tr>
        <w:trPr>
          <w:trHeight w:val="138"/>
        </w:trPr>
        <w:tc>
          <w:tcPr>
            <w:tcW w:w="77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2"/>
                <w:szCs w:val="12"/>
                <w:color w:val="auto"/>
              </w:rPr>
              <w:t>Net cash used in investing activities</w:t>
            </w:r>
          </w:p>
        </w:tc>
        <w:tc>
          <w:tcPr>
            <w:tcW w:w="102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(234)</w:t>
            </w: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(119)</w:t>
            </w:r>
          </w:p>
        </w:tc>
        <w:tc>
          <w:tcPr>
            <w:tcW w:w="100" w:type="dxa"/>
            <w:vAlign w:val="bottom"/>
            <w:tcBorders>
              <w:top w:val="single" w:sz="8" w:color="CFF0FC"/>
            </w:tcBorders>
            <w:shd w:val="clear" w:color="auto" w:fill="CFF0FC"/>
          </w:tcPr>
          <w:p>
            <w:pPr>
              <w:spacing w:after="0"/>
              <w:rPr>
                <w:sz w:val="11"/>
                <w:szCs w:val="11"/>
                <w:color w:val="auto"/>
              </w:rPr>
            </w:pPr>
          </w:p>
        </w:tc>
      </w:tr>
      <w:tr>
        <w:trPr>
          <w:trHeight w:val="138"/>
        </w:trPr>
        <w:tc>
          <w:tcPr>
            <w:tcW w:w="774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77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Exercises of 2020 December Public Offering Warrants</w:t>
            </w: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903</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Payment of earn-out liability</w:t>
            </w:r>
          </w:p>
        </w:tc>
        <w:tc>
          <w:tcPr>
            <w:tcW w:w="10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(147)</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(549)</w:t>
            </w:r>
          </w:p>
        </w:tc>
      </w:tr>
      <w:tr>
        <w:trPr>
          <w:trHeight w:val="145"/>
        </w:trPr>
        <w:tc>
          <w:tcPr>
            <w:tcW w:w="77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Proceeds from exercise of options</w:t>
            </w: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w:t>
            </w: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Repayment of line-of-credit</w:t>
            </w:r>
          </w:p>
        </w:tc>
        <w:tc>
          <w:tcPr>
            <w:tcW w:w="10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(3,912)</w:t>
            </w:r>
          </w:p>
        </w:tc>
      </w:tr>
      <w:tr>
        <w:trPr>
          <w:trHeight w:val="145"/>
        </w:trPr>
        <w:tc>
          <w:tcPr>
            <w:tcW w:w="77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Proceeds from government assistance loans</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4,110</w:t>
            </w: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Proceeds from issuance of common stock</w:t>
            </w:r>
          </w:p>
        </w:tc>
        <w:tc>
          <w:tcPr>
            <w:tcW w:w="10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6,206</w:t>
            </w:r>
          </w:p>
        </w:tc>
        <w:tc>
          <w:tcPr>
            <w:tcW w:w="100" w:type="dxa"/>
            <w:vAlign w:val="bottom"/>
          </w:tcPr>
          <w:p>
            <w:pPr>
              <w:spacing w:after="0"/>
              <w:rPr>
                <w:sz w:val="12"/>
                <w:szCs w:val="12"/>
                <w:color w:val="auto"/>
              </w:rPr>
            </w:pPr>
          </w:p>
        </w:tc>
      </w:tr>
      <w:tr>
        <w:trPr>
          <w:trHeight w:val="145"/>
        </w:trPr>
        <w:tc>
          <w:tcPr>
            <w:tcW w:w="77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Proceeds from 2020 Private Placement, net of costs of $1,950</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20,300</w:t>
            </w:r>
          </w:p>
        </w:tc>
        <w:tc>
          <w:tcPr>
            <w:tcW w:w="100" w:type="dxa"/>
            <w:vAlign w:val="bottom"/>
            <w:shd w:val="clear" w:color="auto" w:fill="CFF0FC"/>
          </w:tcPr>
          <w:p>
            <w:pPr>
              <w:spacing w:after="0"/>
              <w:rPr>
                <w:sz w:val="12"/>
                <w:szCs w:val="12"/>
                <w:color w:val="auto"/>
              </w:rPr>
            </w:pP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Dividends from subsidiaries paid to non-controlling interest</w:t>
            </w: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(218)</w:t>
            </w:r>
          </w:p>
        </w:tc>
      </w:tr>
      <w:tr>
        <w:trPr>
          <w:trHeight w:val="138"/>
        </w:trPr>
        <w:tc>
          <w:tcPr>
            <w:tcW w:w="77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2"/>
                <w:szCs w:val="12"/>
                <w:color w:val="auto"/>
              </w:rPr>
              <w:t>Net cash provided by financing activities</w:t>
            </w:r>
          </w:p>
        </w:tc>
        <w:tc>
          <w:tcPr>
            <w:tcW w:w="102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1,088</w:t>
            </w: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26,011</w:t>
            </w:r>
          </w:p>
        </w:tc>
        <w:tc>
          <w:tcPr>
            <w:tcW w:w="100" w:type="dxa"/>
            <w:vAlign w:val="bottom"/>
            <w:tcBorders>
              <w:top w:val="single" w:sz="8" w:color="CFF0FC"/>
            </w:tcBorders>
            <w:shd w:val="clear" w:color="auto" w:fill="CFF0FC"/>
          </w:tcPr>
          <w:p>
            <w:pPr>
              <w:spacing w:after="0"/>
              <w:rPr>
                <w:sz w:val="11"/>
                <w:szCs w:val="11"/>
                <w:color w:val="auto"/>
              </w:rPr>
            </w:pPr>
          </w:p>
        </w:tc>
      </w:tr>
      <w:tr>
        <w:trPr>
          <w:trHeight w:val="138"/>
        </w:trPr>
        <w:tc>
          <w:tcPr>
            <w:tcW w:w="7740" w:type="dxa"/>
            <w:vAlign w:val="bottom"/>
          </w:tcPr>
          <w:p>
            <w:pPr>
              <w:spacing w:after="0"/>
              <w:rPr>
                <w:sz w:val="20"/>
                <w:szCs w:val="20"/>
                <w:color w:val="auto"/>
              </w:rPr>
            </w:pPr>
            <w:r>
              <w:rPr>
                <w:rFonts w:ascii="Arial" w:cs="Arial" w:eastAsia="Arial" w:hAnsi="Arial"/>
                <w:sz w:val="12"/>
                <w:szCs w:val="12"/>
                <w:color w:val="auto"/>
              </w:rPr>
              <w:t>NET DECREASE IN CASH AND CASH EQUIVALENTS AND RESTRICTED CASH</w:t>
            </w:r>
          </w:p>
        </w:tc>
        <w:tc>
          <w:tcPr>
            <w:tcW w:w="10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(18,516)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(2,888)</w:t>
            </w:r>
          </w:p>
        </w:tc>
        <w:tc>
          <w:tcPr>
            <w:tcW w:w="100" w:type="dxa"/>
            <w:vAlign w:val="bottom"/>
          </w:tcPr>
          <w:p>
            <w:pPr>
              <w:spacing w:after="0"/>
              <w:rPr>
                <w:sz w:val="11"/>
                <w:szCs w:val="11"/>
                <w:color w:val="auto"/>
              </w:rPr>
            </w:pPr>
          </w:p>
        </w:tc>
      </w:tr>
      <w:tr>
        <w:trPr>
          <w:trHeight w:val="145"/>
        </w:trPr>
        <w:tc>
          <w:tcPr>
            <w:tcW w:w="774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 AND RESTRICTED CASH — Beginning of period</w:t>
            </w:r>
          </w:p>
        </w:tc>
        <w:tc>
          <w:tcPr>
            <w:tcW w:w="10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34,380</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15,749</w:t>
            </w:r>
          </w:p>
        </w:tc>
        <w:tc>
          <w:tcPr>
            <w:tcW w:w="100" w:type="dxa"/>
            <w:vAlign w:val="bottom"/>
            <w:shd w:val="clear" w:color="auto" w:fill="CFF0FC"/>
          </w:tcPr>
          <w:p>
            <w:pPr>
              <w:spacing w:after="0"/>
              <w:rPr>
                <w:sz w:val="12"/>
                <w:szCs w:val="12"/>
                <w:color w:val="auto"/>
              </w:rPr>
            </w:pPr>
          </w:p>
        </w:tc>
      </w:tr>
      <w:tr>
        <w:trPr>
          <w:trHeight w:val="178"/>
        </w:trPr>
        <w:tc>
          <w:tcPr>
            <w:tcW w:w="77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CASH AND CASH EQUIVALENTS AND RESTRICTED CASH — End of period</w:t>
            </w:r>
          </w:p>
        </w:tc>
        <w:tc>
          <w:tcPr>
            <w:tcW w:w="1020" w:type="dxa"/>
            <w:vAlign w:val="bottom"/>
            <w:tcBorders>
              <w:bottom w:val="single" w:sz="8" w:color="auto"/>
            </w:tcBorders>
          </w:tcPr>
          <w:p>
            <w:pPr>
              <w:jc w:val="right"/>
              <w:ind w:right="903"/>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15,864</w:t>
            </w: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92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12,861</w:t>
            </w:r>
          </w:p>
        </w:tc>
        <w:tc>
          <w:tcPr>
            <w:tcW w:w="100" w:type="dxa"/>
            <w:vAlign w:val="bottom"/>
            <w:tcBorders>
              <w:bottom w:val="single" w:sz="8" w:color="CFF0FC"/>
            </w:tcBorders>
          </w:tcPr>
          <w:p>
            <w:pPr>
              <w:spacing w:after="0"/>
              <w:rPr>
                <w:sz w:val="15"/>
                <w:szCs w:val="15"/>
                <w:color w:val="auto"/>
              </w:rPr>
            </w:pPr>
          </w:p>
        </w:tc>
      </w:tr>
      <w:tr>
        <w:trPr>
          <w:trHeight w:val="124"/>
        </w:trPr>
        <w:tc>
          <w:tcPr>
            <w:tcW w:w="7740" w:type="dxa"/>
            <w:vAlign w:val="bottom"/>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SUPPLEMENTAL DISCLOSURES OF CASH FLOW INFORMATION:</w:t>
            </w:r>
          </w:p>
        </w:tc>
        <w:tc>
          <w:tcPr>
            <w:tcW w:w="10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5"/>
        </w:trPr>
        <w:tc>
          <w:tcPr>
            <w:tcW w:w="7740" w:type="dxa"/>
            <w:vAlign w:val="bottom"/>
          </w:tcPr>
          <w:p>
            <w:pPr>
              <w:ind w:left="240"/>
              <w:spacing w:after="0"/>
              <w:rPr>
                <w:sz w:val="20"/>
                <w:szCs w:val="20"/>
                <w:color w:val="auto"/>
              </w:rPr>
            </w:pPr>
            <w:r>
              <w:rPr>
                <w:rFonts w:ascii="Arial" w:cs="Arial" w:eastAsia="Arial" w:hAnsi="Arial"/>
                <w:sz w:val="12"/>
                <w:szCs w:val="12"/>
                <w:color w:val="auto"/>
              </w:rPr>
              <w:t>Cash paid for income taxes</w:t>
            </w:r>
          </w:p>
        </w:tc>
        <w:tc>
          <w:tcPr>
            <w:tcW w:w="1020" w:type="dxa"/>
            <w:vAlign w:val="bottom"/>
          </w:tcPr>
          <w:p>
            <w:pPr>
              <w:jc w:val="right"/>
              <w:ind w:right="903"/>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120</w:t>
            </w:r>
          </w:p>
        </w:tc>
        <w:tc>
          <w:tcPr>
            <w:tcW w:w="160" w:type="dxa"/>
            <w:vAlign w:val="bottom"/>
          </w:tcPr>
          <w:p>
            <w:pPr>
              <w:spacing w:after="0"/>
              <w:rPr>
                <w:sz w:val="12"/>
                <w:szCs w:val="12"/>
                <w:color w:val="auto"/>
              </w:rPr>
            </w:pPr>
          </w:p>
        </w:tc>
        <w:tc>
          <w:tcPr>
            <w:tcW w:w="1180" w:type="dxa"/>
            <w:vAlign w:val="bottom"/>
            <w:gridSpan w:val="2"/>
          </w:tcPr>
          <w:p>
            <w:pPr>
              <w:jc w:val="right"/>
              <w:ind w:right="929"/>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461</w:t>
            </w:r>
          </w:p>
        </w:tc>
        <w:tc>
          <w:tcPr>
            <w:tcW w:w="100" w:type="dxa"/>
            <w:vAlign w:val="bottom"/>
          </w:tcPr>
          <w:p>
            <w:pPr>
              <w:spacing w:after="0"/>
              <w:rPr>
                <w:sz w:val="12"/>
                <w:szCs w:val="12"/>
                <w:color w:val="auto"/>
              </w:rPr>
            </w:pPr>
          </w:p>
        </w:tc>
      </w:tr>
      <w:tr>
        <w:trPr>
          <w:trHeight w:val="138"/>
        </w:trPr>
        <w:tc>
          <w:tcPr>
            <w:tcW w:w="7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2"/>
                <w:szCs w:val="12"/>
                <w:color w:val="auto"/>
              </w:rPr>
              <w:t>Cash paid for interest</w:t>
            </w:r>
          </w:p>
        </w:tc>
        <w:tc>
          <w:tcPr>
            <w:tcW w:w="1020" w:type="dxa"/>
            <w:vAlign w:val="bottom"/>
            <w:tcBorders>
              <w:top w:val="single" w:sz="8" w:color="auto"/>
              <w:bottom w:val="single" w:sz="8" w:color="auto"/>
            </w:tcBorders>
            <w:shd w:val="clear" w:color="auto" w:fill="CFF0FC"/>
          </w:tcPr>
          <w:p>
            <w:pPr>
              <w:jc w:val="right"/>
              <w:ind w:right="903"/>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2,852</w:t>
            </w: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92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988</w:t>
            </w:r>
          </w:p>
        </w:tc>
        <w:tc>
          <w:tcPr>
            <w:tcW w:w="100" w:type="dxa"/>
            <w:vAlign w:val="bottom"/>
            <w:tcBorders>
              <w:top w:val="single" w:sz="8" w:color="CFF0FC"/>
            </w:tcBorders>
            <w:shd w:val="clear" w:color="auto" w:fill="CFF0FC"/>
          </w:tcPr>
          <w:p>
            <w:pPr>
              <w:spacing w:after="0"/>
              <w:rPr>
                <w:sz w:val="11"/>
                <w:szCs w:val="1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jc w:val="center"/>
        <w:ind w:right="380"/>
        <w:spacing w:after="0"/>
        <w:rPr>
          <w:sz w:val="20"/>
          <w:szCs w:val="20"/>
          <w:color w:val="auto"/>
        </w:rPr>
      </w:pPr>
      <w:r>
        <w:rPr>
          <w:rFonts w:ascii="Arial" w:cs="Arial" w:eastAsia="Arial" w:hAnsi="Arial"/>
          <w:sz w:val="18"/>
          <w:szCs w:val="18"/>
          <w:b w:val="1"/>
          <w:bCs w:val="1"/>
          <w:color w:val="auto"/>
        </w:rPr>
        <w:t>VENUS CONCEPT INC.</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i w:val="1"/>
          <w:iCs w:val="1"/>
          <w:color w:val="auto"/>
        </w:rPr>
        <w:t>(Unaudited)</w:t>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i w:val="1"/>
          <w:iCs w:val="1"/>
          <w:color w:val="auto"/>
        </w:rPr>
        <w:t>(in thousands, unless otherwise noted, except for shares and per share data)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condensed consolidated financial statements, the “Company” and “Venus Concept”, refer to Venus Concept Inc. and its subsidiaries on a consolidated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6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has had recurring net operating losses and negative cash flows from operations. As of September 30, 2021 and December 31, 2020, the Company had an accumulated deficit of $176,072 and $157,392, respectively. The Company was in compliance with all required covenants as of September 30, 2021, and December 31, 2020. The Company’s recurring losses from operations and negative cash flows raise substantial doubt about the Company’s ability to continue as a going concern within 12 months from the date that the unaudited condensed consolidated financial statements are issued. In addition, the coronavirus pandemic (“COVID-19” or “pandemic”) has had a significant negative impact on the Company’s results of operations as of September 30, 2021, and for the nine months then ended, and management expects the pandemic to continue to have a negative impact in the foreseeable future, the extent of which is uncertain and largely subject to whether the severity of the pandemic worsens, or duration lengthens. In the event that the pandemic and the economic disruptions it has caused continue for an extended period of time, the Company cannot assure that it will remain in compliance with the financial covenants contained within its credit facilities.</w:t>
      </w:r>
    </w:p>
    <w:p>
      <w:pPr>
        <w:spacing w:after="0" w:line="17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On December 22, 2020, the Company issued and sold to investors 11,250,000 shares of its common stock (“December 2020 Public Offering”), par value $0.0001 per share, at a combined offering price to the public of $2.00 per share and warrants (“December 2020 Public Offering Warrants”) to purchase up to 5,625,000 shares of common stock with an exercise price of $2.50 per share. The December 2020 Public Offering Warrants have a five-year term and are exercisable immediately. Total gross proceeds were $22,500. In February 2021, several investors exercised an aggregate of 361,200 December 2020 Public Offering Warrants at the exercise price of $2.50 per share. The total proceeds received by the Company from the December 2020 Public Offering Warrants exercises were $903. Until the Company generates revenue at a level to support its cost structure, the Company expects to continue to incur substantial operating losses and net cash outflows from operating activities.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Given the pandemic and the uncertainty around the COVID-19 variants,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unaudited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200" w:lineRule="exact"/>
        <w:rPr>
          <w:sz w:val="20"/>
          <w:szCs w:val="20"/>
          <w:color w:val="auto"/>
        </w:rPr>
      </w:pPr>
    </w:p>
    <w:p>
      <w:pPr>
        <w:spacing w:after="0" w:line="39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54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accompanying unaudited condensed consolidated financial statements of Venus Concept Inc. have been prepared in accordance with accounting principles generally accepted in the United States (“U.S. GAAP”) and with the instructions to Form 10-Q and Article 10 of Regulation S-X. Accordingly, they do not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10-K for the year ended December 31, 2020, filed with the Securities and Exchange Commission (the “SEC”) on March 29, 2021. In the opinion of management, all adjustments (consisting only of normal recurring adjustments) considered necessary for fair presentation have been included. Operating results for the nine months ended September 30, 2021 are not necessarily indicative of the results that may be expected for the year ending December 31, 2021. For further information, refer to the consolidated financial statements and footnotes thereto included in Item 8 of the Company’s most recent Annual Report on Form 10-K.</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Form 10-Q for the period ended June 30, 2020, filed with the SEC on August 13, 2020, and in the Form 10-Q for the period ended September 30, 2020, filed with the SEC on November 16, 2020, the loss on disposal of a subsidiary in the amount of $385 was reported as a part of general and administrative expenses in the condensed consolidated statements of operations. The Company corrected the presentation and presented the loss on disposal of the subsidiary as a separate item in the consolidated statements of operations in the Form 10-K for the year ended December 31, 2020, filed with the SEC on March 29, 2021, the Form 10-Q for the period ended June 30, 2021, filed with the SEC on August 13, 2021, and in the accompanying unaudited condensed consolidated statements of operations.</w:t>
      </w:r>
    </w:p>
    <w:p>
      <w:pPr>
        <w:spacing w:after="0" w:line="19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preparation of these unaudited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and the unknown future impacts of COVID-19 as of September 30, 2021 and through the date of this report filing. The accounting matters assessed included, but were not limited to, the allowance for doubtful accounts and the carrying value of intangible and long-lived assets.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accounting policies the Company follows are set forth in the Company’s audited consolidated financial statements for fiscal year 2020. For further information, refer to the consolidated financial statements and footnotes thereto included in Item 8 of the Company’s most recent Annual Report on Form 10-K. There have been no material changes to these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unaudited condensed consolidated financial statements may not be comparable to companies that comply with the new or revised accounting pronouncements as of public company effective dates.</w:t>
      </w:r>
    </w:p>
    <w:p>
      <w:pPr>
        <w:spacing w:after="0" w:line="3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7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April 2020, Financial Accounting Standards Board (the “FASB”) issued a Staff Question-and-Answer Document (Q&amp;A): ASC Topic 842 and ASC Topic 840: Accounting for Lease Concessions Related to the Effects of the COVID-19 Pandemic, that focuses on the application of the lease guidance for lease concessions related solely to the effects of COVID-19. The FASB issued the guidelines to reduce the burden and complexity for companies to account for such lease concessions (e.g., rent abatements or other economic incentives) under current lease accounting rules due to COVID-19 by providing certain practical expedients that can be used. This guidance can be applied immediately. The adoption of the guidance did not have a material impact on the Company’s unaudited condensed consolidated financial statements.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In March 2020, the FASB issued Accounting Standards Update (“ASU”) 2020-04 - Facilitation of the Effects of Reference Rate Reform on Financial Reporting (ASC Topic 848). This authoritative guidance provides optional relief for companies preparing for the discontinuation of interest rates such as LIBOR, which is expected to be phased out at the end of calendar 2021, and applies to lease contracts, hedging instruments, held-to-maturity debt securities and debt arrangements that have LIBOR as the benchmark rate. This guidance can be applied for a limited time, as of the beginning of the interim period that includes March 12, 2020 or any date thereafter, through December 31, 2022. The guidance may no longer be applied after December 31, 2022. In January 2021, the FASB issued authoritative guidance that makes amendments to the new rules on accounting for reference rate reform. The amendments clarify that all derivative instruments affected by the changes to interest rates used for discounting, margining or contract price alignment, regardless of whether they reference LIBOR, or another rate expected to be discontinued as a result of reference rate reform, an entity may apply certain practical expedients in ASC Topic 848. The Company is currently assessing the impact of applying this guidance as well as when to adopt this guidance.</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2020, the FASB issued authoritative guidance (ASU 2020-02 – Financial Instruments – Credit Losses (Topic 326) and Leases (Topic 842)) that amends and clarifies Topic 326 and Topic 842. For Topic 326, the codification was updated to include the SEC staff interpretations associated with registrants engaged in lending activities. ASC Topic 326 is effective for annual periods beginning after January 1, 2023, including interim periods within those fiscal years. The Company is currently evaluating the impact of applying this guidance on its financial instruments, such as accounts receivable.</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December 2019, the FASB issued ASU 2019-12 – Income Taxes (Topic 740): Simplifying the Accounting for Income Taxes, an authoritative guidance that simplifies the accounting for income taxes by removing certain exceptions and making simplifications in other areas. It is effective from the first quarter of fiscal year 2022, with early adoption permitted in any interim period. If adopted early, the Company must adopt all the amendments in the same period. The amendments have differing adoption methods including retrospectively, prospectively and/or modified retrospective basis through a cumulative-effect adjustment to retained earnings as of the beginning of the fiscal year of adoption, depending on the specific change. The Company is currently evaluating the impact of applying this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200" w:lineRule="exact"/>
        <w:rPr>
          <w:sz w:val="20"/>
          <w:szCs w:val="20"/>
          <w:color w:val="auto"/>
        </w:rPr>
      </w:pPr>
    </w:p>
    <w:p>
      <w:pPr>
        <w:spacing w:after="0" w:line="2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548" w:right="339" w:bottom="1440" w:gutter="0" w:footer="0" w:header="0"/>
        </w:sectPr>
      </w:pPr>
    </w:p>
    <w:bookmarkStart w:id="10" w:name="page11"/>
    <w:bookmarkEnd w:id="10"/>
    <w:p>
      <w:pPr>
        <w:ind w:right="120"/>
        <w:spacing w:after="0" w:line="261" w:lineRule="auto"/>
        <w:rPr>
          <w:sz w:val="20"/>
          <w:szCs w:val="20"/>
          <w:color w:val="auto"/>
        </w:rPr>
      </w:pPr>
      <w:r>
        <w:rPr>
          <w:rFonts w:ascii="Arial" w:cs="Arial" w:eastAsia="Arial" w:hAnsi="Arial"/>
          <w:sz w:val="18"/>
          <w:szCs w:val="18"/>
          <w:color w:val="auto"/>
        </w:rPr>
        <w:t>The following table sets forth the computation of basic and diluted net loss per share and the weighted average number of shares used in computing basic and diluted net loss per share (in thousands, except per share data):</w:t>
      </w:r>
    </w:p>
    <w:p>
      <w:pPr>
        <w:spacing w:after="0" w:line="16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Ended September 30,</w:t>
            </w:r>
          </w:p>
        </w:tc>
        <w:tc>
          <w:tcPr>
            <w:tcW w:w="16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Ended September 30,</w:t>
            </w:r>
          </w:p>
        </w:tc>
        <w:tc>
          <w:tcPr>
            <w:tcW w:w="0" w:type="dxa"/>
            <w:vAlign w:val="bottom"/>
          </w:tcPr>
          <w:p>
            <w:pPr>
              <w:spacing w:after="0"/>
              <w:rPr>
                <w:sz w:val="1"/>
                <w:szCs w:val="1"/>
                <w:color w:val="auto"/>
              </w:rPr>
            </w:pPr>
          </w:p>
        </w:tc>
      </w:tr>
      <w:tr>
        <w:trPr>
          <w:trHeight w:val="151"/>
        </w:trPr>
        <w:tc>
          <w:tcPr>
            <w:tcW w:w="4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8"/>
              <w:spacing w:after="0" w:line="151"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15"/>
              <w:spacing w:after="0" w:line="151"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1"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5"/>
              <w:spacing w:after="0" w:line="151"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0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(8,838)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(7,321)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(18,031)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(67,789)</w:t>
            </w:r>
          </w:p>
        </w:tc>
        <w:tc>
          <w:tcPr>
            <w:tcW w:w="0" w:type="dxa"/>
            <w:vAlign w:val="bottom"/>
          </w:tcPr>
          <w:p>
            <w:pPr>
              <w:spacing w:after="0"/>
              <w:rPr>
                <w:sz w:val="1"/>
                <w:szCs w:val="1"/>
                <w:color w:val="auto"/>
              </w:rPr>
            </w:pPr>
          </w:p>
        </w:tc>
      </w:tr>
      <w:tr>
        <w:trPr>
          <w:trHeight w:val="224"/>
        </w:trPr>
        <w:tc>
          <w:tcPr>
            <w:tcW w:w="400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2"/>
              </w:rPr>
              <w:t>Net loss allocated to stockholders of the Company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(9,798)</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(7,243)</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(18,680)</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(70,585)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w w:val="88"/>
              </w:rPr>
              <w:t>Weighted-average shares of common stock outstanding</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used in computing net loss per share, basic</w:t>
            </w: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54,145</w:t>
            </w: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40,466</w:t>
            </w:r>
          </w:p>
        </w:tc>
        <w:tc>
          <w:tcPr>
            <w:tcW w:w="16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53,994</w:t>
            </w:r>
          </w:p>
        </w:tc>
        <w:tc>
          <w:tcPr>
            <w:tcW w:w="16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00" w:type="dxa"/>
            <w:vAlign w:val="bottom"/>
          </w:tcPr>
          <w:p>
            <w:pPr>
              <w:spacing w:after="0" w:line="204" w:lineRule="exact"/>
              <w:rPr>
                <w:sz w:val="20"/>
                <w:szCs w:val="20"/>
                <w:color w:val="auto"/>
              </w:rPr>
            </w:pPr>
            <w:r>
              <w:rPr>
                <w:rFonts w:ascii="Arial" w:cs="Arial" w:eastAsia="Arial" w:hAnsi="Arial"/>
                <w:sz w:val="18"/>
                <w:szCs w:val="18"/>
                <w:color w:val="auto"/>
                <w:w w:val="88"/>
              </w:rPr>
              <w:t>Weighted-average shares of common stock outstanding</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used in computing net loss per share, diluted</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54,145</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40,466</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right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Borders>
              <w:right w:val="single" w:sz="8" w:color="CFF0FC"/>
            </w:tcBorders>
            <w:vMerge w:val="continue"/>
            <w:shd w:val="clear" w:color="auto" w:fill="CFF0FC"/>
          </w:tcPr>
          <w:p>
            <w:pPr>
              <w:spacing w:after="0"/>
              <w:rPr>
                <w:sz w:val="17"/>
                <w:szCs w:val="17"/>
                <w:color w:val="auto"/>
              </w:rPr>
            </w:pP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FF0FC"/>
            </w:tcBorders>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(0.18)</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(0.18)</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(0.35)</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Due to the net loss for the nine months ended September 30, 2021, all the outstanding shares of common stock equivalents were excluded from the calculation of diluted net loss per share attributable to common stockholders because including them would have been antidilutive:</w:t>
      </w:r>
    </w:p>
    <w:p>
      <w:pPr>
        <w:spacing w:after="0" w:line="12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67"/>
        </w:trPr>
        <w:tc>
          <w:tcPr>
            <w:tcW w:w="54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1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5,695,900</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4,885,197</w:t>
            </w:r>
          </w:p>
        </w:tc>
        <w:tc>
          <w:tcPr>
            <w:tcW w:w="80" w:type="dxa"/>
            <w:vAlign w:val="bottom"/>
            <w:shd w:val="clear" w:color="auto" w:fill="CFF0FC"/>
          </w:tcPr>
          <w:p>
            <w:pPr>
              <w:spacing w:after="0"/>
              <w:rPr>
                <w:sz w:val="18"/>
                <w:szCs w:val="18"/>
                <w:color w:val="auto"/>
              </w:rPr>
            </w:pPr>
          </w:p>
        </w:tc>
      </w:tr>
      <w:tr>
        <w:trPr>
          <w:trHeight w:val="22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Warrants for common stock</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15,928,867</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10,665,067</w:t>
            </w:r>
          </w:p>
        </w:tc>
        <w:tc>
          <w:tcPr>
            <w:tcW w:w="80" w:type="dxa"/>
            <w:vAlign w:val="bottom"/>
            <w:tcBorders>
              <w:bottom w:val="single" w:sz="8" w:color="CFF0FC"/>
            </w:tcBorders>
          </w:tcPr>
          <w:p>
            <w:pPr>
              <w:spacing w:after="0"/>
              <w:rPr>
                <w:sz w:val="19"/>
                <w:szCs w:val="19"/>
                <w:color w:val="auto"/>
              </w:rPr>
            </w:pPr>
          </w:p>
        </w:tc>
      </w:tr>
      <w:tr>
        <w:trPr>
          <w:trHeight w:val="217"/>
        </w:trPr>
        <w:tc>
          <w:tcPr>
            <w:tcW w:w="5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potential dilutive shares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21,624,767</w:t>
            </w: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15,550,264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3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financial instruments of the Company consist of cash and cash equivalents, restricted cash, accounts receivable, long-term receivables, lines of credit, trade payables, government assistance loans, accrued expenses and other current liabilities, earn-out liability, other long-term liabilities and long-term debt. In view of their nature, the fair value of these financial instruments approximates their carrying amounts.</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Level 1 that are observable, either directly or indirectly, such as quoted prices in markets that are not active, or other inputs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observable or can be corroborated by observable market data for substantially the full term of the assets or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4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548" w:right="339" w:bottom="1440" w:gutter="0" w:footer="0" w:header="0"/>
        </w:sectPr>
      </w:pPr>
    </w:p>
    <w:bookmarkStart w:id="11" w:name="page12"/>
    <w:bookmarkEnd w:id="11"/>
    <w:p>
      <w:pPr>
        <w:jc w:val="both"/>
        <w:ind w:left="380"/>
        <w:spacing w:after="0" w:line="299" w:lineRule="auto"/>
        <w:rPr>
          <w:sz w:val="20"/>
          <w:szCs w:val="20"/>
          <w:color w:val="auto"/>
        </w:rPr>
      </w:pPr>
      <w:r>
        <w:rPr>
          <w:rFonts w:ascii="Arial" w:cs="Arial" w:eastAsia="Arial" w:hAnsi="Arial"/>
          <w:sz w:val="16"/>
          <w:szCs w:val="16"/>
          <w:color w:val="auto"/>
        </w:rPr>
        <w:t>The Company classifies its restricted cash within Level 1. Guaranteed investment certificates are classified within Level 2 as the Company uses alternative pricing sources and models utilizing market observable inputs for valuation. Contingent earn-out consideration was classified within Level 3. The following tables set forth the fair value of the Company’s Level 1, Level 2 and Level 3 financial assets and liabilities within the fair value hierarchy:</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gridSpan w:val="12"/>
          </w:tcPr>
          <w:p>
            <w:pPr>
              <w:ind w:left="240"/>
              <w:spacing w:after="0"/>
              <w:rPr>
                <w:sz w:val="20"/>
                <w:szCs w:val="20"/>
                <w:color w:val="auto"/>
              </w:rPr>
            </w:pPr>
            <w:r>
              <w:rPr>
                <w:rFonts w:ascii="Arial" w:cs="Arial" w:eastAsia="Arial" w:hAnsi="Arial"/>
                <w:sz w:val="14"/>
                <w:szCs w:val="14"/>
                <w:b w:val="1"/>
                <w:bCs w:val="1"/>
                <w:color w:val="auto"/>
              </w:rPr>
              <w:t>Fair Value Measurements as of September 30, 2021</w:t>
            </w:r>
          </w:p>
        </w:tc>
        <w:tc>
          <w:tcPr>
            <w:tcW w:w="0" w:type="dxa"/>
            <w:vAlign w:val="bottom"/>
          </w:tcPr>
          <w:p>
            <w:pPr>
              <w:spacing w:after="0"/>
              <w:rPr>
                <w:sz w:val="1"/>
                <w:szCs w:val="1"/>
                <w:color w:val="auto"/>
              </w:rPr>
            </w:pPr>
          </w:p>
        </w:tc>
      </w:tr>
      <w:tr>
        <w:trPr>
          <w:trHeight w:val="128"/>
        </w:trPr>
        <w:tc>
          <w:tcPr>
            <w:tcW w:w="3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5"/>
              <w:spacing w:after="0" w:line="129" w:lineRule="exact"/>
              <w:rPr>
                <w:sz w:val="20"/>
                <w:szCs w:val="20"/>
                <w:color w:val="auto"/>
              </w:rPr>
            </w:pPr>
            <w:r>
              <w:rPr>
                <w:rFonts w:ascii="Arial" w:cs="Arial" w:eastAsia="Arial" w:hAnsi="Arial"/>
                <w:sz w:val="14"/>
                <w:szCs w:val="14"/>
                <w:b w:val="1"/>
                <w:bCs w:val="1"/>
                <w:color w:val="auto"/>
                <w:w w:val="89"/>
              </w:rPr>
              <w:t>Quoted</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auto"/>
                <w:w w:val="89"/>
              </w:rPr>
              <w:t>Prices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5"/>
              <w:spacing w:after="0" w:line="145"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5"/>
              <w:spacing w:after="0" w:line="145" w:lineRule="exact"/>
              <w:rPr>
                <w:sz w:val="20"/>
                <w:szCs w:val="20"/>
                <w:color w:val="auto"/>
              </w:rPr>
            </w:pPr>
            <w:r>
              <w:rPr>
                <w:rFonts w:ascii="Arial" w:cs="Arial" w:eastAsia="Arial" w:hAnsi="Arial"/>
                <w:sz w:val="14"/>
                <w:szCs w:val="14"/>
                <w:b w:val="1"/>
                <w:bCs w:val="1"/>
                <w:color w:val="auto"/>
                <w:w w:val="94"/>
              </w:rPr>
              <w:t>Markets</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Significant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auto"/>
                <w:w w:val="85"/>
              </w:rPr>
              <w:t>using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5"/>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240"/>
              <w:spacing w:after="0"/>
              <w:rPr>
                <w:sz w:val="20"/>
                <w:szCs w:val="20"/>
                <w:color w:val="auto"/>
              </w:rPr>
            </w:pPr>
            <w:r>
              <w:rPr>
                <w:rFonts w:ascii="Arial" w:cs="Arial" w:eastAsia="Arial" w:hAnsi="Arial"/>
                <w:sz w:val="18"/>
                <w:szCs w:val="18"/>
                <w:color w:val="auto"/>
              </w:rPr>
              <w:t>Guaranteed Investment Certificates (GIC)</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9"/>
              </w:rPr>
              <w:t>83</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89"/>
              </w:rPr>
              <w:t>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12"/>
          </w:tcPr>
          <w:p>
            <w:pPr>
              <w:ind w:left="260"/>
              <w:spacing w:after="0"/>
              <w:rPr>
                <w:sz w:val="20"/>
                <w:szCs w:val="20"/>
                <w:color w:val="auto"/>
              </w:rPr>
            </w:pPr>
            <w:r>
              <w:rPr>
                <w:rFonts w:ascii="Arial" w:cs="Arial" w:eastAsia="Arial" w:hAnsi="Arial"/>
                <w:sz w:val="14"/>
                <w:szCs w:val="14"/>
                <w:b w:val="1"/>
                <w:bCs w:val="1"/>
                <w:color w:val="auto"/>
              </w:rPr>
              <w:t>Fair Value Measurements as of December 31, 2020</w:t>
            </w:r>
          </w:p>
        </w:tc>
        <w:tc>
          <w:tcPr>
            <w:tcW w:w="0" w:type="dxa"/>
            <w:vAlign w:val="bottom"/>
          </w:tcPr>
          <w:p>
            <w:pPr>
              <w:spacing w:after="0"/>
              <w:rPr>
                <w:sz w:val="1"/>
                <w:szCs w:val="1"/>
                <w:color w:val="auto"/>
              </w:rPr>
            </w:pPr>
          </w:p>
        </w:tc>
      </w:tr>
      <w:tr>
        <w:trPr>
          <w:trHeight w:val="128"/>
        </w:trPr>
        <w:tc>
          <w:tcPr>
            <w:tcW w:w="3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5"/>
              <w:spacing w:after="0" w:line="129" w:lineRule="exact"/>
              <w:rPr>
                <w:sz w:val="20"/>
                <w:szCs w:val="20"/>
                <w:color w:val="auto"/>
              </w:rPr>
            </w:pPr>
            <w:r>
              <w:rPr>
                <w:rFonts w:ascii="Arial" w:cs="Arial" w:eastAsia="Arial" w:hAnsi="Arial"/>
                <w:sz w:val="14"/>
                <w:szCs w:val="14"/>
                <w:b w:val="1"/>
                <w:bCs w:val="1"/>
                <w:color w:val="auto"/>
                <w:w w:val="89"/>
              </w:rPr>
              <w:t>Quoted</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auto"/>
                <w:w w:val="89"/>
              </w:rPr>
              <w:t>Prices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5"/>
              <w:spacing w:after="0" w:line="145"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5"/>
              <w:spacing w:after="0" w:line="145" w:lineRule="exact"/>
              <w:rPr>
                <w:sz w:val="20"/>
                <w:szCs w:val="20"/>
                <w:color w:val="auto"/>
              </w:rPr>
            </w:pPr>
            <w:r>
              <w:rPr>
                <w:rFonts w:ascii="Arial" w:cs="Arial" w:eastAsia="Arial" w:hAnsi="Arial"/>
                <w:sz w:val="14"/>
                <w:szCs w:val="14"/>
                <w:b w:val="1"/>
                <w:bCs w:val="1"/>
                <w:color w:val="auto"/>
                <w:w w:val="94"/>
              </w:rPr>
              <w:t>Markets</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Significant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auto"/>
                <w:w w:val="85"/>
              </w:rPr>
              <w:t>using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5"/>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240"/>
              <w:spacing w:after="0"/>
              <w:rPr>
                <w:sz w:val="20"/>
                <w:szCs w:val="20"/>
                <w:color w:val="auto"/>
              </w:rPr>
            </w:pPr>
            <w:r>
              <w:rPr>
                <w:rFonts w:ascii="Arial" w:cs="Arial" w:eastAsia="Arial" w:hAnsi="Arial"/>
                <w:sz w:val="18"/>
                <w:szCs w:val="18"/>
                <w:color w:val="auto"/>
              </w:rPr>
              <w:t>Guaranteed Investment Certificates (GIC)</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9"/>
              </w:rPr>
              <w:t>83</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89"/>
              </w:rPr>
              <w:t>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60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Liabilities</w:t>
            </w:r>
          </w:p>
        </w:tc>
        <w:tc>
          <w:tcPr>
            <w:tcW w:w="4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Contingent earn-out consideration</w:t>
            </w:r>
          </w:p>
        </w:tc>
        <w:tc>
          <w:tcPr>
            <w:tcW w:w="4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80"/>
        <w:spacing w:after="0" w:line="248" w:lineRule="auto"/>
        <w:rPr>
          <w:sz w:val="20"/>
          <w:szCs w:val="20"/>
          <w:color w:val="auto"/>
        </w:rPr>
      </w:pPr>
      <w:r>
        <w:rPr>
          <w:rFonts w:ascii="Arial" w:cs="Arial" w:eastAsia="Arial" w:hAnsi="Arial"/>
          <w:sz w:val="18"/>
          <w:szCs w:val="18"/>
          <w:color w:val="auto"/>
        </w:rPr>
        <w:t>The earn-out liability was measured using discounted cash flow techniques, with the expected cash outflows estimated based on the assessed probability of the acquired business achieving the revenue metrics required for payment. Expected future revenues of the acquired business and the associated estimate of probability are not observable inputs. The payments due are based on point in time measurements of the metrics quarterly for two years from the acquisition date. Changes in the fair value of the earn-out liability were recognized in finance expenses in the unaudited condensed consolidated statements of operations.</w:t>
      </w:r>
    </w:p>
    <w:p>
      <w:pPr>
        <w:spacing w:after="0" w:line="192"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The following table provides a roll forward of the aggregate fair values of the earn-out liability for the nine months ended September 30, 2021, for which fair value is determined using Level 3 inputs: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 2020</w:t>
            </w:r>
          </w:p>
        </w:tc>
        <w:tc>
          <w:tcPr>
            <w:tcW w:w="38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Arial" w:cs="Arial" w:eastAsia="Arial" w:hAnsi="Arial"/>
                <w:sz w:val="18"/>
                <w:szCs w:val="18"/>
                <w:color w:val="auto"/>
              </w:rPr>
              <w:t>Payments</w:t>
            </w:r>
          </w:p>
        </w:tc>
        <w:tc>
          <w:tcPr>
            <w:tcW w:w="3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value</w:t>
            </w:r>
          </w:p>
        </w:tc>
        <w:tc>
          <w:tcPr>
            <w:tcW w:w="33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700"/>
              <w:spacing w:after="0"/>
              <w:rPr>
                <w:sz w:val="20"/>
                <w:szCs w:val="20"/>
                <w:color w:val="auto"/>
              </w:rPr>
            </w:pPr>
            <w:r>
              <w:rPr>
                <w:rFonts w:ascii="Arial" w:cs="Arial" w:eastAsia="Arial" w:hAnsi="Arial"/>
                <w:sz w:val="18"/>
                <w:szCs w:val="18"/>
                <w:color w:val="auto"/>
              </w:rPr>
              <w:t>Balance as of December 31, 2020</w:t>
            </w: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Payments</w:t>
            </w:r>
          </w:p>
        </w:tc>
        <w:tc>
          <w:tcPr>
            <w:tcW w:w="33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00" w:type="dxa"/>
            <w:vAlign w:val="bottom"/>
          </w:tcPr>
          <w:p>
            <w:pPr>
              <w:spacing w:after="0"/>
              <w:rPr>
                <w:sz w:val="18"/>
                <w:szCs w:val="18"/>
                <w:color w:val="auto"/>
              </w:rPr>
            </w:pPr>
          </w:p>
        </w:tc>
        <w:tc>
          <w:tcPr>
            <w:tcW w:w="3120" w:type="dxa"/>
            <w:vAlign w:val="bottom"/>
            <w:vMerge w:val="continue"/>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Change in value</w:t>
            </w:r>
          </w:p>
        </w:tc>
        <w:tc>
          <w:tcPr>
            <w:tcW w:w="33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September 30, 2021</w:t>
            </w:r>
          </w:p>
        </w:tc>
        <w:tc>
          <w:tcPr>
            <w:tcW w:w="38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3320" w:type="dxa"/>
            <w:vAlign w:val="bottom"/>
            <w:tcBorders>
              <w:top w:val="single" w:sz="8" w:color="CFF0FC"/>
              <w:bottom w:val="single" w:sz="8" w:color="CFF0FC"/>
            </w:tcBorders>
            <w:vMerge w:val="restart"/>
          </w:tcPr>
          <w:p>
            <w:pPr>
              <w:jc w:val="right"/>
              <w:ind w:right="2352"/>
              <w:spacing w:after="0"/>
              <w:rPr>
                <w:sz w:val="20"/>
                <w:szCs w:val="20"/>
                <w:color w:val="auto"/>
              </w:rPr>
            </w:pPr>
            <w:r>
              <w:rPr>
                <w:rFonts w:ascii="Arial" w:cs="Arial" w:eastAsia="Arial" w:hAnsi="Arial"/>
                <w:sz w:val="18"/>
                <w:szCs w:val="18"/>
                <w:color w:val="auto"/>
              </w:rPr>
              <w:t>11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0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ACCOUNTS RECEIVABLE</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products may be sold under subscription agreements with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$51,004 and $49,096 as of September 30, 2021 and December 31, 2020,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performed an assessment of the allowance for doubtful accounts as of September 30, 2021 and December 31, 2020. Based upon such assessment, the Company recorded an allowance for doubtful accounts totaling $11,459 and $18,490 as of September 30, 2021, and December 31, 2020,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accounts receivables is presented below:</w:t>
      </w:r>
    </w:p>
    <w:p>
      <w:pPr>
        <w:spacing w:after="0" w:line="200" w:lineRule="exact"/>
        <w:rPr>
          <w:sz w:val="20"/>
          <w:szCs w:val="20"/>
          <w:color w:val="auto"/>
        </w:rPr>
      </w:pPr>
    </w:p>
    <w:p>
      <w:pPr>
        <w:spacing w:after="0" w:line="22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67"/>
        </w:trPr>
        <w:tc>
          <w:tcPr>
            <w:tcW w:w="394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17"/>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Gross accounts receivable</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82,494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92,402</w:t>
            </w:r>
          </w:p>
        </w:tc>
        <w:tc>
          <w:tcPr>
            <w:tcW w:w="80" w:type="dxa"/>
            <w:vAlign w:val="bottom"/>
            <w:shd w:val="clear" w:color="auto" w:fill="CFF0FC"/>
          </w:tcPr>
          <w:p>
            <w:pPr>
              <w:spacing w:after="0"/>
              <w:rPr>
                <w:sz w:val="18"/>
                <w:szCs w:val="18"/>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Unearned income</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(3,856)</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(3,728)</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(11,459)</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(18,490)</w:t>
            </w:r>
          </w:p>
        </w:tc>
      </w:tr>
      <w:tr>
        <w:trPr>
          <w:trHeight w:val="20"/>
        </w:trPr>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3940" w:type="dxa"/>
            <w:vAlign w:val="bottom"/>
          </w:tcPr>
          <w:p>
            <w:pPr>
              <w:spacing w:after="0"/>
              <w:rPr>
                <w:sz w:val="22"/>
                <w:szCs w:val="22"/>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67,179</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70,184</w:t>
            </w:r>
          </w:p>
        </w:tc>
        <w:tc>
          <w:tcPr>
            <w:tcW w:w="80" w:type="dxa"/>
            <w:vAlign w:val="bottom"/>
          </w:tcPr>
          <w:p>
            <w:pPr>
              <w:spacing w:after="0"/>
              <w:rPr>
                <w:sz w:val="22"/>
                <w:szCs w:val="22"/>
                <w:color w:val="auto"/>
              </w:rPr>
            </w:pPr>
          </w:p>
        </w:tc>
      </w:tr>
      <w:tr>
        <w:trPr>
          <w:trHeight w:val="203"/>
        </w:trPr>
        <w:tc>
          <w:tcPr>
            <w:tcW w:w="394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Reported as:</w:t>
            </w:r>
          </w:p>
        </w:tc>
        <w:tc>
          <w:tcPr>
            <w:tcW w:w="14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Current trade receivables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47,792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52,764</w:t>
            </w:r>
          </w:p>
        </w:tc>
        <w:tc>
          <w:tcPr>
            <w:tcW w:w="80" w:type="dxa"/>
            <w:vAlign w:val="bottom"/>
          </w:tcPr>
          <w:p>
            <w:pPr>
              <w:spacing w:after="0"/>
              <w:rPr>
                <w:sz w:val="19"/>
                <w:szCs w:val="19"/>
                <w:color w:val="auto"/>
              </w:rPr>
            </w:pPr>
          </w:p>
        </w:tc>
      </w:tr>
      <w:tr>
        <w:trPr>
          <w:trHeight w:val="224"/>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Current unearned interest income</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(2,565)</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(1,950)</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Long-term trade receivables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21,148</w:t>
            </w:r>
          </w:p>
        </w:tc>
        <w:tc>
          <w:tcPr>
            <w:tcW w:w="80" w:type="dxa"/>
            <w:vAlign w:val="bottom"/>
          </w:tcPr>
          <w:p>
            <w:pPr>
              <w:spacing w:after="0"/>
              <w:rPr>
                <w:sz w:val="19"/>
                <w:szCs w:val="19"/>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Long-term unearned interest income</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(1,778)</w:t>
            </w:r>
          </w:p>
        </w:tc>
      </w:tr>
      <w:tr>
        <w:trPr>
          <w:trHeight w:val="20"/>
        </w:trPr>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67,179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70,184</w:t>
            </w:r>
          </w:p>
        </w:tc>
        <w:tc>
          <w:tcPr>
            <w:tcW w:w="8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Current subscription agreements are reported as part of accounts receivable. The following are the contractual commitments, net of allowance for doubtful accounts, to be received by the Company over the next 5 years:</w:t>
      </w:r>
    </w:p>
    <w:p>
      <w:pPr>
        <w:spacing w:after="0" w:line="249"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0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101"/>
              <w:spacing w:after="0" w:line="151"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line="151"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7"/>
              <w:spacing w:after="0" w:line="151" w:lineRule="exact"/>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7"/>
              <w:spacing w:after="0" w:line="151" w:lineRule="exact"/>
              <w:rPr>
                <w:sz w:val="20"/>
                <w:szCs w:val="20"/>
                <w:color w:val="auto"/>
              </w:rPr>
            </w:pPr>
            <w:r>
              <w:rPr>
                <w:rFonts w:ascii="Arial" w:cs="Arial" w:eastAsia="Arial" w:hAnsi="Arial"/>
                <w:sz w:val="14"/>
                <w:szCs w:val="14"/>
                <w:b w:val="1"/>
                <w:bCs w:val="1"/>
                <w:color w:val="auto"/>
                <w:w w:val="96"/>
              </w:rPr>
              <w:t>2024</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line="151" w:lineRule="exact"/>
              <w:rPr>
                <w:sz w:val="20"/>
                <w:szCs w:val="20"/>
                <w:color w:val="auto"/>
              </w:rPr>
            </w:pPr>
            <w:r>
              <w:rPr>
                <w:rFonts w:ascii="Arial" w:cs="Arial" w:eastAsia="Arial" w:hAnsi="Arial"/>
                <w:sz w:val="14"/>
                <w:szCs w:val="14"/>
                <w:b w:val="1"/>
                <w:bCs w:val="1"/>
                <w:color w:val="auto"/>
                <w:w w:val="96"/>
              </w:rPr>
              <w:t>2025</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020" w:type="dxa"/>
            <w:vAlign w:val="bottom"/>
            <w:shd w:val="clear" w:color="auto" w:fill="CFF0FC"/>
          </w:tcPr>
          <w:p>
            <w:pPr>
              <w:spacing w:after="0" w:line="204" w:lineRule="exact"/>
              <w:rPr>
                <w:sz w:val="20"/>
                <w:szCs w:val="20"/>
                <w:color w:val="auto"/>
              </w:rPr>
            </w:pPr>
            <w:r>
              <w:rPr>
                <w:rFonts w:ascii="Arial" w:cs="Arial" w:eastAsia="Arial" w:hAnsi="Arial"/>
                <w:sz w:val="18"/>
                <w:szCs w:val="18"/>
                <w:color w:val="auto"/>
              </w:rPr>
              <w:t>Current financing receivables, net of</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allowance of $4,313</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$ 27,813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$ 27,813</w:t>
            </w: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020" w:type="dxa"/>
            <w:vAlign w:val="bottom"/>
          </w:tcPr>
          <w:p>
            <w:pPr>
              <w:spacing w:after="0"/>
              <w:rPr>
                <w:sz w:val="20"/>
                <w:szCs w:val="20"/>
                <w:color w:val="auto"/>
              </w:rPr>
            </w:pPr>
            <w:r>
              <w:rPr>
                <w:rFonts w:ascii="Arial" w:cs="Arial" w:eastAsia="Arial" w:hAnsi="Arial"/>
                <w:sz w:val="18"/>
                <w:szCs w:val="18"/>
                <w:color w:val="auto"/>
                <w:w w:val="96"/>
              </w:rPr>
              <w:t>Long-term financing receivables, net of</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of $3,651</w:t>
            </w: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23,191</w:t>
            </w:r>
          </w:p>
        </w:tc>
        <w:tc>
          <w:tcPr>
            <w:tcW w:w="1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16,042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$ 51,004</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$ 27,813</w:t>
            </w: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16,042</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6,954</w:t>
            </w:r>
          </w:p>
        </w:tc>
        <w:tc>
          <w:tcPr>
            <w:tcW w:w="12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the Company’s estimates and could be material to its consolidated financial position, results of operations and cash flows.</w:t>
      </w:r>
    </w:p>
    <w:p>
      <w:pPr>
        <w:spacing w:after="0" w:line="19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752" w:right="339" w:bottom="1440" w:gutter="0" w:footer="0" w:header="0"/>
        </w:sectPr>
      </w:pPr>
    </w:p>
    <w:bookmarkStart w:id="13" w:name="page14"/>
    <w:bookmarkEnd w:id="13"/>
    <w:tbl>
      <w:tblPr>
        <w:tblLayout w:type="fixed"/>
        <w:tblInd w:w="380" w:type="dxa"/>
        <w:tblCellMar>
          <w:top w:w="0" w:type="dxa"/>
          <w:left w:w="0" w:type="dxa"/>
          <w:bottom w:w="0" w:type="dxa"/>
          <w:right w:w="0" w:type="dxa"/>
        </w:tblCellMar>
      </w:tblP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The allowance for doubtful accounts consisted of the following activity:</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6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 2020</w:t>
            </w:r>
          </w:p>
        </w:tc>
        <w:tc>
          <w:tcPr>
            <w:tcW w:w="46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10,494</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Write-offs</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15,212</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Sale of subsidiaries</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18,490</w:t>
            </w: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Write-offs</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w:t>
            </w: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320"/>
              <w:spacing w:after="0"/>
              <w:rPr>
                <w:sz w:val="20"/>
                <w:szCs w:val="20"/>
                <w:color w:val="auto"/>
              </w:rPr>
            </w:pPr>
            <w:r>
              <w:rPr>
                <w:rFonts w:ascii="Arial" w:cs="Arial" w:eastAsia="Arial" w:hAnsi="Arial"/>
                <w:sz w:val="18"/>
                <w:szCs w:val="18"/>
                <w:color w:val="auto"/>
              </w:rPr>
              <w:t>Balance as of March 31, 2021</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17,694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Write-offs</w:t>
            </w: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20" w:type="dxa"/>
            <w:vAlign w:val="bottom"/>
          </w:tcPr>
          <w:p>
            <w:pPr>
              <w:spacing w:after="0"/>
              <w:rPr>
                <w:sz w:val="18"/>
                <w:szCs w:val="18"/>
                <w:color w:val="auto"/>
              </w:rPr>
            </w:pPr>
          </w:p>
        </w:tc>
        <w:tc>
          <w:tcPr>
            <w:tcW w:w="6300" w:type="dxa"/>
            <w:vAlign w:val="bottom"/>
            <w:vMerge w:val="continue"/>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Recovery</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2021</w:t>
            </w:r>
          </w:p>
        </w:tc>
        <w:tc>
          <w:tcPr>
            <w:tcW w:w="460" w:type="dxa"/>
            <w:vAlign w:val="bottom"/>
            <w:tcBorders>
              <w:top w:val="single" w:sz="8" w:color="auto"/>
              <w:bottom w:val="single" w:sz="8" w:color="auto"/>
            </w:tcBorders>
            <w:shd w:val="clear" w:color="auto" w:fill="CFF0FC"/>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12,295</w:t>
            </w: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Write-offs</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w:t>
            </w: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320"/>
              <w:spacing w:after="0"/>
              <w:rPr>
                <w:sz w:val="20"/>
                <w:szCs w:val="20"/>
                <w:color w:val="auto"/>
              </w:rPr>
            </w:pPr>
            <w:r>
              <w:rPr>
                <w:rFonts w:ascii="Arial" w:cs="Arial" w:eastAsia="Arial" w:hAnsi="Arial"/>
                <w:sz w:val="18"/>
                <w:szCs w:val="18"/>
                <w:color w:val="auto"/>
              </w:rPr>
              <w:t>Balance as of September 30, 2021</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6. SELECT BALANCE SHEET AND STATEMENT OF OPERATIONS INFORMATION</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Inventory</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Inventory consists of the following:</w:t>
      </w:r>
    </w:p>
    <w:p>
      <w:pPr>
        <w:spacing w:after="0" w:line="200" w:lineRule="exact"/>
        <w:rPr>
          <w:sz w:val="20"/>
          <w:szCs w:val="20"/>
          <w:color w:val="auto"/>
        </w:rPr>
      </w:pP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7"/>
        </w:trPr>
        <w:tc>
          <w:tcPr>
            <w:tcW w:w="330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4"/>
                <w:szCs w:val="14"/>
                <w:color w:val="auto"/>
              </w:rPr>
            </w:pPr>
          </w:p>
        </w:tc>
      </w:tr>
      <w:tr>
        <w:trPr>
          <w:trHeight w:val="217"/>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FF0FC"/>
          </w:tcPr>
          <w:p>
            <w:pPr>
              <w:spacing w:after="0"/>
              <w:rPr>
                <w:sz w:val="18"/>
                <w:szCs w:val="18"/>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Work-in-progress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1,232</w:t>
            </w:r>
          </w:p>
        </w:tc>
        <w:tc>
          <w:tcPr>
            <w:tcW w:w="60" w:type="dxa"/>
            <w:vAlign w:val="bottom"/>
          </w:tcPr>
          <w:p>
            <w:pPr>
              <w:spacing w:after="0"/>
              <w:rPr>
                <w:sz w:val="19"/>
                <w:szCs w:val="19"/>
                <w:color w:val="auto"/>
              </w:rPr>
            </w:pPr>
          </w:p>
        </w:tc>
      </w:tr>
      <w:tr>
        <w:trPr>
          <w:trHeight w:val="224"/>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15,689</w:t>
            </w:r>
          </w:p>
        </w:tc>
        <w:tc>
          <w:tcPr>
            <w:tcW w:w="60" w:type="dxa"/>
            <w:vAlign w:val="bottom"/>
            <w:shd w:val="clear" w:color="auto" w:fill="CFF0FC"/>
          </w:tcPr>
          <w:p>
            <w:pPr>
              <w:spacing w:after="0"/>
              <w:rPr>
                <w:sz w:val="19"/>
                <w:szCs w:val="19"/>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Total inventory</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21,005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17,759</w:t>
            </w:r>
          </w:p>
        </w:tc>
        <w:tc>
          <w:tcPr>
            <w:tcW w:w="6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80"/>
        <w:spacing w:after="0" w:line="249" w:lineRule="auto"/>
        <w:rPr>
          <w:sz w:val="20"/>
          <w:szCs w:val="20"/>
          <w:color w:val="auto"/>
        </w:rPr>
      </w:pPr>
      <w:r>
        <w:rPr>
          <w:rFonts w:ascii="Arial" w:cs="Arial" w:eastAsia="Arial" w:hAnsi="Arial"/>
          <w:sz w:val="18"/>
          <w:szCs w:val="18"/>
          <w:color w:val="auto"/>
        </w:rPr>
        <w:t>Additions to inventory are primarily comprised of newly produced units and applicators, refurbishment cost from demonstration units and used equipment which were reacquired during the three months from upgraded sales. The Company expensed $6,187 and $17,546 in cost of goods sold in the three and nine months ended September 30, 2021 ($6,149 and $13,352 in the three and nine months ended September 30, 2020). The balance of cost of goods sold represents the sale of applicators, parts and warranties.</w:t>
      </w:r>
    </w:p>
    <w:p>
      <w:pPr>
        <w:spacing w:after="0" w:line="192" w:lineRule="exact"/>
        <w:rPr>
          <w:sz w:val="20"/>
          <w:szCs w:val="20"/>
          <w:color w:val="auto"/>
        </w:rPr>
      </w:pPr>
    </w:p>
    <w:p>
      <w:pPr>
        <w:jc w:val="both"/>
        <w:ind w:left="380"/>
        <w:spacing w:after="0" w:line="290" w:lineRule="auto"/>
        <w:rPr>
          <w:sz w:val="20"/>
          <w:szCs w:val="20"/>
          <w:color w:val="auto"/>
        </w:rPr>
      </w:pPr>
      <w:r>
        <w:rPr>
          <w:rFonts w:ascii="Arial" w:cs="Arial" w:eastAsia="Arial" w:hAnsi="Arial"/>
          <w:sz w:val="16"/>
          <w:szCs w:val="16"/>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September 30, 2021, a provision for obsolescence of $2,167 ($1,208 as of December 31, 2020) was taken against inventory.</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316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Lab equipment tooling and molds</w:t>
            </w:r>
          </w:p>
        </w:tc>
        <w:tc>
          <w:tcPr>
            <w:tcW w:w="2360" w:type="dxa"/>
            <w:vAlign w:val="bottom"/>
            <w:gridSpan w:val="2"/>
            <w:shd w:val="clear" w:color="auto" w:fill="CFF0FC"/>
          </w:tcPr>
          <w:p>
            <w:pPr>
              <w:jc w:val="center"/>
              <w:ind w:left="792"/>
              <w:spacing w:after="0"/>
              <w:rPr>
                <w:sz w:val="20"/>
                <w:szCs w:val="20"/>
                <w:color w:val="auto"/>
              </w:rPr>
            </w:pPr>
            <w:r>
              <w:rPr>
                <w:rFonts w:ascii="Arial" w:cs="Arial" w:eastAsia="Arial" w:hAnsi="Arial"/>
                <w:sz w:val="18"/>
                <w:szCs w:val="18"/>
                <w:color w:val="auto"/>
                <w:w w:val="86"/>
              </w:rPr>
              <w:t>4 - 10</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8,152</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1700"/>
              <w:spacing w:after="0"/>
              <w:rPr>
                <w:sz w:val="20"/>
                <w:szCs w:val="20"/>
                <w:color w:val="auto"/>
              </w:rPr>
            </w:pPr>
            <w:r>
              <w:rPr>
                <w:rFonts w:ascii="Arial" w:cs="Arial" w:eastAsia="Arial" w:hAnsi="Arial"/>
                <w:sz w:val="18"/>
                <w:szCs w:val="18"/>
                <w:color w:val="auto"/>
              </w:rPr>
              <w:t>Office furniture and equipment</w:t>
            </w:r>
          </w:p>
        </w:tc>
        <w:tc>
          <w:tcPr>
            <w:tcW w:w="2360" w:type="dxa"/>
            <w:vAlign w:val="bottom"/>
            <w:gridSpan w:val="2"/>
          </w:tcPr>
          <w:p>
            <w:pPr>
              <w:jc w:val="center"/>
              <w:ind w:left="792"/>
              <w:spacing w:after="0"/>
              <w:rPr>
                <w:sz w:val="20"/>
                <w:szCs w:val="20"/>
                <w:color w:val="auto"/>
              </w:rPr>
            </w:pPr>
            <w:r>
              <w:rPr>
                <w:rFonts w:ascii="Arial" w:cs="Arial" w:eastAsia="Arial" w:hAnsi="Arial"/>
                <w:sz w:val="18"/>
                <w:szCs w:val="18"/>
                <w:color w:val="auto"/>
                <w:w w:val="86"/>
              </w:rPr>
              <w:t>6 - 10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up to 10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1700"/>
              <w:spacing w:after="0"/>
              <w:rPr>
                <w:sz w:val="20"/>
                <w:szCs w:val="20"/>
                <w:color w:val="auto"/>
              </w:rPr>
            </w:pPr>
            <w:r>
              <w:rPr>
                <w:rFonts w:ascii="Arial" w:cs="Arial" w:eastAsia="Arial" w:hAnsi="Arial"/>
                <w:sz w:val="18"/>
                <w:szCs w:val="18"/>
                <w:color w:val="auto"/>
              </w:rPr>
              <w:t>Computers and software</w:t>
            </w:r>
          </w:p>
        </w:tc>
        <w:tc>
          <w:tcPr>
            <w:tcW w:w="2360" w:type="dxa"/>
            <w:vAlign w:val="bottom"/>
            <w:gridSpan w:val="2"/>
          </w:tcPr>
          <w:p>
            <w:pPr>
              <w:jc w:val="center"/>
              <w:ind w:left="792"/>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2360" w:type="dxa"/>
            <w:vAlign w:val="bottom"/>
            <w:gridSpan w:val="2"/>
            <w:shd w:val="clear" w:color="auto" w:fill="CFF0FC"/>
          </w:tcPr>
          <w:p>
            <w:pPr>
              <w:jc w:val="center"/>
              <w:ind w:left="792"/>
              <w:spacing w:after="0"/>
              <w:rPr>
                <w:sz w:val="20"/>
                <w:szCs w:val="20"/>
                <w:color w:val="auto"/>
              </w:rPr>
            </w:pPr>
            <w:r>
              <w:rPr>
                <w:rFonts w:ascii="Arial" w:cs="Arial" w:eastAsia="Arial" w:hAnsi="Arial"/>
                <w:sz w:val="18"/>
                <w:szCs w:val="18"/>
                <w:color w:val="auto"/>
                <w:w w:val="88"/>
              </w:rPr>
              <w:t>5 - 7</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Total property and equipment</w:t>
            </w:r>
          </w:p>
        </w:tc>
        <w:tc>
          <w:tcPr>
            <w:tcW w:w="92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13,478</w:t>
            </w:r>
          </w:p>
        </w:tc>
        <w:tc>
          <w:tcPr>
            <w:tcW w:w="80" w:type="dxa"/>
            <w:vAlign w:val="bottom"/>
            <w:tcBorders>
              <w:bottom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9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(10,963)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(9,939)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60" w:type="dxa"/>
            <w:vAlign w:val="bottom"/>
            <w:vMerge w:val="restart"/>
          </w:tcPr>
          <w:p>
            <w:pPr>
              <w:ind w:left="120"/>
              <w:spacing w:after="0"/>
              <w:rPr>
                <w:sz w:val="20"/>
                <w:szCs w:val="20"/>
                <w:color w:val="auto"/>
              </w:rPr>
            </w:pPr>
            <w:r>
              <w:rPr>
                <w:rFonts w:ascii="Arial" w:cs="Arial" w:eastAsia="Arial" w:hAnsi="Arial"/>
                <w:sz w:val="18"/>
                <w:szCs w:val="18"/>
                <w:color w:val="auto"/>
              </w:rPr>
              <w:t>Total property and equipment, net</w:t>
            </w: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3,539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0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4" w:name="page15"/>
    <w:bookmarkEnd w:id="14"/>
    <w:p>
      <w:pPr>
        <w:ind w:left="520" w:right="80"/>
        <w:spacing w:after="0" w:line="261" w:lineRule="auto"/>
        <w:rPr>
          <w:sz w:val="20"/>
          <w:szCs w:val="20"/>
          <w:color w:val="auto"/>
        </w:rPr>
      </w:pPr>
      <w:r>
        <w:rPr>
          <w:rFonts w:ascii="Arial" w:cs="Arial" w:eastAsia="Arial" w:hAnsi="Arial"/>
          <w:sz w:val="18"/>
          <w:szCs w:val="18"/>
          <w:color w:val="auto"/>
        </w:rPr>
        <w:t>Depreciation expense was $431 and $318 for the three months ended September 30, 2021 and 2020, respectively. Depreciation expense was $1,159 and $1,095 for the nine months ended September 30, 2021 and 2020, respectively.</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7"/>
        </w:trPr>
        <w:tc>
          <w:tcPr>
            <w:tcW w:w="446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4"/>
                <w:szCs w:val="14"/>
                <w:color w:val="auto"/>
              </w:rPr>
            </w:pPr>
          </w:p>
        </w:tc>
      </w:tr>
      <w:tr>
        <w:trPr>
          <w:trHeight w:val="217"/>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Government remittances </w:t>
            </w:r>
            <w:r>
              <w:rPr>
                <w:rFonts w:ascii="Arial" w:cs="Arial" w:eastAsia="Arial" w:hAnsi="Arial"/>
                <w:sz w:val="14"/>
                <w:szCs w:val="14"/>
                <w:color w:val="auto"/>
              </w:rPr>
              <w:t>(1)</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60" w:type="dxa"/>
            <w:vAlign w:val="bottom"/>
            <w:shd w:val="clear" w:color="auto" w:fill="CFF0FC"/>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Consideration receivable from sales of subsidiaries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2,580</w:t>
            </w:r>
          </w:p>
        </w:tc>
        <w:tc>
          <w:tcPr>
            <w:tcW w:w="60" w:type="dxa"/>
            <w:vAlign w:val="bottom"/>
          </w:tcPr>
          <w:p>
            <w:pPr>
              <w:spacing w:after="0"/>
              <w:rPr>
                <w:sz w:val="19"/>
                <w:szCs w:val="19"/>
                <w:color w:val="auto"/>
              </w:rPr>
            </w:pPr>
          </w:p>
        </w:tc>
      </w:tr>
      <w:tr>
        <w:trPr>
          <w:trHeight w:val="224"/>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60" w:type="dxa"/>
            <w:vAlign w:val="bottom"/>
            <w:shd w:val="clear" w:color="auto" w:fill="CFF0FC"/>
          </w:tcPr>
          <w:p>
            <w:pPr>
              <w:spacing w:after="0"/>
              <w:rPr>
                <w:sz w:val="19"/>
                <w:szCs w:val="19"/>
                <w:color w:val="auto"/>
              </w:rPr>
            </w:pPr>
          </w:p>
        </w:tc>
      </w:tr>
      <w:tr>
        <w:trPr>
          <w:trHeight w:val="223"/>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Sundry assets and miscellaneous</w:t>
            </w:r>
          </w:p>
        </w:tc>
        <w:tc>
          <w:tcPr>
            <w:tcW w:w="9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60" w:type="dxa"/>
            <w:vAlign w:val="bottom"/>
            <w:tcBorders>
              <w:bottom w:val="single" w:sz="8" w:color="CFF0FC"/>
            </w:tcBorders>
          </w:tcPr>
          <w:p>
            <w:pPr>
              <w:spacing w:after="0"/>
              <w:rPr>
                <w:sz w:val="19"/>
                <w:szCs w:val="19"/>
                <w:color w:val="auto"/>
              </w:rPr>
            </w:pPr>
          </w:p>
        </w:tc>
      </w:tr>
      <w:tr>
        <w:trPr>
          <w:trHeight w:val="217"/>
        </w:trPr>
        <w:tc>
          <w:tcPr>
            <w:tcW w:w="4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other current assets</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5,674</w:t>
            </w:r>
          </w:p>
        </w:tc>
        <w:tc>
          <w:tcPr>
            <w:tcW w:w="60" w:type="dxa"/>
            <w:vAlign w:val="bottom"/>
            <w:shd w:val="clear" w:color="auto" w:fill="CFF0FC"/>
          </w:tcPr>
          <w:p>
            <w:pPr>
              <w:spacing w:after="0"/>
              <w:rPr>
                <w:sz w:val="18"/>
                <w:szCs w:val="18"/>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1220" w:hanging="84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remittances are receivables from the local tax authorities for refunds of sales taxes and income taxes.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5"/>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37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expense</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center"/>
              <w:ind w:right="13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1,288</w:t>
            </w:r>
          </w:p>
        </w:tc>
        <w:tc>
          <w:tcPr>
            <w:tcW w:w="120" w:type="dxa"/>
            <w:vAlign w:val="bottom"/>
            <w:tcBorders>
              <w:left w:val="single" w:sz="8" w:color="CFF0FC"/>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Borders>
              <w:left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ind w:left="170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6,240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8,582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Commission accrual</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3,289</w:t>
            </w:r>
          </w:p>
        </w:tc>
        <w:tc>
          <w:tcPr>
            <w:tcW w:w="120" w:type="dxa"/>
            <w:vAlign w:val="bottom"/>
            <w:tcBorders>
              <w:left w:val="single" w:sz="8" w:color="CFF0FC"/>
            </w:tcBorders>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80" w:type="dxa"/>
            <w:vAlign w:val="bottom"/>
            <w:tcBorders>
              <w:left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ind w:left="1700"/>
              <w:spacing w:after="0"/>
              <w:rPr>
                <w:sz w:val="20"/>
                <w:szCs w:val="20"/>
                <w:color w:val="auto"/>
              </w:rPr>
            </w:pPr>
            <w:r>
              <w:rPr>
                <w:rFonts w:ascii="Arial" w:cs="Arial" w:eastAsia="Arial" w:hAnsi="Arial"/>
                <w:sz w:val="18"/>
                <w:szCs w:val="18"/>
                <w:color w:val="auto"/>
              </w:rPr>
              <w:t>Sales and consumption taxes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7,532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w w:val="89"/>
              </w:rPr>
              <w:t>Total accrued expenses and other current liabilities</w:t>
            </w: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00" w:type="dxa"/>
            <w:vAlign w:val="bottom"/>
          </w:tcPr>
          <w:p>
            <w:pPr>
              <w:spacing w:after="0"/>
              <w:rPr>
                <w:sz w:val="18"/>
                <w:szCs w:val="18"/>
                <w:color w:val="auto"/>
              </w:rPr>
            </w:pPr>
          </w:p>
        </w:tc>
        <w:tc>
          <w:tcPr>
            <w:tcW w:w="37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center"/>
              <w:ind w:right="13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17,180</w:t>
            </w:r>
          </w:p>
        </w:tc>
        <w:tc>
          <w:tcPr>
            <w:tcW w:w="120" w:type="dxa"/>
            <w:vAlign w:val="bottom"/>
            <w:tcBorders>
              <w:left w:val="single" w:sz="8" w:color="CFF0FC"/>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20,253</w:t>
            </w:r>
          </w:p>
        </w:tc>
        <w:tc>
          <w:tcPr>
            <w:tcW w:w="80" w:type="dxa"/>
            <w:vAlign w:val="bottom"/>
            <w:tcBorders>
              <w:left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ind w:left="380"/>
              <w:spacing w:after="0"/>
              <w:rPr>
                <w:sz w:val="20"/>
                <w:szCs w:val="20"/>
                <w:color w:val="auto"/>
              </w:rPr>
            </w:pPr>
            <w:r>
              <w:rPr>
                <w:rFonts w:ascii="Arial" w:cs="Arial" w:eastAsia="Arial" w:hAnsi="Arial"/>
                <w:sz w:val="18"/>
                <w:szCs w:val="18"/>
                <w:b w:val="1"/>
                <w:bCs w:val="1"/>
                <w:i w:val="1"/>
                <w:iCs w:val="1"/>
                <w:color w:val="auto"/>
                <w:w w:val="87"/>
              </w:rPr>
              <w:t>Warranty Accrual</w:t>
            </w:r>
          </w:p>
        </w:tc>
        <w:tc>
          <w:tcPr>
            <w:tcW w:w="3780" w:type="dxa"/>
            <w:vAlign w:val="bottom"/>
            <w:tcBorders>
              <w:top w:val="single" w:sz="8" w:color="CFF0FC"/>
              <w:bottom w:val="single" w:sz="8" w:color="CFF0FC"/>
            </w:tcBorders>
            <w:vMerge w:val="restart"/>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700" w:type="dxa"/>
            <w:vAlign w:val="bottom"/>
            <w:vMerge w:val="continue"/>
          </w:tcPr>
          <w:p>
            <w:pPr>
              <w:spacing w:after="0"/>
              <w:rPr>
                <w:sz w:val="24"/>
                <w:szCs w:val="24"/>
                <w:color w:val="auto"/>
              </w:rPr>
            </w:pPr>
          </w:p>
        </w:tc>
        <w:tc>
          <w:tcPr>
            <w:tcW w:w="3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700" w:type="dxa"/>
            <w:vAlign w:val="bottom"/>
            <w:gridSpan w:val="6"/>
          </w:tcPr>
          <w:p>
            <w:pPr>
              <w:ind w:left="380"/>
              <w:spacing w:after="0"/>
              <w:rPr>
                <w:sz w:val="20"/>
                <w:szCs w:val="20"/>
                <w:color w:val="auto"/>
              </w:rPr>
            </w:pPr>
            <w:r>
              <w:rPr>
                <w:rFonts w:ascii="Arial" w:cs="Arial" w:eastAsia="Arial" w:hAnsi="Arial"/>
                <w:sz w:val="18"/>
                <w:szCs w:val="18"/>
                <w:color w:val="auto"/>
                <w:w w:val="88"/>
              </w:rPr>
              <w:t>The following table provides the details of the change in the Company’s warranty accrual:</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37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the beginning of the period</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Borders>
              <w:left w:val="single" w:sz="8" w:color="CFF0FC"/>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80" w:type="dxa"/>
            <w:vAlign w:val="bottom"/>
            <w:tcBorders>
              <w:left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ind w:left="1700"/>
              <w:spacing w:after="0"/>
              <w:rPr>
                <w:sz w:val="20"/>
                <w:szCs w:val="20"/>
                <w:color w:val="auto"/>
              </w:rPr>
            </w:pPr>
            <w:r>
              <w:rPr>
                <w:rFonts w:ascii="Arial" w:cs="Arial" w:eastAsia="Arial" w:hAnsi="Arial"/>
                <w:sz w:val="18"/>
                <w:szCs w:val="18"/>
                <w:color w:val="auto"/>
              </w:rPr>
              <w:t>Warranties issued during the period</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Warranty costs incurred during the period</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(529)</w:t>
            </w: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1700"/>
              <w:spacing w:after="0"/>
              <w:rPr>
                <w:sz w:val="20"/>
                <w:szCs w:val="20"/>
                <w:color w:val="auto"/>
              </w:rPr>
            </w:pPr>
            <w:r>
              <w:rPr>
                <w:rFonts w:ascii="Arial" w:cs="Arial" w:eastAsia="Arial" w:hAnsi="Arial"/>
                <w:sz w:val="18"/>
                <w:szCs w:val="18"/>
                <w:color w:val="auto"/>
              </w:rPr>
              <w:t>Balance at the end of the period</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48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2"/>
                <w:szCs w:val="22"/>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78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Current</w:t>
            </w: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1,173</w:t>
            </w:r>
          </w:p>
        </w:tc>
        <w:tc>
          <w:tcPr>
            <w:tcW w:w="120" w:type="dxa"/>
            <w:vAlign w:val="bottom"/>
            <w:tcBorders>
              <w:top w:val="single" w:sz="8" w:color="CFF0FC"/>
              <w:left w:val="single" w:sz="8" w:color="CFF0FC"/>
            </w:tcBorders>
            <w:shd w:val="clear" w:color="auto" w:fill="CFF0FC"/>
          </w:tcPr>
          <w:p>
            <w:pPr>
              <w:spacing w:after="0"/>
              <w:rPr>
                <w:sz w:val="17"/>
                <w:szCs w:val="17"/>
                <w:color w:val="auto"/>
              </w:rPr>
            </w:pPr>
          </w:p>
        </w:tc>
        <w:tc>
          <w:tcPr>
            <w:tcW w:w="10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1,106</w:t>
            </w:r>
          </w:p>
        </w:tc>
        <w:tc>
          <w:tcPr>
            <w:tcW w:w="80" w:type="dxa"/>
            <w:vAlign w:val="bottom"/>
            <w:tcBorders>
              <w:top w:val="single" w:sz="8" w:color="CFF0FC"/>
              <w:left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ind w:left="1700"/>
              <w:spacing w:after="0"/>
              <w:rPr>
                <w:sz w:val="20"/>
                <w:szCs w:val="20"/>
                <w:color w:val="auto"/>
              </w:rPr>
            </w:pPr>
            <w:r>
              <w:rPr>
                <w:rFonts w:ascii="Arial" w:cs="Arial" w:eastAsia="Arial" w:hAnsi="Arial"/>
                <w:sz w:val="18"/>
                <w:szCs w:val="18"/>
                <w:color w:val="auto"/>
              </w:rPr>
              <w:t>Long-term</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00" w:type="dxa"/>
            <w:vAlign w:val="bottom"/>
          </w:tcPr>
          <w:p>
            <w:pPr>
              <w:spacing w:after="0"/>
              <w:rPr>
                <w:sz w:val="18"/>
                <w:szCs w:val="18"/>
                <w:color w:val="auto"/>
              </w:rPr>
            </w:pPr>
          </w:p>
        </w:tc>
        <w:tc>
          <w:tcPr>
            <w:tcW w:w="37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Borders>
              <w:left w:val="single" w:sz="8" w:color="CFF0FC"/>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Borders>
              <w:left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80" w:type="dxa"/>
            <w:vAlign w:val="bottom"/>
            <w:gridSpan w:val="2"/>
            <w:vMerge w:val="restart"/>
          </w:tcPr>
          <w:p>
            <w:pPr>
              <w:ind w:left="380"/>
              <w:spacing w:after="0"/>
              <w:rPr>
                <w:sz w:val="20"/>
                <w:szCs w:val="20"/>
                <w:color w:val="auto"/>
              </w:rPr>
            </w:pPr>
            <w:r>
              <w:rPr>
                <w:rFonts w:ascii="Arial" w:cs="Arial" w:eastAsia="Arial" w:hAnsi="Arial"/>
                <w:sz w:val="18"/>
                <w:szCs w:val="18"/>
                <w:b w:val="1"/>
                <w:bCs w:val="1"/>
                <w:i w:val="1"/>
                <w:iCs w:val="1"/>
                <w:color w:val="auto"/>
              </w:rPr>
              <w:t>Finance Expenses</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5"/>
          </w:tcPr>
          <w:p>
            <w:pPr>
              <w:jc w:val="right"/>
              <w:ind w:right="41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92"/>
              </w:rPr>
              <w:t>Nine Months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w w:val="94"/>
              </w:rPr>
              <w:t>Ended 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8"/>
          </w:tcPr>
          <w:p>
            <w:pPr>
              <w:ind w:left="160"/>
              <w:spacing w:after="0"/>
              <w:rPr>
                <w:sz w:val="20"/>
                <w:szCs w:val="20"/>
                <w:color w:val="auto"/>
              </w:rPr>
            </w:pPr>
            <w:r>
              <w:rPr>
                <w:rFonts w:ascii="Arial" w:cs="Arial" w:eastAsia="Arial" w:hAnsi="Arial"/>
                <w:sz w:val="14"/>
                <w:szCs w:val="14"/>
                <w:b w:val="1"/>
                <w:bCs w:val="1"/>
                <w:color w:val="auto"/>
              </w:rPr>
              <w:t>Ended September 30,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700" w:type="dxa"/>
            <w:vAlign w:val="bottom"/>
          </w:tcPr>
          <w:p>
            <w:pPr>
              <w:spacing w:after="0"/>
              <w:rPr>
                <w:sz w:val="13"/>
                <w:szCs w:val="13"/>
                <w:color w:val="auto"/>
              </w:rPr>
            </w:pPr>
          </w:p>
        </w:tc>
        <w:tc>
          <w:tcPr>
            <w:tcW w:w="37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01"/>
              <w:spacing w:after="0" w:line="151"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center"/>
              <w:ind w:right="130"/>
              <w:spacing w:after="0" w:line="151"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ind w:left="180"/>
              <w:spacing w:after="0" w:line="151"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5"/>
              <w:spacing w:after="0" w:line="151"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3,008</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w:t>
            </w:r>
          </w:p>
        </w:tc>
        <w:tc>
          <w:tcPr>
            <w:tcW w:w="80" w:type="dxa"/>
            <w:vAlign w:val="bottom"/>
            <w:tcBorders>
              <w:left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ind w:left="1700"/>
              <w:spacing w:after="0"/>
              <w:rPr>
                <w:sz w:val="20"/>
                <w:szCs w:val="20"/>
                <w:color w:val="auto"/>
              </w:rPr>
            </w:pPr>
            <w:r>
              <w:rPr>
                <w:rFonts w:ascii="Arial" w:cs="Arial" w:eastAsia="Arial" w:hAnsi="Arial"/>
                <w:sz w:val="18"/>
                <w:szCs w:val="18"/>
                <w:color w:val="auto"/>
                <w:w w:val="89"/>
              </w:rPr>
              <w:t>Accretion on long-term debt and amortization of fees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1,038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Total finance expenses</w:t>
            </w: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00" w:type="dxa"/>
            <w:vAlign w:val="bottom"/>
          </w:tcPr>
          <w:p>
            <w:pPr>
              <w:spacing w:after="0"/>
              <w:rPr>
                <w:sz w:val="18"/>
                <w:szCs w:val="18"/>
                <w:color w:val="auto"/>
              </w:rPr>
            </w:pPr>
          </w:p>
        </w:tc>
        <w:tc>
          <w:tcPr>
            <w:tcW w:w="3780" w:type="dxa"/>
            <w:vAlign w:val="bottom"/>
            <w:vMerge w:val="continue"/>
            <w:shd w:val="clear" w:color="auto" w:fill="CFF0FC"/>
          </w:tcPr>
          <w:p>
            <w:pPr>
              <w:spacing w:after="0"/>
              <w:rPr>
                <w:sz w:val="18"/>
                <w:szCs w:val="18"/>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4,046</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6,522</w:t>
            </w:r>
          </w:p>
        </w:tc>
        <w:tc>
          <w:tcPr>
            <w:tcW w:w="80" w:type="dxa"/>
            <w:vAlign w:val="bottom"/>
            <w:tcBorders>
              <w:left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0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15" w:name="page16"/>
    <w:bookmarkEnd w:id="15"/>
    <w:p>
      <w:pPr>
        <w:ind w:left="380"/>
        <w:spacing w:after="0"/>
        <w:rPr>
          <w:sz w:val="20"/>
          <w:szCs w:val="20"/>
          <w:color w:val="auto"/>
        </w:rPr>
      </w:pPr>
      <w:r>
        <w:rPr>
          <w:rFonts w:ascii="Arial" w:cs="Arial" w:eastAsia="Arial" w:hAnsi="Arial"/>
          <w:sz w:val="18"/>
          <w:szCs w:val="18"/>
          <w:b w:val="1"/>
          <w:bCs w:val="1"/>
          <w:color w:val="auto"/>
        </w:rPr>
        <w:t>7. INTANGIBLE ASSETS</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of accumulated amortization and goodwill were as follows:</w:t>
      </w:r>
    </w:p>
    <w:p>
      <w:pPr>
        <w:spacing w:after="0" w:line="28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43"/>
              <w:spacing w:after="0"/>
              <w:rPr>
                <w:sz w:val="20"/>
                <w:szCs w:val="20"/>
                <w:color w:val="auto"/>
              </w:rPr>
            </w:pPr>
            <w:r>
              <w:rPr>
                <w:rFonts w:ascii="Arial" w:cs="Arial" w:eastAsia="Arial" w:hAnsi="Arial"/>
                <w:sz w:val="14"/>
                <w:szCs w:val="14"/>
                <w:b w:val="1"/>
                <w:bCs w:val="1"/>
                <w:color w:val="auto"/>
                <w:w w:val="88"/>
              </w:rPr>
              <w:t>At September 30, 2021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1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1"/>
                <w:szCs w:val="11"/>
                <w:color w:val="auto"/>
              </w:rPr>
            </w:pPr>
          </w:p>
        </w:tc>
        <w:tc>
          <w:tcPr>
            <w:tcW w:w="82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7"/>
        </w:trPr>
        <w:tc>
          <w:tcPr>
            <w:tcW w:w="320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7"/>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Brand</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24"/>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(5,392)</w:t>
            </w:r>
          </w:p>
        </w:tc>
        <w:tc>
          <w:tcPr>
            <w:tcW w:w="12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Supplier agreement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Total intangible assets</w:t>
            </w:r>
          </w:p>
        </w:tc>
        <w:tc>
          <w:tcPr>
            <w:tcW w:w="1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vMerge w:val="continue"/>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(7,532)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3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9"/>
              </w:rPr>
              <w:t>At December 31, 2020</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1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1"/>
                <w:szCs w:val="11"/>
                <w:color w:val="auto"/>
              </w:rPr>
            </w:pPr>
          </w:p>
        </w:tc>
        <w:tc>
          <w:tcPr>
            <w:tcW w:w="82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7"/>
        </w:trPr>
        <w:tc>
          <w:tcPr>
            <w:tcW w:w="320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7"/>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Brand</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4"/>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(3,286)</w:t>
            </w:r>
          </w:p>
        </w:tc>
        <w:tc>
          <w:tcPr>
            <w:tcW w:w="12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13,614</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Supplier agreement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Total intangible assets</w:t>
            </w:r>
          </w:p>
        </w:tc>
        <w:tc>
          <w:tcPr>
            <w:tcW w:w="1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vMerge w:val="continue"/>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(4,935)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18,865</w:t>
            </w: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Estimated amortization expense for the next five fiscal years and all years thereafter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October 1, 2021 to December 31, 2021</w:t>
            </w:r>
          </w:p>
        </w:tc>
        <w:tc>
          <w:tcPr>
            <w:tcW w:w="23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FF0FC"/>
          </w:tcPr>
          <w:p>
            <w:pPr>
              <w:spacing w:after="0"/>
              <w:rPr>
                <w:sz w:val="19"/>
                <w:szCs w:val="19"/>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2022</w:t>
            </w:r>
          </w:p>
        </w:tc>
        <w:tc>
          <w:tcPr>
            <w:tcW w:w="1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9"/>
                <w:szCs w:val="19"/>
                <w:color w:val="auto"/>
              </w:rPr>
            </w:pPr>
          </w:p>
        </w:tc>
      </w:tr>
      <w:tr>
        <w:trPr>
          <w:trHeight w:val="224"/>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80" w:type="dxa"/>
            <w:vAlign w:val="bottom"/>
            <w:shd w:val="clear" w:color="auto" w:fill="CFF0FC"/>
          </w:tcPr>
          <w:p>
            <w:pPr>
              <w:spacing w:after="0"/>
              <w:rPr>
                <w:sz w:val="19"/>
                <w:szCs w:val="19"/>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2024</w:t>
            </w:r>
          </w:p>
        </w:tc>
        <w:tc>
          <w:tcPr>
            <w:tcW w:w="1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9"/>
                <w:szCs w:val="19"/>
                <w:color w:val="auto"/>
              </w:rPr>
            </w:pPr>
          </w:p>
        </w:tc>
      </w:tr>
      <w:tr>
        <w:trPr>
          <w:trHeight w:val="224"/>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80" w:type="dxa"/>
            <w:vAlign w:val="bottom"/>
            <w:shd w:val="clear" w:color="auto" w:fill="CFF0FC"/>
          </w:tcPr>
          <w:p>
            <w:pPr>
              <w:spacing w:after="0"/>
              <w:rPr>
                <w:sz w:val="19"/>
                <w:szCs w:val="19"/>
                <w:color w:val="auto"/>
              </w:rPr>
            </w:pPr>
          </w:p>
        </w:tc>
      </w:tr>
      <w:tr>
        <w:trPr>
          <w:trHeight w:val="223"/>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Borders>
              <w:bottom w:val="single" w:sz="8" w:color="CFF0FC"/>
            </w:tcBorders>
          </w:tcPr>
          <w:p>
            <w:pPr>
              <w:spacing w:after="0"/>
              <w:rPr>
                <w:sz w:val="19"/>
                <w:szCs w:val="19"/>
                <w:color w:val="auto"/>
              </w:rPr>
            </w:pPr>
          </w:p>
        </w:tc>
      </w:tr>
      <w:tr>
        <w:trPr>
          <w:trHeight w:val="217"/>
        </w:trPr>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16,268</w:t>
            </w:r>
          </w:p>
        </w:tc>
        <w:tc>
          <w:tcPr>
            <w:tcW w:w="80" w:type="dxa"/>
            <w:vAlign w:val="bottom"/>
            <w:shd w:val="clear" w:color="auto" w:fill="CFF0FC"/>
          </w:tcPr>
          <w:p>
            <w:pPr>
              <w:spacing w:after="0"/>
              <w:rPr>
                <w:sz w:val="18"/>
                <w:szCs w:val="18"/>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8. COMMITMENTS AND CONTINGENCIES</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has various operating lease agreements, which expire on various dates.</w:t>
      </w:r>
    </w:p>
    <w:p>
      <w:pPr>
        <w:spacing w:after="0" w:line="240" w:lineRule="exact"/>
        <w:rPr>
          <w:sz w:val="20"/>
          <w:szCs w:val="20"/>
          <w:color w:val="auto"/>
        </w:rPr>
      </w:pPr>
    </w:p>
    <w:p>
      <w:pPr>
        <w:jc w:val="both"/>
        <w:ind w:left="380"/>
        <w:spacing w:after="0" w:line="249" w:lineRule="auto"/>
        <w:rPr>
          <w:sz w:val="20"/>
          <w:szCs w:val="20"/>
          <w:color w:val="auto"/>
        </w:rPr>
      </w:pPr>
      <w:r>
        <w:rPr>
          <w:rFonts w:ascii="Arial" w:cs="Arial" w:eastAsia="Arial" w:hAnsi="Arial"/>
          <w:sz w:val="18"/>
          <w:szCs w:val="18"/>
          <w:color w:val="auto"/>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219"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Aggregate future minimum lease payments and purchase and service commitments with manufacturers and service providers as of September 30, 2021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Office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Purchase and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7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w w:val="88"/>
              </w:rPr>
              <w:t>Service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328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Commitments</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October 1, 2021 to December 31, 2021</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24,939</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25,242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1700"/>
              <w:spacing w:after="0"/>
              <w:rPr>
                <w:sz w:val="20"/>
                <w:szCs w:val="20"/>
                <w:color w:val="auto"/>
              </w:rPr>
            </w:pPr>
            <w:r>
              <w:rPr>
                <w:rFonts w:ascii="Arial" w:cs="Arial" w:eastAsia="Arial" w:hAnsi="Arial"/>
                <w:sz w:val="18"/>
                <w:szCs w:val="18"/>
                <w:color w:val="auto"/>
              </w:rPr>
              <w:t>2022</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1700"/>
              <w:spacing w:after="0"/>
              <w:rPr>
                <w:sz w:val="20"/>
                <w:szCs w:val="20"/>
                <w:color w:val="auto"/>
              </w:rPr>
            </w:pPr>
            <w:r>
              <w:rPr>
                <w:rFonts w:ascii="Arial" w:cs="Arial" w:eastAsia="Arial" w:hAnsi="Arial"/>
                <w:sz w:val="18"/>
                <w:szCs w:val="18"/>
                <w:color w:val="auto"/>
              </w:rPr>
              <w:t>2024</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1700"/>
              <w:spacing w:after="0"/>
              <w:rPr>
                <w:sz w:val="20"/>
                <w:szCs w:val="20"/>
                <w:color w:val="auto"/>
              </w:rPr>
            </w:pPr>
            <w:r>
              <w:rPr>
                <w:rFonts w:ascii="Arial" w:cs="Arial" w:eastAsia="Arial" w:hAnsi="Arial"/>
                <w:sz w:val="18"/>
                <w:szCs w:val="18"/>
                <w:color w:val="auto"/>
              </w:rPr>
              <w:t>2026 and thereafter</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8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00" w:type="dxa"/>
            <w:vAlign w:val="bottom"/>
          </w:tcPr>
          <w:p>
            <w:pPr>
              <w:spacing w:after="0"/>
              <w:rPr>
                <w:sz w:val="18"/>
                <w:szCs w:val="18"/>
                <w:color w:val="auto"/>
              </w:rPr>
            </w:pPr>
          </w:p>
        </w:tc>
        <w:tc>
          <w:tcPr>
            <w:tcW w:w="3280" w:type="dxa"/>
            <w:vAlign w:val="bottom"/>
            <w:vMerge w:val="continue"/>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6,202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24,939</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31,141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bottom w:val="single" w:sz="8" w:color="CFF0FC"/>
            </w:tcBorders>
            <w:vMerge w:val="restart"/>
          </w:tcPr>
          <w:p>
            <w:pPr>
              <w:jc w:val="right"/>
              <w:ind w:right="452"/>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0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6" w:name="page17"/>
    <w:bookmarkEnd w:id="16"/>
    <w:p>
      <w:pPr>
        <w:jc w:val="both"/>
        <w:spacing w:after="0" w:line="324" w:lineRule="auto"/>
        <w:rPr>
          <w:sz w:val="20"/>
          <w:szCs w:val="20"/>
          <w:color w:val="auto"/>
        </w:rPr>
      </w:pPr>
      <w:r>
        <w:rPr>
          <w:rFonts w:ascii="Arial" w:cs="Arial" w:eastAsia="Arial" w:hAnsi="Arial"/>
          <w:sz w:val="16"/>
          <w:szCs w:val="16"/>
          <w:color w:val="auto"/>
        </w:rPr>
        <w:t>The total rent expense for all operating leases for the three months ended September 30, 2021 and 2020 was $528 and $487, respectively. The total rent expense for all operating leases for the nine months ended September 30, 2021 and 2020 was $1,623 and $1,508,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September 30, 2021, the Company has non-cancellable purchase orders placed with its contract manufacturers in the amount of $24,508. In addition, as of September 30, 2021, the Company had $2,871 of open purchase orders that can be cancelled with 270 days’ notice, except for a portion equal to 15% of the total amount representing the purchase of “long lead items”.</w:t>
      </w:r>
    </w:p>
    <w:p>
      <w:pPr>
        <w:spacing w:after="0" w:line="1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On March 25, 2021, the Company entered into an endorsement agreement for the services of Venus Williams, four-time Olympic Gold Medalist, seven-time Grand Slam Champion and entrepreneur, pursuant to which Ms. Williams will act as a brand ambassador for Venus Bliss.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Purported Shareholder Class Actions</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Between May 23, 2018 and June 11, 2019, four putative shareholder class action complaints were filed against Restoration Robotics, Inc., certain of its former officers and directors, certain of its venture capital investors, and the underwriters of the initial public offering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3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548" w:right="339" w:bottom="1440" w:gutter="0" w:footer="0" w:header="0"/>
        </w:sectPr>
      </w:pPr>
    </w:p>
    <w:bookmarkStart w:id="17" w:name="page18"/>
    <w:bookmarkEnd w:id="17"/>
    <w:p>
      <w:pPr>
        <w:jc w:val="both"/>
        <w:spacing w:after="0" w:line="294" w:lineRule="auto"/>
        <w:rPr>
          <w:sz w:val="20"/>
          <w:szCs w:val="20"/>
          <w:color w:val="auto"/>
        </w:rPr>
      </w:pPr>
      <w:r>
        <w:rPr>
          <w:rFonts w:ascii="Arial" w:cs="Arial" w:eastAsia="Arial" w:hAnsi="Arial"/>
          <w:sz w:val="15"/>
          <w:szCs w:val="15"/>
          <w:color w:val="auto"/>
        </w:rPr>
        <w:t>In the State Actions, Restoration Robotics, Inc., along with the other defendants, successfully demurred to the initial Wong complaint for failure to state a claim and secured a stay of both cases based on the forum selection clause contained in its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the State Actions on December 10, 2019. On January 17, 2020, Plaintiffs in the State Actions filed a consolidated amended complaint for violations of federal securities laws, alleging again that, among other things, the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 seeks unspecified monetary damages, other equitable relief and attorneys’ fees and costs. On February 24, 2020, the Company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A hearing on the Company’s demurrer and renewed motion to dismiss was held on June 12, 2020. On September 1, 2020, the court granted the renewed motion to dismiss based on the Company’s forum selection clause as to the Company and individual defendants, but not as to the venture capital and underwriter defendants. On September 22, 2020, the Court entered a judgement of dismissal as to the Company and the individual defendants. On November 23, 2020, plaintiff filed a notice of appeal of the Court’s order granting the renewed motion to dismiss. On May 27, 2021, Plaintiff-Appellant Wong filed an opening brief in Wong v. Restoration Robotics, Inc., No. A161489 (Cal. Ct. App., 1st App. Dist., Div. 2). The Company filed its responsive brief on August 27, 2021, and Plaintiff-Appellant Wong filed his reply brief on October 6, 2021. The appeal remains pending. In the Federal Actions, which have been consolidated under the caption In re Restoration Robotics, Inc. Securities Litigation, Case No. 5:18-cv-03712-EJD, Lead Plaintiff Eduardo Guerrini (“Lead Plaintiff”) filed his consolidated amended complaint for violations of federal securities laws on November 30, 2018. The consolidated amended complaint alleges again that, among other things, Restoration Robotics’ Registration Statement filed with the SEC on September 1, 2017 and the Prospectus filed with the SEC on October 13, 2017 in connection with the IPO were inaccurate and misleading, contained untrue statements of material facts, omitted to state other facts necessary to make the statements made not misleading and omitted to state material facts required to be stated therein. On January 29, 2019, Restoration Robotics, Inc., along with certain of its former officers and directors, filed a motion to dismiss the consolidated amended complaint for failure to state a claim. On October 18, 2019, the District Court granted Restoration Robotics, Inc. motion to dismiss as to all but two allegedly false or misleading statements contained in the Company’s Prospectus. On December 9, 2019, the Company filed its answer to the consolidated amended complaint denying the falsity of these statements. On May 29, 2020, Lead Plaintiff filed a motion for class certification, which the Company elected not to oppose, and on July 29, 2020, the court certified a class of investors who purchased shares of the Company’s common stock pursuant or traceable to the Company’s IPO. On February 22, 2021, the District Court granted the parties’ joint stipulation to stay all pending deadlines on the basis that the parties had reached a settlement in principle for all claims in the Federal Actions. On July 29, 2021, Lead Plaintiff filed a motion for final approval of the settlement, and a hearing was held on that motion on September 2, 2021. The District Court granted final approval of the settlement on September 9, 2021.</w:t>
      </w:r>
    </w:p>
    <w:p>
      <w:pPr>
        <w:spacing w:after="0" w:line="39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Securities Exchange Act of 1934 (the “Exchange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during the pendency of the Federal Actions. On June 21, 2021, the District Court granted the parties’ further stipulation to stay the Mason action during the pendency of the Federal Action, and the case remains stayed.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Investigation Case</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Company’s Chinese subsidiary, Venus Concept China, imports and sells registered medical devices and unregistered non-medical devices in the People’s Republic of China (“PRC”). One of its unregistered products has been the subject of inquiries from two district level branches of the State Administration for Market Regulation, Xuhui MSA and Huangpu MSA, as to whether the product was properly sold as a non-medical device. In January 2019, Venus Concept China applied to register a version of this non-medical device as a medical device with the National Medical Products Administration of PRC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The Company and Venus Concept China have voluntarily stopped sales in China of this product.</w:t>
      </w:r>
    </w:p>
    <w:p>
      <w:pPr>
        <w:spacing w:after="0" w:line="38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548" w:right="339" w:bottom="1440" w:gutter="0" w:footer="0" w:header="0"/>
        </w:sectPr>
      </w:pPr>
    </w:p>
    <w:bookmarkStart w:id="18" w:name="page19"/>
    <w:bookmarkEnd w:id="18"/>
    <w:p>
      <w:pPr>
        <w:jc w:val="both"/>
        <w:spacing w:after="0" w:line="281" w:lineRule="auto"/>
        <w:rPr>
          <w:sz w:val="20"/>
          <w:szCs w:val="20"/>
          <w:color w:val="auto"/>
        </w:rPr>
      </w:pPr>
      <w:r>
        <w:rPr>
          <w:rFonts w:ascii="Arial" w:cs="Arial" w:eastAsia="Arial" w:hAnsi="Arial"/>
          <w:sz w:val="16"/>
          <w:szCs w:val="16"/>
          <w:color w:val="auto"/>
        </w:rPr>
        <w:t>On March 4, 2021, Xuhui MSA issued a written administrative penalty hearing notice (the “Notice”) to Venus Concept China. The Notice stated that Venus Concept China’s sale of Versa violated the relevant Chinese medical device administration regulation. As a result, Xuhui MSA proposed an administrative monetary penalty in the amount of approximately $150 or 976 Chinese Yuan (the “Penalty Amount”). On March 8, 2021, Venus Concept China gave written notice to Xuhui MSA that it accepted the penalty decision proposed by Xuhui MSA. On March 19, 2021, Xuhui MSA issued a written administrative penalty decision to Venus Concept China (the “Decision”), which affirmed the administrative penalty proposed by the Notice. On March 19, 2021, the same day the Decision was issued, Venus Concept China remitted the full Penalty Amount to Xuhui MSA. Acceptance of the payment of the Penalty Amount by Xuhui MSA resulted in the conclusion of its investigation case against Venus Concept China and settlement of this matter. This matter is now resolved and closed by Xuhui MSA.</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Further, the Company may from time to time continue to be involved in various legal proceedings of a character normally incident to the ordinary course of its business, which the Company does not deem to be material to its business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MAIN STREET TERM LOAN</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December 8, 2020,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our assets, incur, create or permit to exist additional indebtedness, or liens, to make dividends and other restricted payments, and to make certain changes to its ownership structure.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the Company was in compliance with all required covenants.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scheduled payments on the outstanding borrowings as of September 30, 2021 are as follows:</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gridSpan w:val="2"/>
          </w:tcPr>
          <w:p>
            <w:pPr>
              <w:ind w:left="500"/>
              <w:spacing w:after="0"/>
              <w:rPr>
                <w:sz w:val="20"/>
                <w:szCs w:val="20"/>
                <w:color w:val="auto"/>
              </w:rPr>
            </w:pPr>
            <w:r>
              <w:rPr>
                <w:rFonts w:ascii="Arial" w:cs="Arial" w:eastAsia="Arial" w:hAnsi="Arial"/>
                <w:sz w:val="14"/>
                <w:szCs w:val="14"/>
                <w:b w:val="1"/>
                <w:bCs w:val="1"/>
                <w:color w:val="auto"/>
              </w:rPr>
              <w:t>September 30,</w:t>
            </w:r>
          </w:p>
        </w:tc>
      </w:tr>
      <w:tr>
        <w:trPr>
          <w:trHeight w:val="167"/>
        </w:trPr>
        <w:tc>
          <w:tcPr>
            <w:tcW w:w="470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right"/>
              <w:ind w:right="131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17"/>
        </w:trPr>
        <w:tc>
          <w:tcPr>
            <w:tcW w:w="4700" w:type="dxa"/>
            <w:vAlign w:val="bottom"/>
            <w:shd w:val="clear" w:color="auto" w:fill="CFF0FC"/>
          </w:tcPr>
          <w:p>
            <w:pPr>
              <w:jc w:val="right"/>
              <w:ind w:right="4272"/>
              <w:spacing w:after="0"/>
              <w:rPr>
                <w:sz w:val="20"/>
                <w:szCs w:val="20"/>
                <w:color w:val="auto"/>
              </w:rPr>
            </w:pPr>
            <w:r>
              <w:rPr>
                <w:rFonts w:ascii="Arial" w:cs="Arial" w:eastAsia="Arial" w:hAnsi="Arial"/>
                <w:sz w:val="18"/>
                <w:szCs w:val="18"/>
                <w:color w:val="auto"/>
                <w:w w:val="79"/>
              </w:rPr>
              <w:t>2021</w:t>
            </w:r>
          </w:p>
        </w:tc>
        <w:tc>
          <w:tcPr>
            <w:tcW w:w="600" w:type="dxa"/>
            <w:vAlign w:val="bottom"/>
            <w:shd w:val="clear" w:color="auto" w:fill="CFF0FC"/>
          </w:tcPr>
          <w:p>
            <w:pPr>
              <w:jc w:val="right"/>
              <w:ind w:right="443"/>
              <w:spacing w:after="0"/>
              <w:rPr>
                <w:sz w:val="20"/>
                <w:szCs w:val="20"/>
                <w:color w:val="auto"/>
              </w:rPr>
            </w:pPr>
            <w:r>
              <w:rPr>
                <w:rFonts w:ascii="Arial" w:cs="Arial" w:eastAsia="Arial" w:hAnsi="Arial"/>
                <w:sz w:val="15"/>
                <w:szCs w:val="15"/>
                <w:color w:val="auto"/>
                <w:w w:val="71"/>
              </w:rPr>
              <w:t>$</w:t>
            </w: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23"/>
        </w:trPr>
        <w:tc>
          <w:tcPr>
            <w:tcW w:w="4700" w:type="dxa"/>
            <w:vAlign w:val="bottom"/>
          </w:tcPr>
          <w:p>
            <w:pPr>
              <w:jc w:val="right"/>
              <w:ind w:right="4272"/>
              <w:spacing w:after="0"/>
              <w:rPr>
                <w:sz w:val="20"/>
                <w:szCs w:val="20"/>
                <w:color w:val="auto"/>
              </w:rPr>
            </w:pPr>
            <w:r>
              <w:rPr>
                <w:rFonts w:ascii="Arial" w:cs="Arial" w:eastAsia="Arial" w:hAnsi="Arial"/>
                <w:sz w:val="18"/>
                <w:szCs w:val="18"/>
                <w:color w:val="auto"/>
                <w:w w:val="79"/>
              </w:rPr>
              <w:t>2022</w:t>
            </w:r>
          </w:p>
        </w:tc>
        <w:tc>
          <w:tcPr>
            <w:tcW w:w="6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19"/>
                <w:szCs w:val="19"/>
                <w:color w:val="auto"/>
              </w:rPr>
            </w:pPr>
          </w:p>
        </w:tc>
      </w:tr>
      <w:tr>
        <w:trPr>
          <w:trHeight w:val="224"/>
        </w:trPr>
        <w:tc>
          <w:tcPr>
            <w:tcW w:w="4700" w:type="dxa"/>
            <w:vAlign w:val="bottom"/>
            <w:shd w:val="clear" w:color="auto" w:fill="CFF0FC"/>
          </w:tcPr>
          <w:p>
            <w:pPr>
              <w:jc w:val="right"/>
              <w:ind w:right="4272"/>
              <w:spacing w:after="0"/>
              <w:rPr>
                <w:sz w:val="20"/>
                <w:szCs w:val="20"/>
                <w:color w:val="auto"/>
              </w:rPr>
            </w:pPr>
            <w:r>
              <w:rPr>
                <w:rFonts w:ascii="Arial" w:cs="Arial" w:eastAsia="Arial" w:hAnsi="Arial"/>
                <w:sz w:val="18"/>
                <w:szCs w:val="18"/>
                <w:color w:val="auto"/>
                <w:w w:val="79"/>
              </w:rPr>
              <w:t>2023</w:t>
            </w:r>
          </w:p>
        </w:tc>
        <w:tc>
          <w:tcPr>
            <w:tcW w:w="60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9,324</w:t>
            </w:r>
          </w:p>
        </w:tc>
        <w:tc>
          <w:tcPr>
            <w:tcW w:w="80" w:type="dxa"/>
            <w:vAlign w:val="bottom"/>
            <w:shd w:val="clear" w:color="auto" w:fill="CFF0FC"/>
          </w:tcPr>
          <w:p>
            <w:pPr>
              <w:spacing w:after="0"/>
              <w:rPr>
                <w:sz w:val="19"/>
                <w:szCs w:val="19"/>
                <w:color w:val="auto"/>
              </w:rPr>
            </w:pPr>
          </w:p>
        </w:tc>
      </w:tr>
      <w:tr>
        <w:trPr>
          <w:trHeight w:val="223"/>
        </w:trPr>
        <w:tc>
          <w:tcPr>
            <w:tcW w:w="4700" w:type="dxa"/>
            <w:vAlign w:val="bottom"/>
          </w:tcPr>
          <w:p>
            <w:pPr>
              <w:jc w:val="right"/>
              <w:ind w:right="4272"/>
              <w:spacing w:after="0"/>
              <w:rPr>
                <w:sz w:val="20"/>
                <w:szCs w:val="20"/>
                <w:color w:val="auto"/>
              </w:rPr>
            </w:pPr>
            <w:r>
              <w:rPr>
                <w:rFonts w:ascii="Arial" w:cs="Arial" w:eastAsia="Arial" w:hAnsi="Arial"/>
                <w:sz w:val="18"/>
                <w:szCs w:val="18"/>
                <w:color w:val="auto"/>
                <w:w w:val="79"/>
              </w:rPr>
              <w:t>2024</w:t>
            </w:r>
          </w:p>
        </w:tc>
        <w:tc>
          <w:tcPr>
            <w:tcW w:w="6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7,929</w:t>
            </w:r>
          </w:p>
        </w:tc>
        <w:tc>
          <w:tcPr>
            <w:tcW w:w="80" w:type="dxa"/>
            <w:vAlign w:val="bottom"/>
          </w:tcPr>
          <w:p>
            <w:pPr>
              <w:spacing w:after="0"/>
              <w:rPr>
                <w:sz w:val="19"/>
                <w:szCs w:val="19"/>
                <w:color w:val="auto"/>
              </w:rPr>
            </w:pPr>
          </w:p>
        </w:tc>
      </w:tr>
      <w:tr>
        <w:trPr>
          <w:trHeight w:val="224"/>
        </w:trPr>
        <w:tc>
          <w:tcPr>
            <w:tcW w:w="4700" w:type="dxa"/>
            <w:vAlign w:val="bottom"/>
            <w:shd w:val="clear" w:color="auto" w:fill="CFF0FC"/>
          </w:tcPr>
          <w:p>
            <w:pPr>
              <w:jc w:val="right"/>
              <w:ind w:right="4272"/>
              <w:spacing w:after="0"/>
              <w:rPr>
                <w:sz w:val="20"/>
                <w:szCs w:val="20"/>
                <w:color w:val="auto"/>
              </w:rPr>
            </w:pPr>
            <w:r>
              <w:rPr>
                <w:rFonts w:ascii="Arial" w:cs="Arial" w:eastAsia="Arial" w:hAnsi="Arial"/>
                <w:sz w:val="18"/>
                <w:szCs w:val="18"/>
                <w:color w:val="auto"/>
                <w:w w:val="79"/>
              </w:rPr>
              <w:t>2025</w:t>
            </w:r>
          </w:p>
        </w:tc>
        <w:tc>
          <w:tcPr>
            <w:tcW w:w="600" w:type="dxa"/>
            <w:vAlign w:val="bottom"/>
            <w:tcBorders>
              <w:bottom w:val="single" w:sz="8" w:color="auto"/>
            </w:tcBorders>
            <w:shd w:val="clear" w:color="auto" w:fill="CFF0FC"/>
          </w:tcPr>
          <w:p>
            <w:pPr>
              <w:spacing w:after="0"/>
              <w:rPr>
                <w:sz w:val="19"/>
                <w:szCs w:val="19"/>
                <w:color w:val="auto"/>
              </w:rPr>
            </w:pPr>
          </w:p>
        </w:tc>
        <w:tc>
          <w:tcPr>
            <w:tcW w:w="2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38,404</w:t>
            </w:r>
          </w:p>
        </w:tc>
        <w:tc>
          <w:tcPr>
            <w:tcW w:w="80" w:type="dxa"/>
            <w:vAlign w:val="bottom"/>
            <w:shd w:val="clear" w:color="auto" w:fill="CFF0FC"/>
          </w:tcPr>
          <w:p>
            <w:pPr>
              <w:spacing w:after="0"/>
              <w:rPr>
                <w:sz w:val="19"/>
                <w:szCs w:val="19"/>
                <w:color w:val="auto"/>
              </w:rPr>
            </w:pPr>
          </w:p>
        </w:tc>
      </w:tr>
      <w:tr>
        <w:trPr>
          <w:trHeight w:val="216"/>
        </w:trPr>
        <w:tc>
          <w:tcPr>
            <w:tcW w:w="4700" w:type="dxa"/>
            <w:vAlign w:val="bottom"/>
          </w:tcPr>
          <w:p>
            <w:pPr>
              <w:jc w:val="right"/>
              <w:ind w:right="4132"/>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71"/>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57,246</w:t>
            </w:r>
          </w:p>
        </w:tc>
        <w:tc>
          <w:tcPr>
            <w:tcW w:w="8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MADRYN LONG-TERM DEBT AND CONVERTIBLE NOTES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Madryn Exchange Agreement and Convertible Notes; Termination of Madryn Credit Agreement</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On December 9, 2020, contemporaneously with the MSLP Loan Agreement (Note 9), the Company and its subsidiaries, Venus Concept USA, Inc., </w:t>
      </w:r>
      <w:r>
        <w:rPr>
          <w:rFonts w:ascii="Arial" w:cs="Arial" w:eastAsia="Arial" w:hAnsi="Arial"/>
          <w:sz w:val="19"/>
          <w:szCs w:val="19"/>
          <w:color w:val="auto"/>
        </w:rPr>
        <w:t>a</w:t>
      </w:r>
      <w:r>
        <w:rPr>
          <w:rFonts w:ascii="Arial" w:cs="Arial" w:eastAsia="Arial" w:hAnsi="Arial"/>
          <w:sz w:val="16"/>
          <w:szCs w:val="16"/>
          <w:color w:val="auto"/>
        </w:rPr>
        <w:t xml:space="preserve"> Delaware corporation (“Venus USA”), Venus Concept Canada Corp., an Ontario corporation (“Venus Canada”), Venus Concept Ltd., an Israeli corporation (“Venus Ltd.”), and the Madryn Noteholders (as defined below), entered into a Securities Exchange Agreement (the “Exchange Agreement”) dated as of December 8, 2020, pursuant to which the Company (i) repaid $42,500 aggregate principal amount owed under that certain credit agreement originally entered into on October 11, 2016 and amended from time to time, between Venus Ltd., Madryn Health Partners, LP and certain of its affiliates (the “Madryn Credit Agreement”), and (ii) issued, to the Madryn Health Partners (Cayman Master), LP and Madryn Health Partners, LP (together the “Madryn Noteholders”) secured subordinated convertible notes in the aggregate principal amount of $26,695 (the “Notes”). The Madryn Credit Agreement was terminated effective December 9, 2020 upon the funding and closing of the MSLP Loan and the issuance of the Notes.</w:t>
      </w:r>
    </w:p>
    <w:p>
      <w:pPr>
        <w:spacing w:after="0" w:line="37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548" w:right="339" w:bottom="1440" w:gutter="0" w:footer="0" w:header="0"/>
        </w:sectPr>
      </w:pPr>
    </w:p>
    <w:bookmarkStart w:id="19" w:name="page20"/>
    <w:bookmarkEnd w:id="19"/>
    <w:p>
      <w:pPr>
        <w:jc w:val="both"/>
        <w:spacing w:after="0" w:line="295" w:lineRule="auto"/>
        <w:rPr>
          <w:sz w:val="20"/>
          <w:szCs w:val="20"/>
          <w:color w:val="auto"/>
        </w:rPr>
      </w:pPr>
      <w:r>
        <w:rPr>
          <w:rFonts w:ascii="Arial" w:cs="Arial" w:eastAsia="Arial" w:hAnsi="Arial"/>
          <w:sz w:val="15"/>
          <w:szCs w:val="15"/>
          <w:color w:val="auto"/>
        </w:rPr>
        <w:t>The Notes will accrue interest at a rate of 8.0% per annum from the date of original issuance of the Notes to the third anniversary date of the original issuance and thereafter interest will accrue at a rate 6.0% per annum. Under certain circumstances, in the case of an event of default under the Notes, the then-applicable interest rate will increase by 4.0% per annum. Interest is payable quarterly in arrears on the last business day of each calendar quarter of each year after the original issuance date, beginning on December 31, 2020. The Notes will mature on December 9, 2025, unless earlier redeemed or converted. In connection with the Exchange Agreement, the Company also entered into, by and among the Company, Venus USA, Venus Canada, Venus Ltd., and the Madryn Noteholders, (i) a Guaranty and Security Agreement dated as of December 9, 2020 (the “Madryn Security Agreement”), pursuant to which the Company agreed to grant Madryn a security interest in substantially all of its assets to secure the obligations under the Notes and (ii) a Subordination of Debt Agreement dated as of December 9, 2020 (the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first date on which the outstanding principal amount of the Notes is less than $10,000. Obligations under the Notes are secured by substantially all of the assets of Venus Concept Inc. and its subsidiaries party to the Madryn Security Agreement. The Company’s obligations under the Notes and the security interests and liens created by the Madryn Security Agreement are subordinated to the Company’s indebtedness owing to CNB (including, but not limited, pursuant to the MSLP Loan Agreement and the CNB Loan Agreement, (Note 11)) and any security interests and liens which secure such indebtedness owing to CNB. The Notes are convertible at any time into shares of the Company’s common stock, par value $0.0001 per share, calculated by dividing the outstanding principal amount of the Notes (and any accrued and unpaid interest under the Notes) by the initial conversion price of $3.25 per share. In connection with the Notes, the Company recognized interest expense of $546 and $1,613 during the three and nine months ended September 30, 2021. The conversion feature, providing the Madryn Noteholders with a right to receive the Company’s shares upon conversion of the Notes, was qualified for a scope exception in ASC 815-10-15 and did not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September 30, 2021, and December 31, 2020, therefore a nominal value was allocated to the underlying embedded derivative liabilities as of September 30, 2021, and December 31, 2020.</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scheduled payments on the outstanding borrowings as of September 30, 2021 are as follows:</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gridSpan w:val="2"/>
          </w:tcPr>
          <w:p>
            <w:pPr>
              <w:ind w:left="500"/>
              <w:spacing w:after="0"/>
              <w:rPr>
                <w:sz w:val="20"/>
                <w:szCs w:val="20"/>
                <w:color w:val="auto"/>
              </w:rPr>
            </w:pPr>
            <w:r>
              <w:rPr>
                <w:rFonts w:ascii="Arial" w:cs="Arial" w:eastAsia="Arial" w:hAnsi="Arial"/>
                <w:sz w:val="14"/>
                <w:szCs w:val="14"/>
                <w:b w:val="1"/>
                <w:bCs w:val="1"/>
                <w:color w:val="auto"/>
              </w:rPr>
              <w:t>September 30,</w:t>
            </w:r>
          </w:p>
        </w:tc>
      </w:tr>
      <w:tr>
        <w:trPr>
          <w:trHeight w:val="167"/>
        </w:trPr>
        <w:tc>
          <w:tcPr>
            <w:tcW w:w="470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right"/>
              <w:ind w:right="131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17"/>
        </w:trPr>
        <w:tc>
          <w:tcPr>
            <w:tcW w:w="4700" w:type="dxa"/>
            <w:vAlign w:val="bottom"/>
            <w:shd w:val="clear" w:color="auto" w:fill="CFF0FC"/>
          </w:tcPr>
          <w:p>
            <w:pPr>
              <w:jc w:val="right"/>
              <w:ind w:right="4272"/>
              <w:spacing w:after="0"/>
              <w:rPr>
                <w:sz w:val="20"/>
                <w:szCs w:val="20"/>
                <w:color w:val="auto"/>
              </w:rPr>
            </w:pPr>
            <w:r>
              <w:rPr>
                <w:rFonts w:ascii="Arial" w:cs="Arial" w:eastAsia="Arial" w:hAnsi="Arial"/>
                <w:sz w:val="18"/>
                <w:szCs w:val="18"/>
                <w:color w:val="auto"/>
                <w:w w:val="79"/>
              </w:rPr>
              <w:t>2021</w:t>
            </w:r>
          </w:p>
        </w:tc>
        <w:tc>
          <w:tcPr>
            <w:tcW w:w="600" w:type="dxa"/>
            <w:vAlign w:val="bottom"/>
            <w:shd w:val="clear" w:color="auto" w:fill="CFF0FC"/>
          </w:tcPr>
          <w:p>
            <w:pPr>
              <w:spacing w:after="0"/>
              <w:rPr>
                <w:sz w:val="18"/>
                <w:szCs w:val="18"/>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FF0FC"/>
          </w:tcPr>
          <w:p>
            <w:pPr>
              <w:spacing w:after="0"/>
              <w:rPr>
                <w:sz w:val="18"/>
                <w:szCs w:val="18"/>
                <w:color w:val="auto"/>
              </w:rPr>
            </w:pPr>
          </w:p>
        </w:tc>
      </w:tr>
      <w:tr>
        <w:trPr>
          <w:trHeight w:val="223"/>
        </w:trPr>
        <w:tc>
          <w:tcPr>
            <w:tcW w:w="4700" w:type="dxa"/>
            <w:vAlign w:val="bottom"/>
          </w:tcPr>
          <w:p>
            <w:pPr>
              <w:jc w:val="right"/>
              <w:ind w:right="4272"/>
              <w:spacing w:after="0"/>
              <w:rPr>
                <w:sz w:val="20"/>
                <w:szCs w:val="20"/>
                <w:color w:val="auto"/>
              </w:rPr>
            </w:pPr>
            <w:r>
              <w:rPr>
                <w:rFonts w:ascii="Arial" w:cs="Arial" w:eastAsia="Arial" w:hAnsi="Arial"/>
                <w:sz w:val="18"/>
                <w:szCs w:val="18"/>
                <w:color w:val="auto"/>
                <w:w w:val="79"/>
              </w:rPr>
              <w:t>2022</w:t>
            </w:r>
          </w:p>
        </w:tc>
        <w:tc>
          <w:tcPr>
            <w:tcW w:w="6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2,165</w:t>
            </w:r>
          </w:p>
        </w:tc>
        <w:tc>
          <w:tcPr>
            <w:tcW w:w="80" w:type="dxa"/>
            <w:vAlign w:val="bottom"/>
          </w:tcPr>
          <w:p>
            <w:pPr>
              <w:spacing w:after="0"/>
              <w:rPr>
                <w:sz w:val="19"/>
                <w:szCs w:val="19"/>
                <w:color w:val="auto"/>
              </w:rPr>
            </w:pPr>
          </w:p>
        </w:tc>
      </w:tr>
      <w:tr>
        <w:trPr>
          <w:trHeight w:val="224"/>
        </w:trPr>
        <w:tc>
          <w:tcPr>
            <w:tcW w:w="4700" w:type="dxa"/>
            <w:vAlign w:val="bottom"/>
            <w:shd w:val="clear" w:color="auto" w:fill="CFF0FC"/>
          </w:tcPr>
          <w:p>
            <w:pPr>
              <w:jc w:val="right"/>
              <w:ind w:right="4272"/>
              <w:spacing w:after="0"/>
              <w:rPr>
                <w:sz w:val="20"/>
                <w:szCs w:val="20"/>
                <w:color w:val="auto"/>
              </w:rPr>
            </w:pPr>
            <w:r>
              <w:rPr>
                <w:rFonts w:ascii="Arial" w:cs="Arial" w:eastAsia="Arial" w:hAnsi="Arial"/>
                <w:sz w:val="18"/>
                <w:szCs w:val="18"/>
                <w:color w:val="auto"/>
                <w:w w:val="79"/>
              </w:rPr>
              <w:t>2023</w:t>
            </w:r>
          </w:p>
        </w:tc>
        <w:tc>
          <w:tcPr>
            <w:tcW w:w="60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80" w:type="dxa"/>
            <w:vAlign w:val="bottom"/>
            <w:shd w:val="clear" w:color="auto" w:fill="CFF0FC"/>
          </w:tcPr>
          <w:p>
            <w:pPr>
              <w:spacing w:after="0"/>
              <w:rPr>
                <w:sz w:val="19"/>
                <w:szCs w:val="19"/>
                <w:color w:val="auto"/>
              </w:rPr>
            </w:pPr>
          </w:p>
        </w:tc>
      </w:tr>
      <w:tr>
        <w:trPr>
          <w:trHeight w:val="223"/>
        </w:trPr>
        <w:tc>
          <w:tcPr>
            <w:tcW w:w="4700" w:type="dxa"/>
            <w:vAlign w:val="bottom"/>
          </w:tcPr>
          <w:p>
            <w:pPr>
              <w:jc w:val="right"/>
              <w:ind w:right="4272"/>
              <w:spacing w:after="0"/>
              <w:rPr>
                <w:sz w:val="20"/>
                <w:szCs w:val="20"/>
                <w:color w:val="auto"/>
              </w:rPr>
            </w:pPr>
            <w:r>
              <w:rPr>
                <w:rFonts w:ascii="Arial" w:cs="Arial" w:eastAsia="Arial" w:hAnsi="Arial"/>
                <w:sz w:val="18"/>
                <w:szCs w:val="18"/>
                <w:color w:val="auto"/>
                <w:w w:val="79"/>
              </w:rPr>
              <w:t>2024</w:t>
            </w:r>
          </w:p>
        </w:tc>
        <w:tc>
          <w:tcPr>
            <w:tcW w:w="6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Pr>
          <w:p>
            <w:pPr>
              <w:spacing w:after="0"/>
              <w:rPr>
                <w:sz w:val="19"/>
                <w:szCs w:val="19"/>
                <w:color w:val="auto"/>
              </w:rPr>
            </w:pPr>
          </w:p>
        </w:tc>
      </w:tr>
      <w:tr>
        <w:trPr>
          <w:trHeight w:val="224"/>
        </w:trPr>
        <w:tc>
          <w:tcPr>
            <w:tcW w:w="4700" w:type="dxa"/>
            <w:vAlign w:val="bottom"/>
            <w:shd w:val="clear" w:color="auto" w:fill="CFF0FC"/>
          </w:tcPr>
          <w:p>
            <w:pPr>
              <w:jc w:val="right"/>
              <w:ind w:right="4272"/>
              <w:spacing w:after="0"/>
              <w:rPr>
                <w:sz w:val="20"/>
                <w:szCs w:val="20"/>
                <w:color w:val="auto"/>
              </w:rPr>
            </w:pPr>
            <w:r>
              <w:rPr>
                <w:rFonts w:ascii="Arial" w:cs="Arial" w:eastAsia="Arial" w:hAnsi="Arial"/>
                <w:sz w:val="18"/>
                <w:szCs w:val="18"/>
                <w:color w:val="auto"/>
                <w:w w:val="79"/>
              </w:rPr>
              <w:t>2025</w:t>
            </w:r>
          </w:p>
        </w:tc>
        <w:tc>
          <w:tcPr>
            <w:tcW w:w="600" w:type="dxa"/>
            <w:vAlign w:val="bottom"/>
            <w:tcBorders>
              <w:bottom w:val="single" w:sz="8" w:color="auto"/>
            </w:tcBorders>
            <w:shd w:val="clear" w:color="auto" w:fill="CFF0FC"/>
          </w:tcPr>
          <w:p>
            <w:pPr>
              <w:spacing w:after="0"/>
              <w:rPr>
                <w:sz w:val="19"/>
                <w:szCs w:val="19"/>
                <w:color w:val="auto"/>
              </w:rPr>
            </w:pPr>
          </w:p>
        </w:tc>
        <w:tc>
          <w:tcPr>
            <w:tcW w:w="2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28,217</w:t>
            </w:r>
          </w:p>
        </w:tc>
        <w:tc>
          <w:tcPr>
            <w:tcW w:w="80" w:type="dxa"/>
            <w:vAlign w:val="bottom"/>
            <w:shd w:val="clear" w:color="auto" w:fill="CFF0FC"/>
          </w:tcPr>
          <w:p>
            <w:pPr>
              <w:spacing w:after="0"/>
              <w:rPr>
                <w:sz w:val="19"/>
                <w:szCs w:val="19"/>
                <w:color w:val="auto"/>
              </w:rPr>
            </w:pPr>
          </w:p>
        </w:tc>
      </w:tr>
      <w:tr>
        <w:trPr>
          <w:trHeight w:val="216"/>
        </w:trPr>
        <w:tc>
          <w:tcPr>
            <w:tcW w:w="4700" w:type="dxa"/>
            <w:vAlign w:val="bottom"/>
          </w:tcPr>
          <w:p>
            <w:pPr>
              <w:jc w:val="right"/>
              <w:ind w:right="4132"/>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71"/>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34,687</w:t>
            </w:r>
          </w:p>
        </w:tc>
        <w:tc>
          <w:tcPr>
            <w:tcW w:w="8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2021, the Company did not make any principal repayments.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 August 26, 2021, the Company, Venus USA and Venus Canada were party to the Third Amended and Restated Loan Agreement with CNB pursuant to which CNB agreed to provide a revolving credit facility to the Company in the maximum principal amount of $10,000 to be used to finance working capital requirements (the “CNB Loan Agreement”).</w:t>
      </w:r>
    </w:p>
    <w:p>
      <w:pPr>
        <w:spacing w:after="0" w:line="200" w:lineRule="exact"/>
        <w:rPr>
          <w:sz w:val="20"/>
          <w:szCs w:val="20"/>
          <w:color w:val="auto"/>
        </w:rPr>
      </w:pPr>
    </w:p>
    <w:p>
      <w:pPr>
        <w:spacing w:after="0" w:line="22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548" w:right="339" w:bottom="1440" w:gutter="0" w:footer="0" w:header="0"/>
        </w:sectPr>
      </w:pPr>
    </w:p>
    <w:bookmarkStart w:id="20" w:name="page21"/>
    <w:bookmarkEnd w:id="20"/>
    <w:p>
      <w:pPr>
        <w:jc w:val="both"/>
        <w:spacing w:after="0" w:line="278" w:lineRule="auto"/>
        <w:rPr>
          <w:sz w:val="20"/>
          <w:szCs w:val="20"/>
          <w:color w:val="auto"/>
        </w:rPr>
      </w:pPr>
      <w:r>
        <w:rPr>
          <w:rFonts w:ascii="Arial" w:cs="Arial" w:eastAsia="Arial" w:hAnsi="Arial"/>
          <w:sz w:val="16"/>
          <w:szCs w:val="16"/>
          <w:color w:val="auto"/>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CNB Loan Agreement also contains a covenant requiring that a minimum of $23,000 in cash be held in a deposit account maintained with CNB for one year following the closing of the CNB Loan Agreement, and after the first anniversary of the CNB Loan Agreement, a minimum of $3,000 in cash must be held in a deposit account maintained with CNB. The Madryn Noteholders agreed to hold $20,000 in cash in an escrow account at CNB, and pursuant to an escrow agreement, such cash will be released back to the Madryn Noteholders on the first anniversary of the CNB Loan Agreement.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January 25, February 25 and March 25, 2021.</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to $5,000 at the LIBOR 30-Day rate plus 3.25%, subject to a minimum LIBOR rate floor of 0.50%, and (ii) beginning December 10, 2021, the cash deposit requirement was reduced from $3,000 to $1,500, to be maintained with CNB at all times during the term of the Amended CNB Loan Agreement. The Amended CNB Loan Agreement is secured by substantially all of the Company’s assets and the assets of certain of its subsidiaries.</w:t>
      </w:r>
    </w:p>
    <w:p>
      <w:pPr>
        <w:spacing w:after="0" w:line="13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As of September 30, 2021, and December 31, 2020, the Company was in compliance with all required covenants. An event of default under this agreement would cause a default under the MSLP Loan (see Note 9).</w:t>
      </w:r>
    </w:p>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connection with the Amended CNB Loan Agreement, Venus Ltd. entered into a Fourth Amended and Restated Guaranty of Payment and Performance with CNB dated as of August 26, 2021 (the “CNB Guaranty”), pursuant to which Venus Ltd. agreed to guarantee the obligations under the Amended CNB Loan Agreement. The Company and Venus USA entered into a Third Amended and Restated Security Agreement with CNB dated as of August 26, 2021 (the “CNB Security Agreement”), pursuant to which the Company and Venus USA agreed to grant CNB a security interest in substantially all of their assets to secure the obligations under the CNB Loan Agreement. The Company, Venus USA and Venus Canada issued a Fifth Amended and Restated Revolving Promissory Note dated as of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(the “Subordination Supplement”) by and among Madryn Health Partners, LP, Madryn Health Partners (Cayman Master), LP, the Company and CNB.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GOVERNMENT ASSISTANCE PROGRAMS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Venus Concept Inc. and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Venus Concept Inc. entered into a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 Interest and principal payments under the Venus Concept PPP Loan will be deferred for a period of nine months.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Venus Concept PPP Loan contains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Venus USA entered into a U.S. Small Business Administration Note dated as of April 15, 2020 in favor of CNB. Venus USA borrowed $2,383 original principal amount, which was funded on April 20, 2020 (the “Venus USA PPP Loan” and together with the Venus Concept PPP Loan, individually each a “PPP Loan” and collectively, the “PPP Loans”). The terms of the Venus USA PPP Loan are substantially similar to the terms of the Venus Concept PPP Loan.</w:t>
      </w:r>
    </w:p>
    <w:p>
      <w:pPr>
        <w:spacing w:after="0" w:line="200" w:lineRule="exact"/>
        <w:rPr>
          <w:sz w:val="20"/>
          <w:szCs w:val="20"/>
          <w:color w:val="auto"/>
        </w:rPr>
      </w:pPr>
    </w:p>
    <w:p>
      <w:pPr>
        <w:spacing w:after="0" w:line="2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548" w:right="339" w:bottom="1440" w:gutter="0" w:footer="0" w:header="0"/>
        </w:sectPr>
      </w:pPr>
    </w:p>
    <w:bookmarkStart w:id="21" w:name="page22"/>
    <w:bookmarkEnd w:id="21"/>
    <w:p>
      <w:pPr>
        <w:jc w:val="both"/>
        <w:spacing w:after="0" w:line="299" w:lineRule="auto"/>
        <w:rPr>
          <w:sz w:val="20"/>
          <w:szCs w:val="20"/>
          <w:color w:val="auto"/>
        </w:rPr>
      </w:pPr>
      <w:r>
        <w:rPr>
          <w:rFonts w:ascii="Arial" w:cs="Arial" w:eastAsia="Arial" w:hAnsi="Arial"/>
          <w:sz w:val="16"/>
          <w:szCs w:val="16"/>
          <w:color w:val="auto"/>
        </w:rPr>
        <w:t>Under certain circumstances, all or a portion of the PPP Loans may be forgiven. Through CNB, the Company applied for and received partial forgiveness of the Venus USA PPP Loan in the amount of $1,689 and the Venus Concept PPP Loan in the amount of $1,086. The remaining portion of the PPP Loans of the Company is recorded within the current liabilities in the unaudited condensed consolidated balance sheet.</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Under the CNB Loan Agreement and the MSLP Loan Agreement, each PPP Loan is permitted to be incurred by Venus Concept Inc. and Venus USA as long as certain conditions remain satisfied. If Venus Concept Inc. and/or Venus USA defaults on the respective PPP Loan (i) events of default will occur under the CNB Loan Agreement and the MSLP Loan Agreement and (ii) Venus Concept Inc. and Venus USA may be required to immediately repay their respective PPP Loan.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had $950 outstanding under the PPP Loans ($4,110 as of December 31, 2020).</w:t>
      </w:r>
    </w:p>
    <w:p>
      <w:pPr>
        <w:spacing w:after="0" w:line="21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2020, certain of the Company’s subsidiaries applied for government assistance programs and received government subsidies in the aggregate of $1,117. The terms of these government assistance programs vary by jurisdiction. The Company recorded government subsidies received as a reduction to the associated wage costs in general and administrative expenses in the unaudited condensed consolidated statement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 RESERVED FOR ISSUANCE</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is required to reserve and keep available out of its authorized but unissued shares of common stock a number of shares sufficient to affect the exercise of all options granted and available for grant under the incentive plans and warrants to purchase common stock.</w:t>
      </w:r>
    </w:p>
    <w:p>
      <w:pPr>
        <w:spacing w:after="0" w:line="229"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2021</w:t>
            </w:r>
          </w:p>
        </w:tc>
        <w:tc>
          <w:tcPr>
            <w:tcW w:w="17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2020</w:t>
            </w:r>
          </w:p>
        </w:tc>
      </w:tr>
      <w:tr>
        <w:trPr>
          <w:trHeight w:val="217"/>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common stock warrants</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15,928,867</w:t>
            </w:r>
          </w:p>
        </w:tc>
        <w:tc>
          <w:tcPr>
            <w:tcW w:w="22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16,290,067</w:t>
            </w:r>
          </w:p>
        </w:tc>
        <w:tc>
          <w:tcPr>
            <w:tcW w:w="80" w:type="dxa"/>
            <w:vAlign w:val="bottom"/>
            <w:tcBorders>
              <w:top w:val="single" w:sz="8" w:color="CFF0FC"/>
            </w:tcBorders>
            <w:shd w:val="clear" w:color="auto" w:fill="CFF0FC"/>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620" w:type="dxa"/>
            <w:vAlign w:val="bottom"/>
          </w:tcPr>
          <w:p>
            <w:pPr>
              <w:jc w:val="right"/>
              <w:spacing w:after="0"/>
              <w:rPr>
                <w:sz w:val="20"/>
                <w:szCs w:val="20"/>
                <w:color w:val="auto"/>
              </w:rPr>
            </w:pPr>
            <w:r>
              <w:rPr>
                <w:rFonts w:ascii="Arial" w:cs="Arial" w:eastAsia="Arial" w:hAnsi="Arial"/>
                <w:sz w:val="18"/>
                <w:szCs w:val="18"/>
                <w:color w:val="auto"/>
              </w:rPr>
              <w:t>5,695,900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4,433,392</w:t>
            </w:r>
          </w:p>
        </w:tc>
        <w:tc>
          <w:tcPr>
            <w:tcW w:w="80" w:type="dxa"/>
            <w:vAlign w:val="bottom"/>
          </w:tcPr>
          <w:p>
            <w:pPr>
              <w:spacing w:after="0"/>
              <w:rPr>
                <w:sz w:val="19"/>
                <w:szCs w:val="19"/>
                <w:color w:val="auto"/>
              </w:rPr>
            </w:pPr>
          </w:p>
        </w:tc>
      </w:tr>
      <w:tr>
        <w:trPr>
          <w:trHeight w:val="224"/>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option grants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886,536</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262,622</w:t>
            </w:r>
          </w:p>
        </w:tc>
        <w:tc>
          <w:tcPr>
            <w:tcW w:w="8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Shares reserved for Lincoln Park</w:t>
            </w:r>
          </w:p>
        </w:tc>
        <w:tc>
          <w:tcPr>
            <w:tcW w:w="1620" w:type="dxa"/>
            <w:vAlign w:val="bottom"/>
          </w:tcPr>
          <w:p>
            <w:pPr>
              <w:jc w:val="right"/>
              <w:spacing w:after="0"/>
              <w:rPr>
                <w:sz w:val="20"/>
                <w:szCs w:val="20"/>
                <w:color w:val="auto"/>
              </w:rPr>
            </w:pPr>
            <w:r>
              <w:rPr>
                <w:rFonts w:ascii="Arial" w:cs="Arial" w:eastAsia="Arial" w:hAnsi="Arial"/>
                <w:sz w:val="18"/>
                <w:szCs w:val="18"/>
                <w:color w:val="auto"/>
              </w:rPr>
              <w:t>5,222,867</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5,222,867</w:t>
            </w:r>
          </w:p>
        </w:tc>
        <w:tc>
          <w:tcPr>
            <w:tcW w:w="80" w:type="dxa"/>
            <w:vAlign w:val="bottom"/>
          </w:tcPr>
          <w:p>
            <w:pPr>
              <w:spacing w:after="0"/>
              <w:rPr>
                <w:sz w:val="19"/>
                <w:szCs w:val="19"/>
                <w:color w:val="auto"/>
              </w:rPr>
            </w:pPr>
          </w:p>
        </w:tc>
      </w:tr>
      <w:tr>
        <w:trPr>
          <w:trHeight w:val="224"/>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Madryn Noteholders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8,213,880</w:t>
            </w:r>
          </w:p>
        </w:tc>
        <w:tc>
          <w:tcPr>
            <w:tcW w:w="22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8,213,880</w:t>
            </w:r>
          </w:p>
        </w:tc>
        <w:tc>
          <w:tcPr>
            <w:tcW w:w="80" w:type="dxa"/>
            <w:vAlign w:val="bottom"/>
            <w:shd w:val="clear" w:color="auto" w:fill="CFF0FC"/>
          </w:tcPr>
          <w:p>
            <w:pPr>
              <w:spacing w:after="0"/>
              <w:rPr>
                <w:sz w:val="19"/>
                <w:szCs w:val="19"/>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Total common stock reserved for issuance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35,948,050</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34,422,828</w:t>
            </w:r>
          </w:p>
        </w:tc>
        <w:tc>
          <w:tcPr>
            <w:tcW w:w="8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confers upon its holders the following rights:</w:t>
      </w:r>
    </w:p>
    <w:p>
      <w:pPr>
        <w:spacing w:after="0" w:line="240" w:lineRule="exact"/>
        <w:rPr>
          <w:sz w:val="20"/>
          <w:szCs w:val="20"/>
          <w:color w:val="auto"/>
        </w:rPr>
      </w:pPr>
    </w:p>
    <w:p>
      <w:pPr>
        <w:ind w:left="760" w:hanging="386"/>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80" w:lineRule="exact"/>
        <w:rPr>
          <w:rFonts w:ascii="Arial" w:cs="Arial" w:eastAsia="Arial" w:hAnsi="Arial"/>
          <w:sz w:val="18"/>
          <w:szCs w:val="18"/>
          <w:color w:val="auto"/>
        </w:rPr>
      </w:pPr>
    </w:p>
    <w:p>
      <w:pPr>
        <w:ind w:left="760" w:hanging="386"/>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80" w:lineRule="exact"/>
        <w:rPr>
          <w:rFonts w:ascii="Arial" w:cs="Arial" w:eastAsia="Arial" w:hAnsi="Arial"/>
          <w:sz w:val="18"/>
          <w:szCs w:val="18"/>
          <w:color w:val="auto"/>
        </w:rPr>
      </w:pPr>
    </w:p>
    <w:p>
      <w:pPr>
        <w:ind w:left="760" w:hanging="386"/>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right to a share in the distribution of the Company’s excess assets upon liquidation pro rata to the par value of the shares held by them.</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Private Placement Warrants</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March 2020, the Company issued and sold to certain investors (collectively the “Investors”) warrants (the “2020 Private Placement Warrants”) to purchase up to 6,675,000 shares of common stock with an exercise price of $3.50 per share, along with the shares of common stock and preferred stock the Investors purchased (the “2020 Private Placement”). The 2020 Private Placement Warrants have a five-year term and are exercisable beginning 181 days after their issue date. The Company evaluated the 2020 Private Placement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2020 Private Placement Warrants did not need to be accounted for as a liability. Accordingly, the 2020 Private Placement Warrants were classified as equity and are not subject to remeasurement at each balance sheet date. The proceeds received in the 2020 Private Placement were allocated to each instrument on a relative fair value basis.</w:t>
      </w:r>
    </w:p>
    <w:p>
      <w:pPr>
        <w:spacing w:after="0" w:line="200" w:lineRule="exact"/>
        <w:rPr>
          <w:sz w:val="20"/>
          <w:szCs w:val="20"/>
          <w:color w:val="auto"/>
        </w:rPr>
      </w:pPr>
    </w:p>
    <w:p>
      <w:pPr>
        <w:spacing w:after="0" w:line="20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548" w:right="339" w:bottom="1440" w:gutter="0" w:footer="0" w:header="0"/>
        </w:sectPr>
      </w:pPr>
    </w:p>
    <w:bookmarkStart w:id="22" w:name="page23"/>
    <w:bookmarkEnd w:id="22"/>
    <w:p>
      <w:pPr>
        <w:jc w:val="both"/>
        <w:spacing w:after="0" w:line="248" w:lineRule="auto"/>
        <w:rPr>
          <w:sz w:val="20"/>
          <w:szCs w:val="20"/>
          <w:color w:val="auto"/>
        </w:rPr>
      </w:pPr>
      <w:r>
        <w:rPr>
          <w:rFonts w:ascii="Arial" w:cs="Arial" w:eastAsia="Arial" w:hAnsi="Arial"/>
          <w:sz w:val="18"/>
          <w:szCs w:val="18"/>
          <w:color w:val="auto"/>
        </w:rPr>
        <w:t>Total net proceeds of $20,300 reduced by $3,564 of the beneficial conversion feature were allocated as follows: $8,063 to Series A Preferred Stock, $4,052 to shares of common stock and $4,621 to the 2020 Private Placement Warrants issued. Series A Preferred Stock and common stock issued in the 2020 Private Placement were recorded at par value of $0.0001 with the excess of par value recorded in Additional Paid-In Capital (“APIC”). On June 16, 2020, upon the approval of the Company’s stockholders, 660,000 shares of Series A Preferred Stock were converted into 6,600,000 shares of the Company’s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2020 Public Offering Warrants and common stock</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As noted in Note 1 above, in December 2020, the Company issued and sold to certain investors in the December 2020 Public Offering 11,250,000 shares of its common stock and warrants to purchase up to 5,625,000 shares of common stock with an exercise price of $2.50 per share. The December 2020 Public Offering Warrants have a five-year term and are exercisable immediately. The Company evaluated the December 2020 Public Offering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December 2020 Public Offering Warrants did not need to be accounted for as a liability. Accordingly, the December 2020 Public Offering Warrants were classified as equity and are not subject to remeasurement at each balance sheet date. The proceeds received in the December 2020 Public Offering were allocated to each instrument on a relative fair value basis.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net proceeds of $20,476 were allocated as follows: $17,828 to shares of common stock and $2,648 to the December 2020 Public Offering Warrants issued. Common stock issued in the December 2020 Public Offering were recorded at par value of $0.0001 with the excess of par value recorded in APIC. In February 2021, several investors exercised an aggregate of 361,200 December 2020 Public Offering Warrants at the exercise price of $2.50 per share. The total proceeds received by the Company from the December 2020 Public Offering Warrants exercises were $903.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Share Option Plan</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November 2010, the Company’s Board of Directors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September 30, 2021, the number of shares of the Company’s common stock reserved for issuance and available for grant under the 2010 Share Option Plan was 256,611 (138,275 as of 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Incentive Award Plan</w:t>
      </w:r>
    </w:p>
    <w:p>
      <w:pPr>
        <w:spacing w:after="0" w:line="2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Under the 2019 Plan, 450,000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Ltd. and the business of Venus Ltd. became the primary business of the Company (the “Merger”). As of September 30, 2021, there were 629,925 shares of common stock available under the 2019 Plan (124,347 as of December 31, 2020).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200" w:lineRule="exact"/>
        <w:rPr>
          <w:sz w:val="20"/>
          <w:szCs w:val="20"/>
          <w:color w:val="auto"/>
        </w:rPr>
      </w:pPr>
    </w:p>
    <w:p>
      <w:pPr>
        <w:spacing w:after="0" w:line="20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548" w:right="339" w:bottom="1440" w:gutter="0" w:footer="0" w:header="0"/>
        </w:sectPr>
      </w:pPr>
    </w:p>
    <w:bookmarkStart w:id="23" w:name="page24"/>
    <w:bookmarkEnd w:id="23"/>
    <w:p>
      <w:pPr>
        <w:ind w:left="380" w:right="560"/>
        <w:spacing w:after="0" w:line="261" w:lineRule="auto"/>
        <w:rPr>
          <w:sz w:val="20"/>
          <w:szCs w:val="20"/>
          <w:color w:val="auto"/>
        </w:rPr>
      </w:pPr>
      <w:r>
        <w:rPr>
          <w:rFonts w:ascii="Arial" w:cs="Arial" w:eastAsia="Arial" w:hAnsi="Arial"/>
          <w:sz w:val="18"/>
          <w:szCs w:val="18"/>
          <w:color w:val="auto"/>
        </w:rPr>
        <w:t>The Company recognized stock-based compensation for its employees and non-employees in the accompanying unaudited condensed consolidated statements of operations as follows: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w w:val="91"/>
              </w:rPr>
              <w:t>Three Months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2"/>
              </w:rPr>
              <w:t>Nine Months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Ended September 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Ended September 30,</w:t>
            </w:r>
          </w:p>
        </w:tc>
      </w:tr>
      <w:tr>
        <w:trPr>
          <w:trHeight w:val="151"/>
        </w:trPr>
        <w:tc>
          <w:tcPr>
            <w:tcW w:w="288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9"/>
              <w:spacing w:after="0" w:line="151"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5"/>
              <w:spacing w:after="0" w:line="151"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FF0FC"/>
            </w:tcBorders>
          </w:tcPr>
          <w:p>
            <w:pPr>
              <w:spacing w:after="0"/>
              <w:rPr>
                <w:sz w:val="13"/>
                <w:szCs w:val="13"/>
                <w:color w:val="auto"/>
              </w:rPr>
            </w:pPr>
          </w:p>
        </w:tc>
      </w:tr>
      <w:tr>
        <w:trPr>
          <w:trHeight w:val="217"/>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14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2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8"/>
                <w:szCs w:val="18"/>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Selling and marketing</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234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19"/>
                <w:szCs w:val="19"/>
                <w:color w:val="auto"/>
              </w:rPr>
            </w:pPr>
          </w:p>
        </w:tc>
      </w:tr>
      <w:tr>
        <w:trPr>
          <w:trHeight w:val="224"/>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285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FF0FC"/>
          </w:tcPr>
          <w:p>
            <w:pPr>
              <w:spacing w:after="0"/>
              <w:rPr>
                <w:sz w:val="19"/>
                <w:szCs w:val="19"/>
                <w:color w:val="auto"/>
              </w:rPr>
            </w:pPr>
          </w:p>
        </w:tc>
      </w:tr>
      <w:tr>
        <w:trPr>
          <w:trHeight w:val="223"/>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FF0FC"/>
            </w:tcBorders>
          </w:tcPr>
          <w:p>
            <w:pPr>
              <w:spacing w:after="0"/>
              <w:rPr>
                <w:sz w:val="19"/>
                <w:szCs w:val="19"/>
                <w:color w:val="auto"/>
              </w:rPr>
            </w:pPr>
          </w:p>
        </w:tc>
      </w:tr>
      <w:tr>
        <w:trPr>
          <w:trHeight w:val="217"/>
        </w:trPr>
        <w:tc>
          <w:tcPr>
            <w:tcW w:w="2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stock-based compensation</w:t>
            </w:r>
          </w:p>
        </w:tc>
        <w:tc>
          <w:tcPr>
            <w:tcW w:w="114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82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547</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60" w:type="dxa"/>
            <w:vAlign w:val="bottom"/>
            <w:shd w:val="clear" w:color="auto" w:fill="CFF0FC"/>
          </w:tcPr>
          <w:p>
            <w:pPr>
              <w:spacing w:after="0"/>
              <w:rPr>
                <w:sz w:val="18"/>
                <w:szCs w:val="18"/>
                <w:color w:val="auto"/>
              </w:rPr>
            </w:pPr>
          </w:p>
        </w:tc>
      </w:tr>
      <w:tr>
        <w:trPr>
          <w:trHeight w:val="20"/>
        </w:trPr>
        <w:tc>
          <w:tcPr>
            <w:tcW w:w="28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 Options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fair value of each option is estimated at the date of grant using the Black-Scholes option pricing formula with the following assumptions:</w:t>
      </w:r>
    </w:p>
    <w:p>
      <w:pPr>
        <w:spacing w:after="0" w:line="13"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Three Months</w:t>
            </w:r>
          </w:p>
        </w:tc>
        <w:tc>
          <w:tcPr>
            <w:tcW w:w="1580" w:type="dxa"/>
            <w:vAlign w:val="bottom"/>
            <w:gridSpan w:val="3"/>
          </w:tcPr>
          <w:p>
            <w:pPr>
              <w:ind w:left="760"/>
              <w:spacing w:after="0"/>
              <w:rPr>
                <w:sz w:val="20"/>
                <w:szCs w:val="20"/>
                <w:color w:val="auto"/>
              </w:rPr>
            </w:pPr>
            <w:r>
              <w:rPr>
                <w:rFonts w:ascii="Arial" w:cs="Arial" w:eastAsia="Arial" w:hAnsi="Arial"/>
                <w:sz w:val="14"/>
                <w:szCs w:val="14"/>
                <w:b w:val="1"/>
                <w:bCs w:val="1"/>
                <w:color w:val="auto"/>
                <w:w w:val="95"/>
              </w:rPr>
              <w:t>Nine Months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Ended September 30,</w:t>
            </w:r>
          </w:p>
        </w:tc>
        <w:tc>
          <w:tcPr>
            <w:tcW w:w="25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r>
      <w:tr>
        <w:trPr>
          <w:trHeight w:val="151"/>
        </w:trPr>
        <w:tc>
          <w:tcPr>
            <w:tcW w:w="20" w:type="dxa"/>
            <w:vAlign w:val="bottom"/>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80"/>
              <w:spacing w:after="0" w:line="151"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6"/>
              <w:spacing w:after="0" w:line="151"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20"/>
              <w:spacing w:after="0" w:line="151"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17"/>
        </w:trPr>
        <w:tc>
          <w:tcPr>
            <w:tcW w:w="2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5.00-6.54</w:t>
            </w:r>
          </w:p>
        </w:tc>
        <w:tc>
          <w:tcPr>
            <w:tcW w:w="180" w:type="dxa"/>
            <w:vAlign w:val="bottom"/>
            <w:shd w:val="clear" w:color="auto" w:fill="CFF0FC"/>
          </w:tcPr>
          <w:p>
            <w:pPr>
              <w:spacing w:after="0"/>
              <w:rPr>
                <w:sz w:val="18"/>
                <w:szCs w:val="18"/>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0.98%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0.38-0.40%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0.98-1.09%</w:t>
            </w: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0.38-1.50%</w:t>
            </w:r>
          </w:p>
        </w:tc>
      </w:tr>
      <w:tr>
        <w:trPr>
          <w:trHeight w:val="224"/>
        </w:trPr>
        <w:tc>
          <w:tcPr>
            <w:tcW w:w="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43.66%</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44.30%</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44.69%</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42.81%</w:t>
            </w: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management’s best estimate for the options to be exercised by option holders.</w:t>
      </w:r>
    </w:p>
    <w:p>
      <w:pPr>
        <w:spacing w:after="0" w:line="240" w:lineRule="exact"/>
        <w:rPr>
          <w:sz w:val="20"/>
          <w:szCs w:val="20"/>
          <w:color w:val="auto"/>
        </w:rPr>
      </w:pPr>
    </w:p>
    <w:p>
      <w:pPr>
        <w:jc w:val="both"/>
        <w:ind w:left="380"/>
        <w:spacing w:after="0" w:line="252"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—Since the Company does not have a trading history for its common stock, the expected volatility was derived from the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215"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stock-based awards’ expected term.</w:t>
      </w:r>
    </w:p>
    <w:p>
      <w:pPr>
        <w:spacing w:after="0" w:line="207"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is zero as the Company has not paid nor does it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r>
        <w:rPr>
          <w:rFonts w:ascii="Arial" w:cs="Arial" w:eastAsia="Arial" w:hAnsi="Arial"/>
          <w:sz w:val="18"/>
          <w:szCs w:val="18"/>
          <w:i w:val="1"/>
          <w:iCs w:val="1"/>
          <w:color w:val="auto"/>
        </w:rPr>
        <w:t>.</w:t>
      </w:r>
    </w:p>
    <w:p>
      <w:pPr>
        <w:spacing w:after="0" w:line="207" w:lineRule="exact"/>
        <w:rPr>
          <w:sz w:val="20"/>
          <w:szCs w:val="20"/>
          <w:color w:val="auto"/>
        </w:rPr>
      </w:pPr>
    </w:p>
    <w:p>
      <w:pPr>
        <w:jc w:val="both"/>
        <w:ind w:left="380"/>
        <w:spacing w:after="0" w:line="252"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Prior to the Merger, Venus Ltd. used the price per share in its latest sale of securities as an estimate of the fair value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After the closing of the Merger, the fair value of the Company’s common stock is used to estimate the fair value of the stock-based awards at grant date.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stock option activity under the Company’s stock option plans: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6"/>
              </w:rPr>
              <w:t>Average</w:t>
            </w: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6"/>
              </w:rPr>
              <w:t>Exercise</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6"/>
              </w:rPr>
              <w:t>Aggregate</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Price per</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Remaining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8"/>
              </w:rPr>
              <w:t>Share,</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38"/>
              <w:spacing w:after="0" w:line="145" w:lineRule="exact"/>
              <w:rPr>
                <w:sz w:val="20"/>
                <w:szCs w:val="20"/>
                <w:color w:val="auto"/>
              </w:rPr>
            </w:pPr>
            <w:r>
              <w:rPr>
                <w:rFonts w:ascii="Arial" w:cs="Arial" w:eastAsia="Arial" w:hAnsi="Arial"/>
                <w:sz w:val="14"/>
                <w:szCs w:val="14"/>
                <w:b w:val="1"/>
                <w:bCs w:val="1"/>
                <w:color w:val="auto"/>
                <w:w w:val="95"/>
              </w:rPr>
              <w:t>Intrinsic</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39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Value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Outstanding – January 1, 2021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4,433,392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2,094,500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60" w:type="dxa"/>
            <w:vAlign w:val="bottom"/>
          </w:tcPr>
          <w:p>
            <w:pPr>
              <w:spacing w:after="0"/>
              <w:rPr>
                <w:sz w:val="19"/>
                <w:szCs w:val="19"/>
                <w:color w:val="auto"/>
              </w:rPr>
            </w:pPr>
          </w:p>
        </w:tc>
        <w:tc>
          <w:tcPr>
            <w:tcW w:w="3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exercised</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(245,643)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Options forfeited/cancelled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(586,349)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Outstanding - September 30, 2021</w:t>
            </w: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60" w:type="dxa"/>
            <w:vAlign w:val="bottom"/>
          </w:tcPr>
          <w:p>
            <w:pPr>
              <w:spacing w:after="0"/>
              <w:rPr>
                <w:sz w:val="18"/>
                <w:szCs w:val="18"/>
                <w:color w:val="auto"/>
              </w:rPr>
            </w:pPr>
          </w:p>
        </w:tc>
        <w:tc>
          <w:tcPr>
            <w:tcW w:w="396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5,695,900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9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20" w:type="dxa"/>
            <w:vAlign w:val="bottom"/>
            <w:gridSpan w:val="2"/>
            <w:vMerge w:val="restart"/>
          </w:tcPr>
          <w:p>
            <w:pPr>
              <w:ind w:left="1360"/>
              <w:spacing w:after="0"/>
              <w:rPr>
                <w:sz w:val="20"/>
                <w:szCs w:val="20"/>
                <w:color w:val="auto"/>
              </w:rPr>
            </w:pPr>
            <w:r>
              <w:rPr>
                <w:rFonts w:ascii="Arial" w:cs="Arial" w:eastAsia="Arial" w:hAnsi="Arial"/>
                <w:sz w:val="18"/>
                <w:szCs w:val="18"/>
                <w:color w:val="auto"/>
              </w:rPr>
              <w:t>Exercisable – September 30, 2021</w:t>
            </w: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2,770,996</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4.56</w:t>
            </w:r>
          </w:p>
        </w:tc>
        <w:tc>
          <w:tcPr>
            <w:tcW w:w="200" w:type="dxa"/>
            <w:vAlign w:val="bottom"/>
          </w:tcPr>
          <w:p>
            <w:pPr>
              <w:spacing w:after="0"/>
              <w:rPr>
                <w:sz w:val="19"/>
                <w:szCs w:val="19"/>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5.23</w:t>
            </w:r>
          </w:p>
        </w:tc>
        <w:tc>
          <w:tcPr>
            <w:tcW w:w="3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501</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9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Expected to vest – after September 30, 2021</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tcPr>
          <w:p>
            <w:pPr>
              <w:spacing w:after="0"/>
              <w:rPr>
                <w:sz w:val="17"/>
                <w:szCs w:val="17"/>
                <w:color w:val="auto"/>
              </w:rPr>
            </w:pPr>
          </w:p>
        </w:tc>
        <w:tc>
          <w:tcPr>
            <w:tcW w:w="3960" w:type="dxa"/>
            <w:vAlign w:val="bottom"/>
            <w:vMerge w:val="continue"/>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2,924,904</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3.25</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9.05</w:t>
            </w:r>
          </w:p>
        </w:tc>
        <w:tc>
          <w:tcPr>
            <w:tcW w:w="3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344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60" w:type="dxa"/>
            <w:vAlign w:val="bottom"/>
          </w:tcPr>
          <w:p>
            <w:pPr>
              <w:jc w:val="right"/>
              <w:ind w:right="476"/>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36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tables summarize information about stock options outstanding and exercisable at September 30, 2021:</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9"/>
              </w:rPr>
              <w:t>Options Outstanding</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7"/>
              </w:rPr>
              <w:t>Options Exercisable</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Weighted</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5"/>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contractual</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5"/>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Exercise Price Range</w:t>
            </w:r>
          </w:p>
        </w:tc>
        <w:tc>
          <w:tcPr>
            <w:tcW w:w="100" w:type="dxa"/>
            <w:vAlign w:val="bottom"/>
            <w:vMerge w:val="restart"/>
          </w:tcPr>
          <w:p>
            <w:pPr>
              <w:spacing w:after="0"/>
              <w:rPr>
                <w:sz w:val="12"/>
                <w:szCs w:val="12"/>
                <w:color w:val="auto"/>
              </w:rPr>
            </w:pPr>
          </w:p>
        </w:tc>
        <w:tc>
          <w:tcPr>
            <w:tcW w:w="9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term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7"/>
        </w:trPr>
        <w:tc>
          <w:tcPr>
            <w:tcW w:w="1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9"/>
              </w:rPr>
              <w:t>exercisable</w:t>
            </w:r>
          </w:p>
        </w:tc>
        <w:tc>
          <w:tcPr>
            <w:tcW w:w="16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$1.35 - $3.64</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4,370,686</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1,784,032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20"/>
                <w:szCs w:val="20"/>
                <w:color w:val="auto"/>
              </w:rPr>
            </w:pPr>
            <w:r>
              <w:rPr>
                <w:rFonts w:ascii="Arial" w:cs="Arial" w:eastAsia="Arial" w:hAnsi="Arial"/>
                <w:sz w:val="18"/>
                <w:szCs w:val="18"/>
                <w:color w:val="auto"/>
              </w:rPr>
              <w:t>$4.26 - $7.95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1,272,411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942,657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$12.45 - $26.10</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20"/>
                <w:szCs w:val="20"/>
                <w:color w:val="auto"/>
              </w:rPr>
            </w:pPr>
            <w:r>
              <w:rPr>
                <w:rFonts w:ascii="Arial" w:cs="Arial" w:eastAsia="Arial" w:hAnsi="Arial"/>
                <w:sz w:val="18"/>
                <w:szCs w:val="18"/>
                <w:color w:val="auto"/>
              </w:rPr>
              <w:t>$27.00 - $33.00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$36.00 - $94.65</w:t>
            </w:r>
          </w:p>
        </w:tc>
        <w:tc>
          <w:tcPr>
            <w:tcW w:w="1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8,379</w:t>
            </w:r>
          </w:p>
        </w:tc>
        <w:tc>
          <w:tcPr>
            <w:tcW w:w="1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8,320</w:t>
            </w:r>
          </w:p>
        </w:tc>
        <w:tc>
          <w:tcPr>
            <w:tcW w:w="1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5,695,900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2,770,996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$19 and $23 for the three months ended September 30, 2021 and 2020, respectively. The total intrinsic value of options exercised were $285 and $43 for the nine months ended September 30, 2021 and 2020, respectively.</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weighted-average grant date fair value of options granted was $2.09 and $3.11 per share for the three months ended September 30, 2021 and 2020, respectively. The weighted-average grant date fair value of options granted was $2.33 and $4.20 per share for the nine months ended September 30, 2021 and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generated a loss and recognized $616 of tax expense for the three months ended September 30, 2021, and $966 of tax benefit for the three months ended September 30, 2020, respectively. The Company generated a loss and recognized $609 of tax expense for the nine months ended September 30, 2021 and $1,010 of tax benefit for the nine months ended September 30, 2020, respectively. A reconciliation of income tax expense (benefit) is as follows:</w:t>
      </w:r>
    </w:p>
    <w:p>
      <w:pPr>
        <w:spacing w:after="0" w:line="17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6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7"/>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Ended September 30,</w:t>
            </w:r>
          </w:p>
        </w:tc>
        <w:tc>
          <w:tcPr>
            <w:tcW w:w="14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Ended September 30,</w:t>
            </w:r>
          </w:p>
        </w:tc>
        <w:tc>
          <w:tcPr>
            <w:tcW w:w="0" w:type="dxa"/>
            <w:vAlign w:val="bottom"/>
          </w:tcPr>
          <w:p>
            <w:pPr>
              <w:spacing w:after="0"/>
              <w:rPr>
                <w:sz w:val="1"/>
                <w:szCs w:val="1"/>
                <w:color w:val="auto"/>
              </w:rPr>
            </w:pPr>
          </w:p>
        </w:tc>
      </w:tr>
      <w:tr>
        <w:trPr>
          <w:trHeight w:val="151"/>
        </w:trPr>
        <w:tc>
          <w:tcPr>
            <w:tcW w:w="39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7"/>
              <w:spacing w:after="0" w:line="151"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4"/>
              <w:spacing w:after="0" w:line="151"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7"/>
              <w:spacing w:after="0" w:line="151"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4"/>
              <w:spacing w:after="0" w:line="151"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gridSpan w:val="2"/>
            <w:shd w:val="clear" w:color="auto" w:fill="CFF0FC"/>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(8,222)</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(8,287)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(17,422)</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(68,799)</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w w:val="93"/>
              </w:rPr>
              <w:t>Theoretical tax benefit at the statutory rate (21.0% 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2021, 24.1% in 2020)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(1,727)</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(1,997)</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(3,659)</w:t>
            </w: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(16,581)</w:t>
            </w:r>
          </w:p>
        </w:tc>
        <w:tc>
          <w:tcPr>
            <w:tcW w:w="0" w:type="dxa"/>
            <w:vAlign w:val="bottom"/>
          </w:tcPr>
          <w:p>
            <w:pPr>
              <w:spacing w:after="0"/>
              <w:rPr>
                <w:sz w:val="1"/>
                <w:szCs w:val="1"/>
                <w:color w:val="auto"/>
              </w:rPr>
            </w:pPr>
          </w:p>
        </w:tc>
      </w:tr>
      <w:tr>
        <w:trPr>
          <w:trHeight w:val="224"/>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Differences in jurisdictional tax rates</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Losses recognition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4"/>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4,687</w:t>
            </w:r>
          </w:p>
        </w:tc>
        <w:tc>
          <w:tcPr>
            <w:tcW w:w="1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Non-deductible expenses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Total income tax expense (benefit)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(8,838)</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(7,321)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(18,031)</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(67,789)</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Income tax expense or benefit is recognized based on the actual loss incurred during the three months ended September 30, 2021 and 2020, respectively. Income tax expense or benefit is recognized based on the actual loss incurred during the nine months ended September 30, 2021 and 2020, respectively. Due to the uncertainties resulting from COVID-19, management was unable to determine an annualized effective tax rate and calculate the income tax expense in accordance with such method.</w:t>
      </w:r>
    </w:p>
    <w:p>
      <w:pPr>
        <w:spacing w:after="0" w:line="19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758" w:right="339" w:bottom="1440" w:gutter="0" w:footer="0" w:header="0"/>
        </w:sectPr>
      </w:pPr>
    </w:p>
    <w:bookmarkStart w:id="25" w:name="page26"/>
    <w:bookmarkEnd w:id="25"/>
    <w:p>
      <w:pPr>
        <w:ind w:left="1"/>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220" w:lineRule="exact"/>
        <w:rPr>
          <w:sz w:val="20"/>
          <w:szCs w:val="20"/>
          <w:color w:val="auto"/>
        </w:rPr>
      </w:pPr>
    </w:p>
    <w:p>
      <w:pPr>
        <w:jc w:val="both"/>
        <w:ind w:left="1"/>
        <w:spacing w:after="0" w:line="282" w:lineRule="auto"/>
        <w:rPr>
          <w:sz w:val="20"/>
          <w:szCs w:val="20"/>
          <w:color w:val="auto"/>
        </w:rPr>
      </w:pPr>
      <w:r>
        <w:rPr>
          <w:rFonts w:ascii="Arial" w:cs="Arial" w:eastAsia="Arial" w:hAnsi="Arial"/>
          <w:sz w:val="16"/>
          <w:szCs w:val="16"/>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8"/>
          <w:szCs w:val="18"/>
          <w:color w:val="auto"/>
        </w:rPr>
        <w:t>Revenue by geographic location, which is based on the product shipped to location, is summarized as follows:</w:t>
      </w:r>
    </w:p>
    <w:p>
      <w:pPr>
        <w:spacing w:after="0" w:line="200" w:lineRule="exact"/>
        <w:rPr>
          <w:sz w:val="20"/>
          <w:szCs w:val="20"/>
          <w:color w:val="auto"/>
        </w:rPr>
      </w:pPr>
    </w:p>
    <w:tbl>
      <w:tblPr>
        <w:tblLayout w:type="fixed"/>
        <w:tblInd w:w="1321"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w:t>
            </w:r>
          </w:p>
        </w:tc>
      </w:tr>
      <w:tr>
        <w:trPr>
          <w:trHeight w:val="167"/>
        </w:trPr>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177"/>
              <w:spacing w:after="0"/>
              <w:rPr>
                <w:sz w:val="20"/>
                <w:szCs w:val="20"/>
                <w:color w:val="auto"/>
              </w:rPr>
            </w:pPr>
            <w:r>
              <w:rPr>
                <w:rFonts w:ascii="Arial" w:cs="Arial" w:eastAsia="Arial" w:hAnsi="Arial"/>
                <w:sz w:val="14"/>
                <w:szCs w:val="14"/>
                <w:b w:val="1"/>
                <w:bCs w:val="1"/>
                <w:color w:val="auto"/>
                <w:w w:val="94"/>
              </w:rPr>
              <w:t>Ended September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Ended September 30,</w:t>
            </w:r>
          </w:p>
        </w:tc>
      </w:tr>
      <w:tr>
        <w:trPr>
          <w:trHeight w:val="151"/>
        </w:trPr>
        <w:tc>
          <w:tcPr>
            <w:tcW w:w="254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01"/>
              <w:spacing w:after="0" w:line="151"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7"/>
              <w:spacing w:after="0" w:line="151"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00"/>
              <w:spacing w:after="0" w:line="151"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7"/>
              <w:spacing w:after="0" w:line="151"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17"/>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12,962</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7,784</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37,025</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22,339</w:t>
            </w:r>
          </w:p>
        </w:tc>
        <w:tc>
          <w:tcPr>
            <w:tcW w:w="80" w:type="dxa"/>
            <w:vAlign w:val="bottom"/>
            <w:shd w:val="clear" w:color="auto" w:fill="CFF0FC"/>
          </w:tcPr>
          <w:p>
            <w:pPr>
              <w:spacing w:after="0"/>
              <w:rPr>
                <w:sz w:val="18"/>
                <w:szCs w:val="18"/>
                <w:color w:val="auto"/>
              </w:rPr>
            </w:pPr>
          </w:p>
        </w:tc>
      </w:tr>
      <w:tr>
        <w:trPr>
          <w:trHeight w:val="223"/>
        </w:trPr>
        <w:tc>
          <w:tcPr>
            <w:tcW w:w="2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5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11,601</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12,896</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35,963</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29,845</w:t>
            </w:r>
          </w:p>
        </w:tc>
        <w:tc>
          <w:tcPr>
            <w:tcW w:w="80" w:type="dxa"/>
            <w:vAlign w:val="bottom"/>
            <w:tcBorders>
              <w:bottom w:val="single" w:sz="8" w:color="CFF0FC"/>
            </w:tcBorders>
          </w:tcPr>
          <w:p>
            <w:pPr>
              <w:spacing w:after="0"/>
              <w:rPr>
                <w:sz w:val="19"/>
                <w:szCs w:val="19"/>
                <w:color w:val="auto"/>
              </w:rPr>
            </w:pPr>
          </w:p>
        </w:tc>
      </w:tr>
      <w:tr>
        <w:trPr>
          <w:trHeight w:val="217"/>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revenue</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20,680</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72,988</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52,184</w:t>
            </w:r>
          </w:p>
        </w:tc>
        <w:tc>
          <w:tcPr>
            <w:tcW w:w="80" w:type="dxa"/>
            <w:vAlign w:val="bottom"/>
            <w:shd w:val="clear" w:color="auto" w:fill="CFF0FC"/>
          </w:tcPr>
          <w:p>
            <w:pPr>
              <w:spacing w:after="0"/>
              <w:rPr>
                <w:sz w:val="18"/>
                <w:szCs w:val="18"/>
                <w:color w:val="auto"/>
              </w:rPr>
            </w:pPr>
          </w:p>
        </w:tc>
      </w:tr>
      <w:tr>
        <w:trPr>
          <w:trHeight w:val="20"/>
        </w:trPr>
        <w:tc>
          <w:tcPr>
            <w:tcW w:w="25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1"/>
        <w:spacing w:after="0" w:line="324" w:lineRule="auto"/>
        <w:rPr>
          <w:sz w:val="20"/>
          <w:szCs w:val="20"/>
          <w:color w:val="auto"/>
        </w:rPr>
      </w:pPr>
      <w:r>
        <w:rPr>
          <w:rFonts w:ascii="Arial" w:cs="Arial" w:eastAsia="Arial" w:hAnsi="Arial"/>
          <w:sz w:val="16"/>
          <w:szCs w:val="16"/>
          <w:color w:val="auto"/>
        </w:rPr>
        <w:t>As of September 30, 2021, long-lived assets in the amount of $16,933 were located in the United States and $1,910 were located in foreign locations. As of December 31, 2020, long-lived assets in the amount of $19,828 were located in the United States and $2,576 were located in foreign locations.</w:t>
      </w:r>
    </w:p>
    <w:p>
      <w:pPr>
        <w:spacing w:after="0" w:line="134" w:lineRule="exact"/>
        <w:rPr>
          <w:sz w:val="20"/>
          <w:szCs w:val="20"/>
          <w:color w:val="auto"/>
        </w:rPr>
      </w:pPr>
    </w:p>
    <w:p>
      <w:pPr>
        <w:ind w:left="1"/>
        <w:spacing w:after="0" w:line="261" w:lineRule="auto"/>
        <w:rPr>
          <w:sz w:val="20"/>
          <w:szCs w:val="20"/>
          <w:color w:val="auto"/>
        </w:rPr>
      </w:pPr>
      <w:r>
        <w:rPr>
          <w:rFonts w:ascii="Arial" w:cs="Arial" w:eastAsia="Arial" w:hAnsi="Arial"/>
          <w:sz w:val="18"/>
          <w:szCs w:val="18"/>
          <w:color w:val="auto"/>
        </w:rPr>
        <w:t>Revenue by type is a key indicator for providing management with an understanding of the Company’s financial performance, which is organized into four different categories:</w:t>
      </w:r>
    </w:p>
    <w:p>
      <w:pPr>
        <w:spacing w:after="0" w:line="181" w:lineRule="exact"/>
        <w:rPr>
          <w:sz w:val="20"/>
          <w:szCs w:val="20"/>
          <w:color w:val="auto"/>
        </w:rPr>
      </w:pPr>
    </w:p>
    <w:p>
      <w:pPr>
        <w:ind w:left="761" w:hanging="761"/>
        <w:spacing w:after="0"/>
        <w:tabs>
          <w:tab w:leader="none" w:pos="761"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Lease revenue - includes all system sales with typical lease terms of 36 months.</w:t>
      </w:r>
    </w:p>
    <w:p>
      <w:pPr>
        <w:spacing w:after="0" w:line="213" w:lineRule="exact"/>
        <w:rPr>
          <w:rFonts w:ascii="Arial" w:cs="Arial" w:eastAsia="Arial" w:hAnsi="Arial"/>
          <w:sz w:val="18"/>
          <w:szCs w:val="18"/>
          <w:color w:val="auto"/>
        </w:rPr>
      </w:pPr>
    </w:p>
    <w:p>
      <w:pPr>
        <w:ind w:left="761" w:hanging="761"/>
        <w:spacing w:after="0"/>
        <w:tabs>
          <w:tab w:leader="none" w:pos="761" w:val="left"/>
        </w:tabs>
        <w:numPr>
          <w:ilvl w:val="0"/>
          <w:numId w:val="5"/>
        </w:numPr>
        <w:rPr>
          <w:rFonts w:ascii="Arial" w:cs="Arial" w:eastAsia="Arial" w:hAnsi="Arial"/>
          <w:sz w:val="18"/>
          <w:szCs w:val="18"/>
          <w:color w:val="auto"/>
        </w:rPr>
      </w:pPr>
      <w:r>
        <w:rPr>
          <w:rFonts w:ascii="Arial" w:cs="Arial" w:eastAsia="Arial" w:hAnsi="Arial"/>
          <w:sz w:val="18"/>
          <w:szCs w:val="18"/>
          <w:color w:val="auto"/>
        </w:rPr>
        <w:t>System revenue – includes all systems sales with payment terms within 12 months.</w:t>
      </w:r>
    </w:p>
    <w:p>
      <w:pPr>
        <w:spacing w:after="0" w:line="213" w:lineRule="exact"/>
        <w:rPr>
          <w:rFonts w:ascii="Arial" w:cs="Arial" w:eastAsia="Arial" w:hAnsi="Arial"/>
          <w:sz w:val="18"/>
          <w:szCs w:val="18"/>
          <w:color w:val="auto"/>
        </w:rPr>
      </w:pPr>
    </w:p>
    <w:p>
      <w:pPr>
        <w:ind w:left="761" w:hanging="761"/>
        <w:spacing w:after="0"/>
        <w:tabs>
          <w:tab w:leader="none" w:pos="761"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revenue – includes consumables payable upon receipt.</w:t>
      </w:r>
    </w:p>
    <w:p>
      <w:pPr>
        <w:spacing w:after="0" w:line="213" w:lineRule="exact"/>
        <w:rPr>
          <w:rFonts w:ascii="Arial" w:cs="Arial" w:eastAsia="Arial" w:hAnsi="Arial"/>
          <w:sz w:val="18"/>
          <w:szCs w:val="18"/>
          <w:color w:val="auto"/>
        </w:rPr>
      </w:pPr>
    </w:p>
    <w:p>
      <w:pPr>
        <w:ind w:left="761" w:hanging="761"/>
        <w:spacing w:after="0"/>
        <w:tabs>
          <w:tab w:leader="none" w:pos="761"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 revenue - includes NeoGraft® technician services, advertising agency services and extended warranty sales.</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following table presents revenue by type:</w:t>
      </w:r>
    </w:p>
    <w:tbl>
      <w:tblPr>
        <w:tblLayout w:type="fixed"/>
        <w:tblInd w:w="1321" w:type="dxa"/>
        <w:tblCellMar>
          <w:top w:w="0" w:type="dxa"/>
          <w:left w:w="0" w:type="dxa"/>
          <w:bottom w:w="0" w:type="dxa"/>
          <w:right w:w="0" w:type="dxa"/>
        </w:tblCellMar>
      </w:tblPr>
      <w:tr>
        <w:trPr>
          <w:trHeight w:val="151"/>
        </w:trPr>
        <w:tc>
          <w:tcPr>
            <w:tcW w:w="2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jc w:val="right"/>
              <w:ind w:right="395"/>
              <w:spacing w:after="0" w:line="151" w:lineRule="exact"/>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5"/>
          </w:tcPr>
          <w:p>
            <w:pPr>
              <w:ind w:left="340"/>
              <w:spacing w:after="0" w:line="151" w:lineRule="exact"/>
              <w:rPr>
                <w:sz w:val="20"/>
                <w:szCs w:val="20"/>
                <w:color w:val="auto"/>
              </w:rPr>
            </w:pPr>
            <w:r>
              <w:rPr>
                <w:rFonts w:ascii="Arial" w:cs="Arial" w:eastAsia="Arial" w:hAnsi="Arial"/>
                <w:sz w:val="14"/>
                <w:szCs w:val="14"/>
                <w:b w:val="1"/>
                <w:bCs w:val="1"/>
                <w:color w:val="auto"/>
              </w:rPr>
              <w:t>Nine Months</w:t>
            </w:r>
          </w:p>
        </w:tc>
      </w:tr>
      <w:tr>
        <w:trPr>
          <w:trHeight w:val="167"/>
        </w:trPr>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w w:val="94"/>
              </w:rPr>
              <w:t>Ended September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Ended September 30,</w:t>
            </w:r>
          </w:p>
        </w:tc>
      </w:tr>
      <w:tr>
        <w:trPr>
          <w:trHeight w:val="151"/>
        </w:trPr>
        <w:tc>
          <w:tcPr>
            <w:tcW w:w="258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1"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5"/>
              <w:spacing w:after="0" w:line="151"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00"/>
              <w:spacing w:after="0" w:line="151"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1"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17"/>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Lease revenue</w:t>
            </w: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12,634</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33,958</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23,709</w:t>
            </w:r>
          </w:p>
        </w:tc>
        <w:tc>
          <w:tcPr>
            <w:tcW w:w="80" w:type="dxa"/>
            <w:vAlign w:val="bottom"/>
            <w:shd w:val="clear" w:color="auto" w:fill="CFF0FC"/>
          </w:tcPr>
          <w:p>
            <w:pPr>
              <w:spacing w:after="0"/>
              <w:rPr>
                <w:sz w:val="18"/>
                <w:szCs w:val="18"/>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System revenue</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17,758</w:t>
            </w:r>
          </w:p>
        </w:tc>
        <w:tc>
          <w:tcPr>
            <w:tcW w:w="80" w:type="dxa"/>
            <w:vAlign w:val="bottom"/>
          </w:tcPr>
          <w:p>
            <w:pPr>
              <w:spacing w:after="0"/>
              <w:rPr>
                <w:sz w:val="19"/>
                <w:szCs w:val="19"/>
                <w:color w:val="auto"/>
              </w:rPr>
            </w:pPr>
          </w:p>
        </w:tc>
      </w:tr>
      <w:tr>
        <w:trPr>
          <w:trHeight w:val="224"/>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7,136</w:t>
            </w:r>
          </w:p>
        </w:tc>
        <w:tc>
          <w:tcPr>
            <w:tcW w:w="80" w:type="dxa"/>
            <w:vAlign w:val="bottom"/>
            <w:shd w:val="clear" w:color="auto" w:fill="CFF0FC"/>
          </w:tcPr>
          <w:p>
            <w:pPr>
              <w:spacing w:after="0"/>
              <w:rPr>
                <w:sz w:val="19"/>
                <w:szCs w:val="19"/>
                <w:color w:val="auto"/>
              </w:rPr>
            </w:pPr>
          </w:p>
        </w:tc>
      </w:tr>
      <w:tr>
        <w:trPr>
          <w:trHeight w:val="223"/>
        </w:trPr>
        <w:tc>
          <w:tcPr>
            <w:tcW w:w="2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1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80" w:type="dxa"/>
            <w:vAlign w:val="bottom"/>
            <w:tcBorders>
              <w:bottom w:val="single" w:sz="8" w:color="CFF0FC"/>
            </w:tcBorders>
          </w:tcPr>
          <w:p>
            <w:pPr>
              <w:spacing w:after="0"/>
              <w:rPr>
                <w:sz w:val="19"/>
                <w:szCs w:val="19"/>
                <w:color w:val="auto"/>
              </w:rPr>
            </w:pPr>
          </w:p>
        </w:tc>
      </w:tr>
      <w:tr>
        <w:trPr>
          <w:trHeight w:val="217"/>
        </w:trPr>
        <w:tc>
          <w:tcPr>
            <w:tcW w:w="2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revenue</w:t>
            </w: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20,680</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72,988</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52,184</w:t>
            </w:r>
          </w:p>
        </w:tc>
        <w:tc>
          <w:tcPr>
            <w:tcW w:w="80" w:type="dxa"/>
            <w:vAlign w:val="bottom"/>
            <w:shd w:val="clear" w:color="auto" w:fill="CFF0FC"/>
          </w:tcPr>
          <w:p>
            <w:pPr>
              <w:spacing w:after="0"/>
              <w:rPr>
                <w:sz w:val="18"/>
                <w:szCs w:val="18"/>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17. RELATED PARTY TRANSACTIONS</w:t>
      </w:r>
    </w:p>
    <w:p>
      <w:pPr>
        <w:spacing w:after="0" w:line="220" w:lineRule="exact"/>
        <w:rPr>
          <w:sz w:val="20"/>
          <w:szCs w:val="20"/>
          <w:color w:val="auto"/>
        </w:rPr>
      </w:pPr>
    </w:p>
    <w:p>
      <w:pPr>
        <w:jc w:val="both"/>
        <w:ind w:left="1"/>
        <w:spacing w:after="0" w:line="261" w:lineRule="auto"/>
        <w:rPr>
          <w:sz w:val="20"/>
          <w:szCs w:val="20"/>
          <w:color w:val="auto"/>
        </w:rPr>
      </w:pPr>
      <w:r>
        <w:rPr>
          <w:rFonts w:ascii="Arial" w:cs="Arial" w:eastAsia="Arial" w:hAnsi="Arial"/>
          <w:sz w:val="18"/>
          <w:szCs w:val="18"/>
          <w:color w:val="auto"/>
        </w:rPr>
        <w:t>All amounts were recorded at the exchange amount, which is the amount established and agreed to by the related parties. The following are transactions between the Company and its related parties:</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Distribution Agreements</w:t>
      </w:r>
    </w:p>
    <w:p>
      <w:pPr>
        <w:spacing w:after="0" w:line="214" w:lineRule="exact"/>
        <w:rPr>
          <w:sz w:val="20"/>
          <w:szCs w:val="20"/>
          <w:color w:val="auto"/>
        </w:rPr>
      </w:pPr>
    </w:p>
    <w:p>
      <w:pPr>
        <w:jc w:val="both"/>
        <w:ind w:left="1"/>
        <w:spacing w:after="0" w:line="248" w:lineRule="auto"/>
        <w:rPr>
          <w:sz w:val="20"/>
          <w:szCs w:val="20"/>
          <w:color w:val="auto"/>
        </w:rPr>
      </w:pPr>
      <w:r>
        <w:rPr>
          <w:rFonts w:ascii="Arial" w:cs="Arial" w:eastAsia="Arial" w:hAnsi="Arial"/>
          <w:sz w:val="18"/>
          <w:szCs w:val="18"/>
          <w:color w:val="auto"/>
        </w:rPr>
        <w:t>On January 1, 2018, the Company entered into a distribution agreement with Technicalbiomed Co., Ltd. (“TBC”), pursuant to which TBC will continue to distribute the Company’s products in Thailand. A senior officer of the Company is a 30.0% shareholder of TBC. For the three months ended September 30, 2021 and 2020, TBC purchased products in the amount of $66 and $41, respectively, under this distribution agreement. For the nine months ended September 30, 2021 and 2020, TBC purchased products in the amount of $194 and $136, respectively, under this distribution agreement. These sales are included in products and services revenue.</w:t>
      </w:r>
    </w:p>
    <w:p>
      <w:pPr>
        <w:spacing w:after="0" w:line="1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64135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1"/>
          </w:cols>
          <w:pgMar w:left="699" w:top="542" w:right="3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6"/>
          <w:szCs w:val="16"/>
          <w:color w:val="auto"/>
        </w:rPr>
        <w:t>In 2020, the Company made several strategic decisions to divest itself of underperforming direct sales offices and sold its share in several subsidiaries, including its 55.0% shareholding in Venus Concept Singapore Pte. Ltd (“Venus Singapore”). On January 1, 2021, the Company entered into a distribution agreement with Venus Singapore, pursuant to which Venus Singapore will continue to distribute the Company’s products in Singapore. A senior officer of the Company is a 45.0% shareholder of Venus Singapore. For the three and nine months ended September 30, 2021, Venus Singapore purchased products in the amount of $51 and $165, respectively, under the distribution agreement. These sales are included in products and services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TRANSACTIONS WITH SUBSIDIARIES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2020, the Company made several strategic decisions to divest itself of underperforming direct sales offices in the countries which were not anticipated to produce sustainable results. As a part of this initiative the Company completed the following transactions during the three months ended September 30, 2021:</w:t>
      </w:r>
    </w:p>
    <w:p>
      <w:pPr>
        <w:spacing w:after="0" w:line="189" w:lineRule="exact"/>
        <w:rPr>
          <w:sz w:val="20"/>
          <w:szCs w:val="20"/>
          <w:color w:val="auto"/>
        </w:rPr>
      </w:pPr>
    </w:p>
    <w:p>
      <w:pPr>
        <w:ind w:left="740" w:hanging="366"/>
        <w:spacing w:after="0" w:line="261"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Sold its share (80%) in its subsidiary, Venus Concept Africa (Pty) Ltd., to a non-controlling shareholder for a nominal cash consideration. The disposal resulted in a loss of approximately $188.</w:t>
      </w:r>
    </w:p>
    <w:p>
      <w:pPr>
        <w:spacing w:after="0" w:line="180" w:lineRule="exact"/>
        <w:rPr>
          <w:rFonts w:ascii="Arial" w:cs="Arial" w:eastAsia="Arial" w:hAnsi="Arial"/>
          <w:sz w:val="18"/>
          <w:szCs w:val="18"/>
          <w:color w:val="auto"/>
        </w:rPr>
      </w:pPr>
    </w:p>
    <w:p>
      <w:pPr>
        <w:ind w:left="740" w:hanging="366"/>
        <w:spacing w:after="0" w:line="261"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a Certificate of Dissolution to dissolve its wholly-owned subsidiary, Restoration Robotics Spain S.L. There is no financial impact to the consolidated financial results of the Company as a result of the subsidiary’s dissolution.</w:t>
      </w:r>
    </w:p>
    <w:p>
      <w:pPr>
        <w:spacing w:after="0" w:line="18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 these disposals did not constitute a strategic shift that will have a major effect on the Company’s operations and financial results, and total operating revenue of the disposed subsidiaries did not exceed 15% of the Company’s total revenue, the results of operations for these disposed subsidiaries were not reported as discontinued operations under the guidance of Accounting Standards Codification (“ASC”) 205-20-45.</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above, on September 7, 2021, the Company acquired the non-controlling interest (45%) in its subsidiary in China, Venus Concept (Shanghai) Co., Ltd, for a nominal consideration.</w:t>
      </w:r>
    </w:p>
    <w:p>
      <w:pPr>
        <w:spacing w:after="0" w:line="1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700" w:top="54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The following discussion contains management’s discussion and analysis of our financial condition and results of operations and should be read together with the unaudited condensed consolidated financial statements and the notes thereto included elsewhere in this Quarterly Report on Form 10-Q for the quarter ended September 30, 2021 (“Form 10-Q”), with our audited consolidated financial statements and notes thereto in our Annual Report on Form 10-K for the year ended December 31, 2020 (“Form 10-K”) and our Forms 10-Q for the quarters ended March 31, 2021 and June 30, 2021, respectively, filed with the SEC and other filings we have made with the SEC. This discussion contains forward-looking statements within the meaning of the U.S. Private Securities Litigation Reform Act of 1995 that reflect our plans, estimates and beliefs and involve numerous risks and uncertainties, including but not limited to those described in Part II, Item 1A“Risk Factors” in our Forms 10-Q for the quarters ended March 31, 2021 and June 30, 20201, respectively, and in Part I, Item IA “Risk Factors” of our Form 10-K. Any statements contained in this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Form 10-Q may turn out to be inaccurate or may differ materially from those contained in any forward-looking statements. You should carefully read Part II, Item 1A“Risk Factors” in this Form 10-Q and our Forms 10-Q for the quarters ended March 31, 2021 and June 30, 2021, respectively, and Part I, Item IA, “Risk Factors” of our Form 10-K. Any forward-looking statement made by us in this Form 10-Q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the three and nine months ended September 30, 2021 and 2020, respectively, a substantial majority of our systems delivered in North America were in non-traditional markets.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had recurring net operating losses and negative cash flows from operations. As of September 30, 2021 and December 31, 2020, we had an accumulated deficit of $176.1 million and $157.4 million, respectively. Until we generate revenue at a level to support our cost structure, we expect to continue to incur substantial operating losses and negative cash flows from operations. In order to continue our operations, we must achieve profitable operations and/or obtain additional equity investment or debt financing. Until we achieve profitability, we plan to fund our operations and capital expenditures with cash on hand, borrowings and issuances of capital stock. As of September 30, 2021 and December 31, 2020, we had cash and cash equivalents of $15.9 million and $34.4 million, respectively. The pandemic has had a significant negative impact on our business; therefore, while our business continues to show strong quarter on quarter growth in revenues as compared to 2020, and we expect this momentum to continue for the balance of the 2021 year, the extent to which COVID-19 will impact our business going forward will depend on numerous evolving factors that cannot be reliably predicted, such as the duration and scope of the pandemic, including COVID-19 variants; governmental, business, and individuals' actions in response to the pandemic; and the impact on economic activity or financial market instability. See ‘‘—Liquidity and Capital Resources’’ for additional information.</w:t>
      </w:r>
    </w:p>
    <w:p>
      <w:pPr>
        <w:spacing w:after="0" w:line="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“Venus Freeze”, “Venus Freeze Plus”, “Venus Viva” “Venus Viva MD”, “Venus Legacy BX”, “Venus Legacy CX”, “Venus Versa”, “Venus Velocity”, “Venus Bliss”, “Venus Epileve”, “Venus Fiore “, “Venus Freedom”, “NeoGraft”, “ARTAS” and “ARTAS iX” are trademarks of our company.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(R) symbol, but those references are not intended to indicate, in any way, that we will not assert, to the fullest extent under applicable law, our rights, or the rights of the applicable licensor to these trademarks and trade names.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derive revenue from the sale of products and services. Product revenue includes revenue from the following:</w:t>
      </w:r>
    </w:p>
    <w:p>
      <w:pPr>
        <w:spacing w:after="0" w:line="214" w:lineRule="exact"/>
        <w:rPr>
          <w:sz w:val="20"/>
          <w:szCs w:val="20"/>
          <w:color w:val="auto"/>
        </w:rPr>
      </w:pPr>
    </w:p>
    <w:p>
      <w:pPr>
        <w:ind w:left="760" w:hanging="374"/>
        <w:spacing w:after="0" w:line="250"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sale, including traditional sales and subscription-based sales, of systems, inclusive of the main console and applicators/handpieces (referred to as system revenue);</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marketing supplies and kits;</w:t>
      </w:r>
    </w:p>
    <w:p>
      <w:pPr>
        <w:spacing w:after="0" w:line="3"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consumables and disposables;</w:t>
      </w:r>
    </w:p>
    <w:p>
      <w:pPr>
        <w:spacing w:after="0" w:line="3"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 revenue; and</w:t>
      </w:r>
    </w:p>
    <w:p>
      <w:pPr>
        <w:spacing w:after="0" w:line="3"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replacement applicators/handpieces.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Service revenue includes revenue derived from our VeroGrafters technician services, and our extended warranty service contracts provided to our existing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Systems are sold through our subscription model, or through traditional sales contracts directly and through distributors.</w:t>
      </w:r>
    </w:p>
    <w:p>
      <w:pPr>
        <w:spacing w:after="0" w:line="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generate recurring monthly revenue under our subscription-based business model and from traditional system sales. Venus Ltd. commenced a subscription-based model in North America in 2011, and approximately 56% and 57% of our aesthetic revenues were derived from our subscription model in the nine months ended September 30, 2021 and 2020, respectively. We have launched our subscription model in targeted international markets in which we operate directly. We currently do not offer the ARTAS iX system under the subscription model.</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subscription model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 technology throughout the subscription period. This structure can provide greater flexibility than traditional equipment leases secured through financing companies. We work closely with our customers to provide business recommendations that improve the quality of service outcomes, build patient traffic and improve financial returns for the customer’s business.</w:t>
      </w:r>
    </w:p>
    <w:p>
      <w:pPr>
        <w:spacing w:after="0" w:line="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have developed and commercialized eleven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indications such as treatment of facial wrinkles in certain skin types, temporary reduction of appearance of cellulite, non-invasive fat reduction (lipolysis) in the abdomen and flanks for certain body types and relief of minor muscle aches and pains. In addition, we have received regulatory approval for marketing certain indications in overseas markets but not in the United States, including treatment of certain soft tissue injuries, temporary increase of skin tightening, temporary body contouring, and vaginal treatments. With respect to vaginal treatments, we received a medical device license issued by Health Canada to market the Venus Fiore Feminine Health System (“Venus Fiore”) in Canada on July 14, 2021 and previously obtained a CE Mark for the Venus Fiore in March 2020. Following Venus Fiore authorization in Canada, we received FDA 510(k) clearance to market the Venus Freedom device in the United States, further expanding our portfolio of technologies that can treat a broad range of common women’s health conditions. We commenced a limited launch of the Venus Fiore in Canada and the European Union in the third quarter of 2021, and will commence a limited launch of the Venus Freedom in the U.S. during the first quarter of fiscal year 2022.</w:t>
      </w:r>
    </w:p>
    <w:p>
      <w:pPr>
        <w:spacing w:after="0" w:line="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the United States, we have obtained 510(k) clearance from the United States Food and Drug Administration (“FDA”) for our Venus Freeze and Venus Freeze Plus, Venus Viva, Venus Viva MD, Venus Legacy BX, Venus Legacy CX, Venus Versa, Venus Velocity, Venus Bliss, Venus Epileve, Venus Fiore, Venus Freedom, NeoGraft, ARTAS and ARTAS iX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September 30, 2021, we operated directly in 18 international markets through our 15 direct offices in the United States, Canada, United Kingdom, Japan, South Korea, Mexico, Argentina, Colombia, Spain, France, Germany, Australia, China, Hong Kong, and Israel.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spacing w:after="0" w:line="247" w:lineRule="auto"/>
        <w:rPr>
          <w:sz w:val="20"/>
          <w:szCs w:val="20"/>
          <w:color w:val="auto"/>
        </w:rPr>
      </w:pPr>
      <w:r>
        <w:rPr>
          <w:rFonts w:ascii="Arial" w:cs="Arial" w:eastAsia="Arial" w:hAnsi="Arial"/>
          <w:sz w:val="18"/>
          <w:szCs w:val="18"/>
          <w:color w:val="auto"/>
        </w:rPr>
        <w:t>Our revenues for the three months ended September 30, 2021, and 2020 were $24.6 million and $20.7 million, respectively. Our revenues for the nine months ended September 30, 2021, and 2020 were $73.0 million and $52.2 million, respectively. We had a net loss attributable to Venus Concept of $9.8 million and $7.2 million in the three months ended September 30, 2021, and 2020, respectively. We had a net loss attributable to Venus Concept of $18.7 million and $70.6 million in the nine months ended September 30, 2021, and 2020, respectively. We had an Adjusted EBITDA loss of $3.5 million and $1.4 million for the three months ended September 30, 2021, and 2020, respectively. We had an Adjusted EBITDA loss of $8.1 million and $17.8 million for the nine months ended September 30, 2021, and 2020,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Adjusted EBITDA is a non-GAAP measure defined as net income (loss) before foreign exchange loss (gain),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loss to Adjusted EBITDA for the periods presented:</w:t>
      </w:r>
    </w:p>
    <w:p>
      <w:pPr>
        <w:spacing w:after="0" w:line="200"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9"/>
              </w:rPr>
              <w:t>Ended September 30,</w:t>
            </w:r>
          </w:p>
        </w:tc>
        <w:tc>
          <w:tcPr>
            <w:tcW w:w="160" w:type="dxa"/>
            <w:vAlign w:val="bottom"/>
          </w:tcPr>
          <w:p>
            <w:pPr>
              <w:spacing w:after="0"/>
              <w:rPr>
                <w:sz w:val="14"/>
                <w:szCs w:val="14"/>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8"/>
              </w:rPr>
              <w:t>Ended September 30,</w:t>
            </w:r>
          </w:p>
        </w:tc>
        <w:tc>
          <w:tcPr>
            <w:tcW w:w="0" w:type="dxa"/>
            <w:vAlign w:val="bottom"/>
          </w:tcPr>
          <w:p>
            <w:pPr>
              <w:spacing w:after="0"/>
              <w:rPr>
                <w:sz w:val="1"/>
                <w:szCs w:val="1"/>
                <w:color w:val="auto"/>
              </w:rPr>
            </w:pPr>
          </w:p>
        </w:tc>
      </w:tr>
      <w:tr>
        <w:trPr>
          <w:trHeight w:val="15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Reconciliation of net loss to Adjusted EBITDA</w:t>
            </w:r>
          </w:p>
        </w:tc>
        <w:tc>
          <w:tcPr>
            <w:tcW w:w="3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7"/>
              <w:spacing w:after="0" w:line="151"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4"/>
              <w:spacing w:after="0" w:line="151"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7"/>
              <w:spacing w:after="0" w:line="151"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4"/>
              <w:spacing w:after="0" w:line="151"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5"/>
          </w:tcPr>
          <w:p>
            <w:pPr>
              <w:jc w:val="center"/>
              <w:ind w:right="114"/>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center"/>
              <w:ind w:right="94"/>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(8,838)</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(18,031)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(67,789)</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Foreign exchange loss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w w:val="97"/>
              </w:rPr>
              <w:t>Accretion on long-term debt and amortization of fees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Goodwill impairment charge</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7"/>
              </w:rPr>
              <w:t>Gain on forgiveness of government assistance loans</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12"/>
                <w:szCs w:val="12"/>
                <w:color w:val="auto"/>
              </w:rPr>
              <w:t>(1)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vMerge w:val="continue"/>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(3,548)</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(8,116)</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(17,840)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both"/>
        <w:ind w:firstLine="5"/>
        <w:spacing w:after="0" w:line="249" w:lineRule="auto"/>
        <w:tabs>
          <w:tab w:leader="none" w:pos="226" w:val="left"/>
        </w:tabs>
        <w:numPr>
          <w:ilvl w:val="0"/>
          <w:numId w:val="8"/>
        </w:numPr>
        <w:rPr>
          <w:rFonts w:ascii="Arial" w:cs="Arial" w:eastAsia="Arial" w:hAnsi="Arial"/>
          <w:sz w:val="15"/>
          <w:szCs w:val="15"/>
          <w:color w:val="auto"/>
        </w:rPr>
      </w:pPr>
      <w:r>
        <w:rPr>
          <w:rFonts w:ascii="Arial" w:cs="Arial" w:eastAsia="Arial" w:hAnsi="Arial"/>
          <w:sz w:val="18"/>
          <w:szCs w:val="18"/>
          <w:color w:val="auto"/>
        </w:rPr>
        <w:t>For the three and nine months ended September 30, 2021, the other adjustments are represented by a loss on the sale of a subsidiary in South Africa ($0.2 and $0.2 million, respectively). For the three and nine months ended September 30, 2020, the other adjustments are mainly represented by severance and retention payments ($nil and $1.4 million, respectively), additional bad debt provision due to COVID-19 ($2.2 million and $5.7 million, respectively) as well as a loss on the sale of a subsidiary in Bulgaria ($nil and $0.4 million,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Key Factors Impacting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are impacted by several factors, but we consider the following to be particularly significant to our business: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Number of systems delivered. </w:t>
      </w:r>
      <w:r>
        <w:rPr>
          <w:rFonts w:ascii="Arial" w:cs="Arial" w:eastAsia="Arial" w:hAnsi="Arial"/>
          <w:sz w:val="18"/>
          <w:szCs w:val="18"/>
          <w:color w:val="auto"/>
        </w:rPr>
        <w:t>The majority of our revenue is generated from the delivery of systems, both under traditional sales contracts and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The following table sets forth the number of systems we have delivered in the geographic regions indicated:</w:t>
      </w:r>
    </w:p>
    <w:p>
      <w:pPr>
        <w:spacing w:after="0" w:line="16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1"/>
              </w:rPr>
              <w:t>Three Months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w w:val="90"/>
              </w:rPr>
              <w:t>Nine Months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940" w:type="dxa"/>
            <w:vAlign w:val="bottom"/>
          </w:tcPr>
          <w:p>
            <w:pPr>
              <w:spacing w:after="0"/>
              <w:rPr>
                <w:sz w:val="14"/>
                <w:szCs w:val="14"/>
                <w:color w:val="auto"/>
              </w:rPr>
            </w:pPr>
          </w:p>
        </w:tc>
        <w:tc>
          <w:tcPr>
            <w:tcW w:w="1960" w:type="dxa"/>
            <w:vAlign w:val="bottom"/>
            <w:gridSpan w:val="4"/>
          </w:tcPr>
          <w:p>
            <w:pPr>
              <w:jc w:val="center"/>
              <w:ind w:left="250"/>
              <w:spacing w:after="0"/>
              <w:rPr>
                <w:sz w:val="20"/>
                <w:szCs w:val="20"/>
                <w:color w:val="auto"/>
              </w:rPr>
            </w:pPr>
            <w:r>
              <w:rPr>
                <w:rFonts w:ascii="Arial" w:cs="Arial" w:eastAsia="Arial" w:hAnsi="Arial"/>
                <w:sz w:val="14"/>
                <w:szCs w:val="14"/>
                <w:b w:val="1"/>
                <w:bCs w:val="1"/>
                <w:color w:val="auto"/>
                <w:w w:val="89"/>
              </w:rPr>
              <w:t>Ended September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Ended September 30,</w:t>
            </w:r>
          </w:p>
        </w:tc>
      </w:tr>
      <w:tr>
        <w:trPr>
          <w:trHeight w:val="151"/>
        </w:trPr>
        <w:tc>
          <w:tcPr>
            <w:tcW w:w="29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21"/>
              <w:spacing w:after="0" w:line="151"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7"/>
              <w:spacing w:after="0" w:line="151"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3"/>
                <w:szCs w:val="13"/>
                <w:color w:val="auto"/>
              </w:rPr>
            </w:pPr>
          </w:p>
        </w:tc>
      </w:tr>
      <w:tr>
        <w:trPr>
          <w:trHeight w:val="217"/>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spacing w:after="0"/>
              <w:rPr>
                <w:sz w:val="18"/>
                <w:szCs w:val="18"/>
                <w:color w:val="auto"/>
              </w:rPr>
            </w:pPr>
          </w:p>
        </w:tc>
      </w:tr>
      <w:tr>
        <w:trPr>
          <w:trHeight w:val="223"/>
        </w:trPr>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263</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80" w:type="dxa"/>
            <w:vAlign w:val="bottom"/>
            <w:tcBorders>
              <w:bottom w:val="single" w:sz="8" w:color="CFF0FC"/>
            </w:tcBorders>
          </w:tcPr>
          <w:p>
            <w:pPr>
              <w:spacing w:after="0"/>
              <w:rPr>
                <w:sz w:val="19"/>
                <w:szCs w:val="19"/>
                <w:color w:val="auto"/>
              </w:rPr>
            </w:pPr>
          </w:p>
        </w:tc>
      </w:tr>
      <w:tr>
        <w:trPr>
          <w:trHeight w:val="217"/>
        </w:trPr>
        <w:tc>
          <w:tcPr>
            <w:tcW w:w="36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Total systems delivered</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333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FF0FC"/>
          </w:tcPr>
          <w:p>
            <w:pPr>
              <w:spacing w:after="0"/>
              <w:rPr>
                <w:sz w:val="18"/>
                <w:szCs w:val="18"/>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Mix between traditional sales, subscription model sales and distributor sales. </w:t>
      </w:r>
      <w:r>
        <w:rPr>
          <w:rFonts w:ascii="Arial" w:cs="Arial" w:eastAsia="Arial" w:hAnsi="Arial"/>
          <w:sz w:val="16"/>
          <w:szCs w:val="16"/>
          <w:color w:val="auto"/>
        </w:rPr>
        <w:t>We deliver systems through (1) traditional direct system sales contracts to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(2) our subscription model and (3) system sales through distribution agreements. Unit deliveries under direct system sales contracts and subscription agreements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subscription agreements have similar gross margins, cash collections on subscription agreements generally occur over a three-year period, with approximately 40% to 45% collected in the first year and the balance collected evenly over the remaining two years of the subscription agreement.</w:t>
      </w:r>
    </w:p>
    <w:p>
      <w:pPr>
        <w:spacing w:after="0" w:line="16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Investment in Sales, Marketing and Operations. </w:t>
      </w:r>
      <w:r>
        <w:rPr>
          <w:rFonts w:ascii="Arial" w:cs="Arial" w:eastAsia="Arial" w:hAnsi="Arial"/>
          <w:sz w:val="16"/>
          <w:szCs w:val="16"/>
          <w:color w:val="auto"/>
        </w:rPr>
        <w:t>In recent years, we made a strategic decision to penetrate the global market by investing in sales and</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have been evaluating our profitability and growth prospects in these countries post-COVID-19, and we have taken and will continue to take steps to exit countries which we do not believe will produce sustainable results. Since June 2020 we have closed a 9 direct offices across Europe, Asia Pacific, Latin America and Africa and have increased our investment and focus in the U.S market. In the three and nine months ended September 30, 2021, and 2020, respectively, we did not open any direct sales offices.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Bad Debt Expense. </w:t>
      </w:r>
      <w:r>
        <w:rPr>
          <w:rFonts w:ascii="Arial" w:cs="Arial" w:eastAsia="Arial" w:hAnsi="Arial"/>
          <w:sz w:val="16"/>
          <w:szCs w:val="16"/>
          <w:color w:val="auto"/>
        </w:rPr>
        <w:t>We maintain an allowance for doubtful accounts for estimated losses that may primarily arise from subscription customers that are unable</w:t>
      </w:r>
      <w:r>
        <w:rPr>
          <w:rFonts w:ascii="Arial" w:cs="Arial" w:eastAsia="Arial" w:hAnsi="Arial"/>
          <w:sz w:val="16"/>
          <w:szCs w:val="16"/>
          <w:b w:val="1"/>
          <w:bCs w:val="1"/>
          <w:color w:val="auto"/>
        </w:rPr>
        <w:t xml:space="preserve"> </w:t>
      </w:r>
      <w:r>
        <w:rPr>
          <w:rFonts w:ascii="Arial" w:cs="Arial" w:eastAsia="Arial" w:hAnsi="Arial"/>
          <w:sz w:val="16"/>
          <w:szCs w:val="16"/>
          <w:color w:val="auto"/>
        </w:rPr>
        <w:t>to make the remaining payments required under their subscription agreements. Due to COVID-19, in the first half of 2020, we experienced significant reductions in the collection of accounts receivable from our subscription customers across the markets in which we operate. As a result, in addition to our regular allowance for doubtful accounts, we recorded a COVID-19 related bad debt charge of $5.7 million in the first nine months of 2020. In the first nine months of 2021, our collections results improved along with our customer base exhibiting a significant increase in the number of procedures performed with our products. As a result, we recovered a bad debt expense of $3.2 million in the second quarter of 2021 tracing to a reactivation of our customer base. For the first nine months of 2021 our bad debt expense was $0.6 million compared to $8.5 million for the first nine months of 2020. As of September 30, 2021, our allowance for doubtful accounts stands at $11.5 million which represents 13.9% of the gross outstanding accounts receivable as of this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overall performance continues to show strength as we find ways to adapt to the challenges presented by the COVID-19 pandemic. There are certain markets that we operate in where commercial efforts are still challenged by the effects of COVID-19, either through local government restrictions and/or patients’ hesitancy to undergo procedures. Where possible, our sales efforts are increasingly focused on countries and markets that have had success in managing the pandemic through proper guidance from public health authorities combined with strong COVID-19 vaccination outcomes.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jc w:val="both"/>
        <w:spacing w:after="0" w:line="256" w:lineRule="auto"/>
        <w:rPr>
          <w:sz w:val="20"/>
          <w:szCs w:val="20"/>
          <w:color w:val="auto"/>
        </w:rPr>
      </w:pPr>
      <w:r>
        <w:rPr>
          <w:rFonts w:ascii="Arial" w:cs="Arial" w:eastAsia="Arial" w:hAnsi="Arial"/>
          <w:sz w:val="18"/>
          <w:szCs w:val="18"/>
          <w:b w:val="1"/>
          <w:bCs w:val="1"/>
          <w:color w:val="auto"/>
        </w:rPr>
        <w:t xml:space="preserve">Employee and customers’ health and safety measures. </w:t>
      </w:r>
      <w:r>
        <w:rPr>
          <w:rFonts w:ascii="Arial" w:cs="Arial" w:eastAsia="Arial" w:hAnsi="Arial"/>
          <w:sz w:val="18"/>
          <w:szCs w:val="18"/>
          <w:color w:val="auto"/>
        </w:rPr>
        <w:t>At Venus Concept, safety is our top priority and that includes the health and well-being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customers globally. In response to COVID-19, we instituted several operational measures to ensure the safety of our employees and customers, which include, but are not limited to the following:</w:t>
      </w:r>
    </w:p>
    <w:p>
      <w:pPr>
        <w:spacing w:after="0" w:line="185" w:lineRule="exact"/>
        <w:rPr>
          <w:sz w:val="20"/>
          <w:szCs w:val="20"/>
          <w:color w:val="auto"/>
        </w:rPr>
      </w:pPr>
    </w:p>
    <w:p>
      <w:pPr>
        <w:ind w:left="740" w:hanging="36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Suspended or reduced operations at manufacturing and warehouse facilities;</w:t>
      </w:r>
    </w:p>
    <w:p>
      <w:pPr>
        <w:spacing w:after="0" w:line="15" w:lineRule="exact"/>
        <w:rPr>
          <w:rFonts w:ascii="Arial" w:cs="Arial" w:eastAsia="Arial" w:hAnsi="Arial"/>
          <w:sz w:val="18"/>
          <w:szCs w:val="18"/>
          <w:color w:val="auto"/>
        </w:rPr>
      </w:pPr>
    </w:p>
    <w:p>
      <w:pPr>
        <w:ind w:left="740" w:hanging="36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Implementation of and continuously updated health and safety policies and processes;</w:t>
      </w:r>
    </w:p>
    <w:p>
      <w:pPr>
        <w:spacing w:after="0" w:line="3" w:lineRule="exact"/>
        <w:rPr>
          <w:rFonts w:ascii="Arial" w:cs="Arial" w:eastAsia="Arial" w:hAnsi="Arial"/>
          <w:sz w:val="18"/>
          <w:szCs w:val="18"/>
          <w:color w:val="auto"/>
        </w:rPr>
      </w:pPr>
    </w:p>
    <w:p>
      <w:pPr>
        <w:ind w:left="740" w:hanging="36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Establishment of remote working guidelines;</w:t>
      </w:r>
    </w:p>
    <w:p>
      <w:pPr>
        <w:spacing w:after="0" w:line="3" w:lineRule="exact"/>
        <w:rPr>
          <w:rFonts w:ascii="Arial" w:cs="Arial" w:eastAsia="Arial" w:hAnsi="Arial"/>
          <w:sz w:val="18"/>
          <w:szCs w:val="18"/>
          <w:color w:val="auto"/>
        </w:rPr>
      </w:pPr>
    </w:p>
    <w:p>
      <w:pPr>
        <w:ind w:left="740" w:hanging="367"/>
        <w:spacing w:after="0" w:line="243"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communication with customers, including planning for business resumption, implementing virtual training sessions and monitoring announcements regarding developments;</w:t>
      </w:r>
    </w:p>
    <w:p>
      <w:pPr>
        <w:spacing w:after="0" w:line="1" w:lineRule="exact"/>
        <w:rPr>
          <w:rFonts w:ascii="Arial" w:cs="Arial" w:eastAsia="Arial" w:hAnsi="Arial"/>
          <w:sz w:val="18"/>
          <w:szCs w:val="18"/>
          <w:color w:val="auto"/>
        </w:rPr>
      </w:pPr>
    </w:p>
    <w:p>
      <w:pPr>
        <w:ind w:left="740" w:hanging="367"/>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Enhanced safety guidelines and access to personal protective equipment for our clinical trainers; shift to virtual training sessions where possible;</w:t>
      </w:r>
    </w:p>
    <w:p>
      <w:pPr>
        <w:spacing w:after="0" w:line="26" w:lineRule="exact"/>
        <w:rPr>
          <w:rFonts w:ascii="Arial" w:cs="Arial" w:eastAsia="Arial" w:hAnsi="Arial"/>
          <w:sz w:val="16"/>
          <w:szCs w:val="16"/>
          <w:color w:val="auto"/>
        </w:rPr>
      </w:pPr>
    </w:p>
    <w:p>
      <w:pPr>
        <w:ind w:left="740" w:hanging="36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Thorough cleaning and decontamination procedures throughout our global manufacturing, warehouse and office facilities; and</w:t>
      </w:r>
    </w:p>
    <w:p>
      <w:pPr>
        <w:spacing w:after="0" w:line="3" w:lineRule="exact"/>
        <w:rPr>
          <w:rFonts w:ascii="Arial" w:cs="Arial" w:eastAsia="Arial" w:hAnsi="Arial"/>
          <w:sz w:val="18"/>
          <w:szCs w:val="18"/>
          <w:color w:val="auto"/>
        </w:rPr>
      </w:pPr>
    </w:p>
    <w:p>
      <w:pPr>
        <w:ind w:left="740" w:hanging="36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Establishment of phased roll-out of vaccine mandates for Venus Concept offices and safe return to work policies.</w:t>
      </w:r>
    </w:p>
    <w:p>
      <w:pPr>
        <w:spacing w:after="0" w:line="202"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We are also monitoring recent rulemaking by the Department of Labor’s Occupational Safety and Health Administration (“OSHA”). On November 4, 2021, OSHA issued an emergency temporary standard requiring all employers with at least 100 employees to ensure their employees are fully vaccinated or require weekly testing for unvaccinated employees by January 4, 2022. We believe that the regulations apply to us but the exact impact the new regulations could have on us is uncertain at this time. However, it could result in employee attrition, difficulty fulfilling future labor needs, and additional costs related to compliance.</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Supply chain. </w:t>
      </w:r>
      <w:r>
        <w:rPr>
          <w:rFonts w:ascii="Arial" w:cs="Arial" w:eastAsia="Arial" w:hAnsi="Arial"/>
          <w:sz w:val="16"/>
          <w:szCs w:val="16"/>
          <w:color w:val="auto"/>
        </w:rPr>
        <w:t>In the latter half of the three months ended September 30, 2021, we were impacted by the global supply disruptions related to COVID-19,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resulted in our inability to fulfil demand for certain of our products. The value of such purchase order backlog in the third quarter of 2021 was $2.4 million, of which we have fulfilled $1.4 million in the first half of the fourth quarter of 2021. We continue to actively work with our suppliers and third-party manufacturers to mitigate supply issues and intend to fulfil the remaining third quarter purchase order backlog in the fourth quarter of 2021 and the first quarter of 2022. We anticipate supply chain disruptions continuing in the fourth quarter of fiscal year 2021, including longer production lead times and shortages of certain materials or components that may impact our ability to manufacture the number of systems required to meet customer demand.</w:t>
      </w:r>
    </w:p>
    <w:p>
      <w:pPr>
        <w:spacing w:after="0" w:line="16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Sales markets. </w:t>
      </w:r>
      <w:r>
        <w:rPr>
          <w:rFonts w:ascii="Arial" w:cs="Arial" w:eastAsia="Arial" w:hAnsi="Arial"/>
          <w:sz w:val="16"/>
          <w:szCs w:val="16"/>
          <w:color w:val="auto"/>
        </w:rPr>
        <w:t>We are a global business, having established a commercial presence in more than 60 countries during our history. The economic recovery in</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countries in the first nine months of 2021 progressed well in most countries that we operate in, and is largely dependent on the success of each country in controlling the spread and impact of COVID-19, as well as the success of each country’s access to and implementation of a COVID-19 vaccination program. Overall, our results for the first nine months of 2021 were better than we anticipated in Europe, Asia Pacific and North America where vaccination programs were successful in containing the spread of COVID-19, enabling local jurisdictions to ease restrictions on our customer base. While we expect this momentum to continue for the balance of the 2021 year, the COVID-19 outbreak continues to be fluid, and the extent to which the pandemic will continue to impact our business remains largely uncertain and could continue to be significant for the foreseeable future.</w:t>
      </w:r>
    </w:p>
    <w:p>
      <w:pPr>
        <w:spacing w:after="0" w:line="16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Accounts receivable collections. </w:t>
      </w:r>
      <w:r>
        <w:rPr>
          <w:rFonts w:ascii="Arial" w:cs="Arial" w:eastAsia="Arial" w:hAnsi="Arial"/>
          <w:sz w:val="16"/>
          <w:szCs w:val="16"/>
          <w:color w:val="auto"/>
        </w:rPr>
        <w:t>As a result of the global economic turmoil that has resulted from COVID-19, many of our customers experienced difficulty in</w:t>
      </w:r>
      <w:r>
        <w:rPr>
          <w:rFonts w:ascii="Arial" w:cs="Arial" w:eastAsia="Arial" w:hAnsi="Arial"/>
          <w:sz w:val="16"/>
          <w:szCs w:val="16"/>
          <w:b w:val="1"/>
          <w:bCs w:val="1"/>
          <w:color w:val="auto"/>
        </w:rPr>
        <w:t xml:space="preserve"> </w:t>
      </w:r>
      <w:r>
        <w:rPr>
          <w:rFonts w:ascii="Arial" w:cs="Arial" w:eastAsia="Arial" w:hAnsi="Arial"/>
          <w:sz w:val="16"/>
          <w:szCs w:val="16"/>
          <w:color w:val="auto"/>
        </w:rPr>
        <w:t>making timely payments or payments at all during the pandemic under their subscription agreements. In 2020, and to a lesser extent in 2021, we entered into repayment arrangements with the majority of non-paying customers, and as government lockdowns and shelter in place orders were lifted, we experienced a significant improvement in collections as businesses reopened. We remain fully focused on reactivating collections with those at-risk accounts that have struggled through the pandemic but show signs of viability. As of September 30, 2021, our allowance for doubtful accounts stands at $11.5 million, which represents 13.9% of the gross outstanding accounts receivable as of that date. This represents a decrease of $0.8 million from our June 30, 2021 allowance for doubtful accounts balance of $12.3 million.</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With the recent regulatory approvals and successful rollout of COVID-19 vaccines, combined with a relaxation of government restrictions in certain markets we operate in, our collection experience continues to improve, with collections in our largest subscription markets averaging 87% of our billings in January 2021, 92% in February 2021, 98% in March 2021, 92% in April 2021, 95% in May 2021, 93% in June 2021, 92% in July 2021, 100% in August 2021 and 97% in September 2021. As a result of the improved collections experience, we recorded a recovery of bad debt expense of $3.2 million in the second quarter of 2021. This recovery directly relates to a reactivation of customers that we previously provided a bad debt allowance for. We will continue our proactive approach to collections of our accounts receivable and will revisit our allowance for doubtful accounts during the next quarter.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32" w:name="page33"/>
    <w:bookmarkEnd w:id="32"/>
    <w:p>
      <w:pPr>
        <w:ind w:right="300"/>
        <w:spacing w:after="0" w:line="268" w:lineRule="auto"/>
        <w:rPr>
          <w:sz w:val="20"/>
          <w:szCs w:val="20"/>
          <w:color w:val="auto"/>
        </w:rPr>
      </w:pPr>
      <w:r>
        <w:rPr>
          <w:rFonts w:ascii="Arial" w:cs="Arial" w:eastAsia="Arial" w:hAnsi="Arial"/>
          <w:sz w:val="18"/>
          <w:szCs w:val="18"/>
          <w:b w:val="1"/>
          <w:bCs w:val="1"/>
          <w:color w:val="auto"/>
        </w:rPr>
        <w:t xml:space="preserve">Mitigation efforts. </w:t>
      </w:r>
      <w:r>
        <w:rPr>
          <w:rFonts w:ascii="Arial" w:cs="Arial" w:eastAsia="Arial" w:hAnsi="Arial"/>
          <w:sz w:val="18"/>
          <w:szCs w:val="18"/>
          <w:color w:val="auto"/>
        </w:rPr>
        <w:t>We are focused on continuing to mitigate the impacts of the COVID-19 pandemic on our business to the extent possible. Our mitigation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include the following:</w:t>
      </w:r>
    </w:p>
    <w:p>
      <w:pPr>
        <w:spacing w:after="0" w:line="175" w:lineRule="exact"/>
        <w:rPr>
          <w:sz w:val="20"/>
          <w:szCs w:val="20"/>
          <w:color w:val="auto"/>
        </w:rPr>
      </w:pPr>
    </w:p>
    <w:p>
      <w:pPr>
        <w:jc w:val="both"/>
        <w:ind w:left="760" w:hanging="387"/>
        <w:spacing w:after="0" w:line="302" w:lineRule="auto"/>
        <w:tabs>
          <w:tab w:leader="none" w:pos="7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Accounts Receivables Collections Initiatives. </w:t>
      </w:r>
      <w:r>
        <w:rPr>
          <w:rFonts w:ascii="Arial" w:cs="Arial" w:eastAsia="Arial" w:hAnsi="Arial"/>
          <w:sz w:val="15"/>
          <w:szCs w:val="15"/>
          <w:color w:val="auto"/>
        </w:rPr>
        <w:t>We have made repayment arrangements with the majority of our non-paying subscription customers to</w:t>
      </w:r>
      <w:r>
        <w:rPr>
          <w:rFonts w:ascii="Arial" w:cs="Arial" w:eastAsia="Arial" w:hAnsi="Arial"/>
          <w:sz w:val="15"/>
          <w:szCs w:val="15"/>
          <w:i w:val="1"/>
          <w:iCs w:val="1"/>
          <w:color w:val="auto"/>
        </w:rPr>
        <w:t xml:space="preserve"> </w:t>
      </w:r>
      <w:r>
        <w:rPr>
          <w:rFonts w:ascii="Arial" w:cs="Arial" w:eastAsia="Arial" w:hAnsi="Arial"/>
          <w:sz w:val="15"/>
          <w:szCs w:val="15"/>
          <w:color w:val="auto"/>
        </w:rPr>
        <w:t>collect temporarily reduced monthly payments where possible and/or deferred amounts in expectation of full collection as business activities continue to resume. We modified our payment arrangements with these subscription customers such that past due amounts are scheduled to be repaid over a three to six month period. We made further adjustments with the emergence of the second and third COVID-19 waves, where payment arrangements from the first or second waves were not fully honored, but we continue to work with these customers to formulate revised payment plans. Based on our interactions and arrangements in place thus far with our subscription customers, the majority have recommenced payments in those jurisdictions where business has resumed. While the repayment arrangements and improvements in collections activities made thus far have resulted in our cash collections rate averaging at or close to pre-COVID-19 levels, we may not be successful in collecting all outstanding amounts.</w:t>
      </w:r>
    </w:p>
    <w:p>
      <w:pPr>
        <w:spacing w:after="0" w:line="156" w:lineRule="exact"/>
        <w:rPr>
          <w:rFonts w:ascii="Arial" w:cs="Arial" w:eastAsia="Arial" w:hAnsi="Arial"/>
          <w:sz w:val="15"/>
          <w:szCs w:val="15"/>
          <w:color w:val="auto"/>
        </w:rPr>
      </w:pPr>
    </w:p>
    <w:p>
      <w:pPr>
        <w:jc w:val="both"/>
        <w:ind w:left="760" w:hanging="387"/>
        <w:spacing w:after="0" w:line="286"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Government Assistance Programs. </w:t>
      </w:r>
      <w:r>
        <w:rPr>
          <w:rFonts w:ascii="Arial" w:cs="Arial" w:eastAsia="Arial" w:hAnsi="Arial"/>
          <w:sz w:val="16"/>
          <w:szCs w:val="16"/>
          <w:color w:val="auto"/>
        </w:rPr>
        <w:t>In 2020, certain of our subsidiaries applied for government assistance programs and received loans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subsidies in the aggregate of $5.3 million, including $4.1 million in PPP Loans under the PPP. The terms of these government assistance programs vary by jurisdiction. See Note 12 “</w:t>
      </w:r>
      <w:r>
        <w:rPr>
          <w:rFonts w:ascii="Arial" w:cs="Arial" w:eastAsia="Arial" w:hAnsi="Arial"/>
          <w:sz w:val="16"/>
          <w:szCs w:val="16"/>
          <w:i w:val="1"/>
          <w:iCs w:val="1"/>
          <w:color w:val="auto"/>
        </w:rPr>
        <w:t>Government Assistance Programs</w:t>
      </w:r>
      <w:r>
        <w:rPr>
          <w:rFonts w:ascii="Arial" w:cs="Arial" w:eastAsia="Arial" w:hAnsi="Arial"/>
          <w:sz w:val="16"/>
          <w:szCs w:val="16"/>
          <w:color w:val="auto"/>
        </w:rPr>
        <w:t>” in the notes to our unaudited condensed consolidated financial statements included elsewhere in this report. In 2021, we applied for partial forgiveness of the PPP Loans with the SBA and received partial forgiveness in the total amount of $2.8 million of original PPP Loans as of September 30, 2021.</w:t>
      </w:r>
    </w:p>
    <w:p>
      <w:pPr>
        <w:spacing w:after="0" w:line="165" w:lineRule="exact"/>
        <w:rPr>
          <w:rFonts w:ascii="Arial" w:cs="Arial" w:eastAsia="Arial" w:hAnsi="Arial"/>
          <w:sz w:val="16"/>
          <w:szCs w:val="16"/>
          <w:color w:val="auto"/>
        </w:rPr>
      </w:pPr>
    </w:p>
    <w:p>
      <w:pPr>
        <w:jc w:val="both"/>
        <w:ind w:left="760" w:hanging="387"/>
        <w:spacing w:after="0" w:line="286"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December 2020 Public Offering Warrants Exercise. </w:t>
      </w:r>
      <w:r>
        <w:rPr>
          <w:rFonts w:ascii="Arial" w:cs="Arial" w:eastAsia="Arial" w:hAnsi="Arial"/>
          <w:sz w:val="16"/>
          <w:szCs w:val="16"/>
          <w:color w:val="auto"/>
        </w:rPr>
        <w:t>On December 24, 2020, we sold in a public offering 11,250,000 shares of common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to purchase up to 5,625,000 shares of common stock at a combined offering price to the public of $2.00 per share and accompanying warrants. Total net proceeds generated by the December 2020 Public Offering was $20.5 million. In February 2021, a small number of our investors exercised an aggregate of 361,200 December 2020 Public Offering Warrants at the exercise price of $2.50 per share. We received total proceeds from the December 2020 Public Offering Warrants exercises of $0.9 million.</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extent to which the COVID-19 pandemic may continue to impact our business, operating results, financial condition, and liquidity in the future will depend on future developments, which we cannot predict with reasonable accuracy, including the duration and severity of the pandemic, travel restrictions, business and workforce disruptions, the impact of COVID-19 variants and the effectiveness of actions taken to contain and treat the disease in each of the markets in which we operate. While our business has clearly improved and we expect this momentum to continue through the fourth quarter of 2021, the situation surrounding COVID-19, and in particular, the COVID-19 variants, remains fluid, and the potential for additional negative impacts on our results of operations, financial condition and liquidity increases the longer the pandemic impacts activity levels in the countries in which we operate.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generate revenue from (1) sales of systems through our subscription model, traditional system sales to customers and distributors, (2) other product revenues from the sale of marketing supplies and kits, consumables and (3) service revenue from the sale of our VeroGrafters technician services, and our extended warranty service contracts provided to existing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System Revenue</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For the three and nine months ended September 30, 2021, approximately 61% and 56%, respectively, of our system revenues were derived from our subscription model. For the three and nine months ended September 30, 2020, approximately 56% and 57%, respectively, of our system revenues were derived from our subscription model. Our subscription model is designed to provide a low barrier to ownership of our systems and includes an up-front fee followed by monthly payments, typically over a 36-month period. The up-front fee serves as a down payment. The significantly reduced up-front financial commitment, coupled with less onerous credit and disclosure requirements, is intended to make our subscription-based sales program more appealing and affordable to customers, including non-traditional providers of aesthetic services such as family practice physicians, general practice physicians, and operators of medical aesthetic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33" w:name="page34"/>
    <w:bookmarkEnd w:id="33"/>
    <w:p>
      <w:pPr>
        <w:jc w:val="both"/>
        <w:spacing w:after="0" w:line="284" w:lineRule="auto"/>
        <w:rPr>
          <w:sz w:val="20"/>
          <w:szCs w:val="20"/>
          <w:color w:val="auto"/>
        </w:rPr>
      </w:pPr>
      <w:r>
        <w:rPr>
          <w:rFonts w:ascii="Arial" w:cs="Arial" w:eastAsia="Arial" w:hAnsi="Arial"/>
          <w:sz w:val="16"/>
          <w:szCs w:val="16"/>
          <w:color w:val="auto"/>
        </w:rPr>
        <w:t>For the three and nine months ended September 30, 2021, approximately 29% and 36%, respectively, of our system revenues were derived from traditional sales. For the three and nine months ended September 30, 2020, approximately 37% and 37%, respectively, of our system revenues were derived from traditional sales. Customers generally demand higher discounts in connection with these types of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grant rights of return or early termination rights to our customers under either our traditional sales or subscription models. These traditional sales are generally made through our sales team in the countries in which the team operates.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and nine months ended September 30, 2021, approximately 10% and 8%, respectively, of our system revenues were derived from distributor sales. For the three and nine months ended September 30, 2020, approximately 7% and 6%,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Procedure Based Revenue</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Product Revenue</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also generate revenue from our customer base by selling Glide (a cooling/conductive gel which is required for use with many of our systems), marketing supplies and kits, various consumables and disposables, replacement applicators and handpieces, and ARTAS system training.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 Revenue</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generate ancillary revenue from our existing customers by selling additional services including VeroGrafters technician services for hair restoration using our NeoGraft and ARTAS systems and extended warranty service contracts.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currently sell our products and services using direct sales representatives in North America and in select international markets.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costs primarily consist of salaries, commissions, benefits, incentive compensation and stock-based compensation. Costs also include expenses for travel and other promotional and sales-related activities.</w:t>
      </w:r>
    </w:p>
    <w:p>
      <w:pPr>
        <w:spacing w:after="0" w:line="18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selling and marketing expenses to continue to increase, but at a rate slightly below our rate of revenue growth.</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4" w:name="page35"/>
    <w:bookmarkEnd w:id="34"/>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Our general and administrative costs primarily consist of expenses associated with our executive, accounting and finance,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human resource departments and intellectual property portfolio. These expenses 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w:t>
      </w:r>
    </w:p>
    <w:p>
      <w:pPr>
        <w:spacing w:after="0" w:line="162"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Our research and development costs primarily consist of personnel-related costs (primarily salaries, benefits, incentive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and stock-based compensation), material costs, amortization of intangible assets, regulatory affairs,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expense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3.08% for the MSLP Loan and 8.0% for the Notes as of September 30, 2021 and 3.14% for the MSLP Loan and 8.0% for the Notes as of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Foreign currency exchange (gain) loss changes reflect foreign exchange gains or losses related to the change in value of assets and liabilities denominated in currencies other than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agreements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recognized based on the actual taxable loss incurred during the three and nine months ended September 30,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set forth our consolidated results of operations in U.S. dollars and as a percentage of revenues for the periods indicated:</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558"/>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jc w:val="right"/>
              <w:ind w:right="662"/>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7"/>
        </w:trPr>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358"/>
              <w:spacing w:after="0"/>
              <w:rPr>
                <w:sz w:val="20"/>
                <w:szCs w:val="20"/>
                <w:color w:val="auto"/>
              </w:rPr>
            </w:pPr>
            <w:r>
              <w:rPr>
                <w:rFonts w:ascii="Arial" w:cs="Arial" w:eastAsia="Arial" w:hAnsi="Arial"/>
                <w:sz w:val="14"/>
                <w:szCs w:val="14"/>
                <w:b w:val="1"/>
                <w:bCs w:val="1"/>
                <w:color w:val="auto"/>
                <w:w w:val="92"/>
              </w:rPr>
              <w:t>Ended 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ind w:left="1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1"/>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Profit (Loss):</w:t>
            </w:r>
          </w:p>
        </w:tc>
        <w:tc>
          <w:tcPr>
            <w:tcW w:w="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1"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3"/>
              <w:spacing w:after="0" w:line="151"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80"/>
              <w:spacing w:after="0" w:line="151"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3"/>
              <w:spacing w:after="0" w:line="151"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5"/>
          </w:tcPr>
          <w:p>
            <w:pPr>
              <w:jc w:val="right"/>
              <w:ind w:right="153"/>
              <w:spacing w:after="0" w:line="151" w:lineRule="exact"/>
              <w:rPr>
                <w:sz w:val="20"/>
                <w:szCs w:val="20"/>
                <w:color w:val="auto"/>
              </w:rPr>
            </w:pPr>
            <w:r>
              <w:rPr>
                <w:rFonts w:ascii="Arial" w:cs="Arial" w:eastAsia="Arial" w:hAnsi="Arial"/>
                <w:sz w:val="14"/>
                <w:szCs w:val="14"/>
                <w:b w:val="1"/>
                <w:bCs w:val="1"/>
                <w:i w:val="1"/>
                <w:iCs w:val="1"/>
                <w:color w:val="auto"/>
                <w:w w:val="90"/>
              </w:rPr>
              <w:t>(dollars in thousands)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5"/>
          </w:tcPr>
          <w:p>
            <w:pPr>
              <w:ind w:left="100"/>
              <w:spacing w:after="0" w:line="151" w:lineRule="exact"/>
              <w:rPr>
                <w:sz w:val="20"/>
                <w:szCs w:val="20"/>
                <w:color w:val="auto"/>
              </w:rPr>
            </w:pPr>
            <w:r>
              <w:rPr>
                <w:rFonts w:ascii="Arial" w:cs="Arial" w:eastAsia="Arial" w:hAnsi="Arial"/>
                <w:sz w:val="14"/>
                <w:szCs w:val="14"/>
                <w:b w:val="1"/>
                <w:bCs w:val="1"/>
                <w:i w:val="1"/>
                <w:iCs w:val="1"/>
                <w:color w:val="auto"/>
              </w:rPr>
              <w:t>(dollars in thousands)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Leases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12,634</w:t>
            </w:r>
          </w:p>
        </w:tc>
        <w:tc>
          <w:tcPr>
            <w:tcW w:w="180" w:type="dxa"/>
            <w:vAlign w:val="bottom"/>
          </w:tcPr>
          <w:p>
            <w:pPr>
              <w:spacing w:after="0"/>
              <w:rPr>
                <w:sz w:val="19"/>
                <w:szCs w:val="19"/>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9,431</w:t>
            </w: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33,958</w:t>
            </w:r>
          </w:p>
        </w:tc>
        <w:tc>
          <w:tcPr>
            <w:tcW w:w="180" w:type="dxa"/>
            <w:vAlign w:val="bottom"/>
          </w:tcPr>
          <w:p>
            <w:pPr>
              <w:spacing w:after="0"/>
              <w:rPr>
                <w:sz w:val="19"/>
                <w:szCs w:val="19"/>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23,709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Products and services</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11,249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24,563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20,680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72,988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52,184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21,731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17,306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13,503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51,257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Selling and marketing</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8,775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26,743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11,291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40,057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6,005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 impairment</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w w:val="96"/>
              </w:rPr>
              <w:t>Gain on forgiveness of government assistance loans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8"/>
                <w:szCs w:val="18"/>
                <w:color w:val="auto"/>
              </w:rPr>
              <w:t>(2,775)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18,797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61,956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92,363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(5,389)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58"/>
              <w:spacing w:after="0"/>
              <w:rPr>
                <w:sz w:val="20"/>
                <w:szCs w:val="20"/>
                <w:color w:val="auto"/>
              </w:rPr>
            </w:pPr>
            <w:r>
              <w:rPr>
                <w:rFonts w:ascii="Arial" w:cs="Arial" w:eastAsia="Arial" w:hAnsi="Arial"/>
                <w:sz w:val="18"/>
                <w:szCs w:val="18"/>
                <w:color w:val="auto"/>
              </w:rPr>
              <w:t>(5,294)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8"/>
                <w:szCs w:val="18"/>
                <w:color w:val="auto"/>
                <w:w w:val="95"/>
              </w:rPr>
              <w:t>(10,699)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8"/>
                <w:szCs w:val="18"/>
                <w:color w:val="auto"/>
                <w:w w:val="95"/>
              </w:rPr>
              <w:t>(57,683)</w:t>
            </w: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Foreign exchange loss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expenses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Loss on disposal of subsidiaries</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(8,222)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(8,287)</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w w:val="95"/>
              </w:rPr>
              <w:t>(17,422)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w w:val="95"/>
              </w:rPr>
              <w:t>(68,799)</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58"/>
              <w:spacing w:after="0"/>
              <w:rPr>
                <w:sz w:val="20"/>
                <w:szCs w:val="20"/>
                <w:color w:val="auto"/>
              </w:rPr>
            </w:pPr>
            <w:r>
              <w:rPr>
                <w:rFonts w:ascii="Arial" w:cs="Arial" w:eastAsia="Arial" w:hAnsi="Arial"/>
                <w:sz w:val="18"/>
                <w:szCs w:val="18"/>
                <w:color w:val="auto"/>
              </w:rPr>
              <w:t>(966)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7"/>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(8,838</w:t>
            </w:r>
          </w:p>
        </w:tc>
        <w:tc>
          <w:tcPr>
            <w:tcW w:w="180" w:type="dxa"/>
            <w:vAlign w:val="bottom"/>
            <w:tcBorders>
              <w:top w:val="single" w:sz="8" w:color="CFF0FC"/>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(7,321</w:t>
            </w:r>
          </w:p>
        </w:tc>
        <w:tc>
          <w:tcPr>
            <w:tcW w:w="200" w:type="dxa"/>
            <w:vAlign w:val="bottom"/>
            <w:tcBorders>
              <w:top w:val="single" w:sz="8" w:color="CFF0FC"/>
              <w:bottom w:val="single" w:sz="8" w:color="CFF0FC"/>
            </w:tcBorders>
            <w:shd w:val="clear" w:color="auto" w:fill="CFF0FC"/>
          </w:tcPr>
          <w:p>
            <w:pPr>
              <w:jc w:val="right"/>
              <w:ind w:right="58"/>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(18,031</w:t>
            </w:r>
          </w:p>
        </w:tc>
        <w:tc>
          <w:tcPr>
            <w:tcW w:w="180" w:type="dxa"/>
            <w:vAlign w:val="bottom"/>
            <w:tcBorders>
              <w:top w:val="single" w:sz="8" w:color="CFF0FC"/>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(67,789</w:t>
            </w:r>
          </w:p>
        </w:tc>
        <w:tc>
          <w:tcPr>
            <w:tcW w:w="180" w:type="dxa"/>
            <w:vAlign w:val="bottom"/>
            <w:tcBorders>
              <w:top w:val="single" w:sz="8" w:color="CFF0FC"/>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Deemed dividend</w:t>
            </w: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2"/>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2"/>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2"/>
              <w:spacing w:after="0" w:line="202" w:lineRule="exact"/>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the Company</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(9,798)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(7,243)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w w:val="95"/>
              </w:rPr>
              <w:t>(18,680)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w w:val="95"/>
              </w:rPr>
              <w:t>(70,585)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w w:val="97"/>
              </w:rPr>
              <w:t>Net income (loss) attributable to noncontrolling interest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58"/>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7"/>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(8,838</w:t>
            </w:r>
          </w:p>
        </w:tc>
        <w:tc>
          <w:tcPr>
            <w:tcW w:w="180" w:type="dxa"/>
            <w:vAlign w:val="bottom"/>
            <w:tcBorders>
              <w:top w:val="single" w:sz="8" w:color="CFF0FC"/>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(7,321</w:t>
            </w:r>
          </w:p>
        </w:tc>
        <w:tc>
          <w:tcPr>
            <w:tcW w:w="200" w:type="dxa"/>
            <w:vAlign w:val="bottom"/>
            <w:tcBorders>
              <w:top w:val="single" w:sz="8" w:color="CFF0FC"/>
              <w:bottom w:val="single" w:sz="8" w:color="CFF0FC"/>
            </w:tcBorders>
            <w:shd w:val="clear" w:color="auto" w:fill="CFF0FC"/>
          </w:tcPr>
          <w:p>
            <w:pPr>
              <w:jc w:val="right"/>
              <w:ind w:right="58"/>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(18,031</w:t>
            </w:r>
          </w:p>
        </w:tc>
        <w:tc>
          <w:tcPr>
            <w:tcW w:w="180" w:type="dxa"/>
            <w:vAlign w:val="bottom"/>
            <w:tcBorders>
              <w:top w:val="single" w:sz="8" w:color="CFF0FC"/>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(67,789</w:t>
            </w:r>
          </w:p>
        </w:tc>
        <w:tc>
          <w:tcPr>
            <w:tcW w:w="180" w:type="dxa"/>
            <w:vAlign w:val="bottom"/>
            <w:tcBorders>
              <w:top w:val="single" w:sz="8" w:color="CFF0FC"/>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As a % of revenue:</w:t>
            </w: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Goodwill impairment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Gain on forgiveness of government assistance loans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(3.8)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Foreign exchange loss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Finance expenses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disposal of subsidiaries</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(40.1)</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542" w:right="1440"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The following tables set forth our revenue by region and by product type for the periods indicated:</w:t>
      </w:r>
    </w:p>
    <w:p>
      <w:pPr>
        <w:sectPr>
          <w:pgSz w:w="11900" w:h="16838" w:orient="portrait"/>
          <w:cols w:equalWidth="0" w:num="1">
            <w:col w:w="11240"/>
          </w:cols>
          <w:pgMar w:left="320" w:top="758" w:right="339" w:bottom="1440" w:gutter="0" w:footer="0" w:header="0"/>
        </w:sectPr>
      </w:pPr>
    </w:p>
    <w:p>
      <w:pPr>
        <w:spacing w:after="0" w:line="239"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Three Months</w:t>
      </w:r>
    </w:p>
    <w:p>
      <w:pPr>
        <w:jc w:val="center"/>
        <w:ind w:left="6220"/>
        <w:spacing w:after="0"/>
        <w:rPr>
          <w:sz w:val="20"/>
          <w:szCs w:val="20"/>
          <w:color w:val="auto"/>
        </w:rPr>
      </w:pPr>
      <w:r>
        <w:rPr>
          <w:rFonts w:ascii="Arial" w:cs="Arial" w:eastAsia="Arial" w:hAnsi="Arial"/>
          <w:sz w:val="12"/>
          <w:szCs w:val="12"/>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8255</wp:posOffset>
            </wp:positionV>
            <wp:extent cx="1210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9" w:lineRule="exact"/>
        <w:rPr>
          <w:sz w:val="20"/>
          <w:szCs w:val="20"/>
          <w:color w:val="auto"/>
        </w:rPr>
      </w:pPr>
    </w:p>
    <w:p>
      <w:pPr>
        <w:ind w:left="6220"/>
        <w:spacing w:after="0"/>
        <w:tabs>
          <w:tab w:leader="none" w:pos="724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10795</wp:posOffset>
            </wp:positionV>
            <wp:extent cx="1210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color w:val="auto"/>
        </w:rPr>
        <w:t>Nine Months</w:t>
      </w:r>
    </w:p>
    <w:p>
      <w:pPr>
        <w:jc w:val="center"/>
        <w:ind w:right="1860"/>
        <w:spacing w:after="0"/>
        <w:rPr>
          <w:sz w:val="20"/>
          <w:szCs w:val="20"/>
          <w:color w:val="auto"/>
        </w:rPr>
      </w:pPr>
      <w:r>
        <w:rPr>
          <w:rFonts w:ascii="Arial" w:cs="Arial" w:eastAsia="Arial" w:hAnsi="Arial"/>
          <w:sz w:val="12"/>
          <w:szCs w:val="12"/>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8255</wp:posOffset>
            </wp:positionV>
            <wp:extent cx="9347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9"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wp:posOffset>
            </wp:positionV>
            <wp:extent cx="9347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34" w:lineRule="exact"/>
        <w:rPr>
          <w:sz w:val="20"/>
          <w:szCs w:val="20"/>
          <w:color w:val="auto"/>
        </w:rPr>
      </w:pPr>
    </w:p>
    <w:p>
      <w:pPr>
        <w:sectPr>
          <w:pgSz w:w="11900" w:h="16838" w:orient="portrait"/>
          <w:cols w:equalWidth="0" w:num="2">
            <w:col w:w="7540" w:space="560"/>
            <w:col w:w="3140"/>
          </w:cols>
          <w:pgMar w:left="320" w:top="758" w:right="339" w:bottom="1440" w:gutter="0" w:footer="0" w:header="0"/>
          <w:type w:val="continuous"/>
        </w:sectPr>
      </w:pPr>
    </w:p>
    <w:tbl>
      <w:tblPr>
        <w:tblLayout w:type="fixed"/>
        <w:tblInd w:w="1700" w:type="dxa"/>
        <w:tblCellMar>
          <w:top w:w="0" w:type="dxa"/>
          <w:left w:w="0" w:type="dxa"/>
          <w:bottom w:w="0" w:type="dxa"/>
          <w:right w:w="0" w:type="dxa"/>
        </w:tblCellMar>
      </w:tblPr>
      <w:tr>
        <w:trPr>
          <w:trHeight w:val="207"/>
        </w:trPr>
        <w:tc>
          <w:tcPr>
            <w:tcW w:w="2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by region:</w:t>
            </w: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12,962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7,784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$ 37,025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22,339</w:t>
            </w:r>
          </w:p>
        </w:tc>
        <w:tc>
          <w:tcPr>
            <w:tcW w:w="60" w:type="dxa"/>
            <w:vAlign w:val="bottom"/>
          </w:tcPr>
          <w:p>
            <w:pPr>
              <w:spacing w:after="0"/>
              <w:rPr>
                <w:sz w:val="19"/>
                <w:szCs w:val="19"/>
                <w:color w:val="auto"/>
              </w:rPr>
            </w:pPr>
          </w:p>
        </w:tc>
      </w:tr>
      <w:tr>
        <w:trPr>
          <w:trHeight w:val="224"/>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11,601</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12,896</w:t>
            </w:r>
          </w:p>
        </w:tc>
        <w:tc>
          <w:tcPr>
            <w:tcW w:w="1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35,963</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29,845</w:t>
            </w:r>
          </w:p>
        </w:tc>
        <w:tc>
          <w:tcPr>
            <w:tcW w:w="60" w:type="dxa"/>
            <w:vAlign w:val="bottom"/>
            <w:shd w:val="clear" w:color="auto" w:fill="CFF0FC"/>
          </w:tcPr>
          <w:p>
            <w:pPr>
              <w:spacing w:after="0"/>
              <w:rPr>
                <w:sz w:val="19"/>
                <w:szCs w:val="19"/>
                <w:color w:val="auto"/>
              </w:rPr>
            </w:pPr>
          </w:p>
        </w:tc>
      </w:tr>
      <w:tr>
        <w:trPr>
          <w:trHeight w:val="216"/>
        </w:trPr>
        <w:tc>
          <w:tcPr>
            <w:tcW w:w="28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24,563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20,680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72,988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52,184</w:t>
            </w:r>
          </w:p>
        </w:tc>
        <w:tc>
          <w:tcPr>
            <w:tcW w:w="6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58" w:right="339" w:bottom="1440" w:gutter="0" w:footer="0" w:header="0"/>
          <w:type w:val="continuous"/>
        </w:sectPr>
      </w:pPr>
    </w:p>
    <w:p>
      <w:pPr>
        <w:jc w:val="center"/>
        <w:ind w:left="6060"/>
        <w:spacing w:after="0"/>
        <w:rPr>
          <w:sz w:val="20"/>
          <w:szCs w:val="20"/>
          <w:color w:val="auto"/>
        </w:rPr>
      </w:pPr>
      <w:r>
        <w:rPr>
          <w:rFonts w:ascii="Arial" w:cs="Arial" w:eastAsia="Arial" w:hAnsi="Arial"/>
          <w:sz w:val="14"/>
          <w:szCs w:val="14"/>
          <w:b w:val="1"/>
          <w:bCs w:val="1"/>
          <w:color w:val="auto"/>
        </w:rPr>
        <w:t>Three Months</w:t>
      </w:r>
    </w:p>
    <w:p>
      <w:pPr>
        <w:jc w:val="center"/>
        <w:ind w:left="6060"/>
        <w:spacing w:after="0"/>
        <w:rPr>
          <w:sz w:val="20"/>
          <w:szCs w:val="20"/>
          <w:color w:val="auto"/>
        </w:rPr>
      </w:pPr>
      <w:r>
        <w:rPr>
          <w:rFonts w:ascii="Arial" w:cs="Arial" w:eastAsia="Arial" w:hAnsi="Arial"/>
          <w:sz w:val="12"/>
          <w:szCs w:val="12"/>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8255</wp:posOffset>
            </wp:positionV>
            <wp:extent cx="1210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9" w:lineRule="exact"/>
        <w:rPr>
          <w:sz w:val="20"/>
          <w:szCs w:val="20"/>
          <w:color w:val="auto"/>
        </w:rPr>
      </w:pPr>
    </w:p>
    <w:p>
      <w:pPr>
        <w:ind w:left="6060"/>
        <w:spacing w:after="0"/>
        <w:tabs>
          <w:tab w:leader="none" w:pos="70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10795</wp:posOffset>
            </wp:positionV>
            <wp:extent cx="12103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13" w:lineRule="exact"/>
        <w:rPr>
          <w:sz w:val="20"/>
          <w:szCs w:val="20"/>
          <w:color w:val="auto"/>
        </w:rPr>
      </w:pPr>
    </w:p>
    <w:p>
      <w:pPr>
        <w:ind w:left="6080"/>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20" w:lineRule="exact"/>
        <w:rPr>
          <w:sz w:val="20"/>
          <w:szCs w:val="20"/>
          <w:color w:val="auto"/>
        </w:rPr>
      </w:pPr>
      <w:r>
        <w:rPr>
          <w:sz w:val="20"/>
          <w:szCs w:val="20"/>
          <w:color w:val="auto"/>
        </w:rPr>
        <w:br w:type="column"/>
      </w:r>
    </w:p>
    <w:p>
      <w:pPr>
        <w:jc w:val="center"/>
        <w:ind w:right="1940"/>
        <w:spacing w:after="0"/>
        <w:rPr>
          <w:sz w:val="20"/>
          <w:szCs w:val="20"/>
          <w:color w:val="auto"/>
        </w:rPr>
      </w:pPr>
      <w:r>
        <w:rPr>
          <w:rFonts w:ascii="Arial" w:cs="Arial" w:eastAsia="Arial" w:hAnsi="Arial"/>
          <w:sz w:val="14"/>
          <w:szCs w:val="14"/>
          <w:b w:val="1"/>
          <w:bCs w:val="1"/>
          <w:color w:val="auto"/>
        </w:rPr>
        <w:t>Nine Months</w:t>
      </w:r>
    </w:p>
    <w:p>
      <w:pPr>
        <w:jc w:val="center"/>
        <w:ind w:right="1940"/>
        <w:spacing w:after="0"/>
        <w:rPr>
          <w:sz w:val="20"/>
          <w:szCs w:val="20"/>
          <w:color w:val="auto"/>
        </w:rPr>
      </w:pPr>
      <w:r>
        <w:rPr>
          <w:rFonts w:ascii="Arial" w:cs="Arial" w:eastAsia="Arial" w:hAnsi="Arial"/>
          <w:sz w:val="12"/>
          <w:szCs w:val="12"/>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10433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9"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10433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34" w:lineRule="exact"/>
        <w:rPr>
          <w:sz w:val="20"/>
          <w:szCs w:val="20"/>
          <w:color w:val="auto"/>
        </w:rPr>
      </w:pPr>
    </w:p>
    <w:p>
      <w:pPr>
        <w:sectPr>
          <w:pgSz w:w="11900" w:h="16838" w:orient="portrait"/>
          <w:cols w:equalWidth="0" w:num="2">
            <w:col w:w="7380" w:space="640"/>
            <w:col w:w="3220"/>
          </w:cols>
          <w:pgMar w:left="320" w:top="758" w:right="339" w:bottom="1440" w:gutter="0" w:footer="0" w:header="0"/>
          <w:type w:val="continuous"/>
        </w:sectPr>
      </w:pPr>
    </w:p>
    <w:tbl>
      <w:tblPr>
        <w:tblLayout w:type="fixed"/>
        <w:tblInd w:w="1700" w:type="dxa"/>
        <w:tblCellMar>
          <w:top w:w="0" w:type="dxa"/>
          <w:left w:w="0" w:type="dxa"/>
          <w:bottom w:w="0" w:type="dxa"/>
          <w:right w:w="0" w:type="dxa"/>
        </w:tblCellMar>
      </w:tblPr>
      <w:tr>
        <w:trPr>
          <w:trHeight w:val="207"/>
        </w:trPr>
        <w:tc>
          <w:tcPr>
            <w:tcW w:w="2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by product:</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Subscription—Systems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12,634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9,431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33,958</w:t>
            </w: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2"/>
              </w:rPr>
              <w:t>$ 23,709</w:t>
            </w:r>
          </w:p>
        </w:tc>
        <w:tc>
          <w:tcPr>
            <w:tcW w:w="60" w:type="dxa"/>
            <w:vAlign w:val="bottom"/>
          </w:tcPr>
          <w:p>
            <w:pPr>
              <w:spacing w:after="0"/>
              <w:rPr>
                <w:sz w:val="19"/>
                <w:szCs w:val="19"/>
                <w:color w:val="auto"/>
              </w:rPr>
            </w:pPr>
          </w:p>
        </w:tc>
      </w:tr>
      <w:tr>
        <w:trPr>
          <w:trHeight w:val="224"/>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Products—Systems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26,526</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17,758</w:t>
            </w:r>
          </w:p>
        </w:tc>
        <w:tc>
          <w:tcPr>
            <w:tcW w:w="60" w:type="dxa"/>
            <w:vAlign w:val="bottom"/>
            <w:shd w:val="clear" w:color="auto" w:fill="CFF0FC"/>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Products—Other (1)</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9,330</w:t>
            </w: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7,136</w:t>
            </w:r>
          </w:p>
        </w:tc>
        <w:tc>
          <w:tcPr>
            <w:tcW w:w="60" w:type="dxa"/>
            <w:vAlign w:val="bottom"/>
          </w:tcPr>
          <w:p>
            <w:pPr>
              <w:spacing w:after="0"/>
              <w:rPr>
                <w:sz w:val="19"/>
                <w:szCs w:val="19"/>
                <w:color w:val="auto"/>
              </w:rPr>
            </w:pPr>
          </w:p>
        </w:tc>
      </w:tr>
      <w:tr>
        <w:trPr>
          <w:trHeight w:val="224"/>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Services (2)</w:t>
            </w:r>
          </w:p>
        </w:tc>
        <w:tc>
          <w:tcPr>
            <w:tcW w:w="1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60" w:type="dxa"/>
            <w:vAlign w:val="bottom"/>
            <w:shd w:val="clear" w:color="auto" w:fill="CFF0FC"/>
          </w:tcPr>
          <w:p>
            <w:pPr>
              <w:spacing w:after="0"/>
              <w:rPr>
                <w:sz w:val="19"/>
                <w:szCs w:val="19"/>
                <w:color w:val="auto"/>
              </w:rPr>
            </w:pPr>
          </w:p>
        </w:tc>
      </w:tr>
      <w:tr>
        <w:trPr>
          <w:trHeight w:val="216"/>
        </w:trPr>
        <w:tc>
          <w:tcPr>
            <w:tcW w:w="286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24,563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20,680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72,988</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52,184</w:t>
            </w:r>
          </w:p>
        </w:tc>
        <w:tc>
          <w:tcPr>
            <w:tcW w:w="60" w:type="dxa"/>
            <w:vAlign w:val="bottom"/>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5"/>
        <w:spacing w:after="0"/>
        <w:tabs>
          <w:tab w:leader="none" w:pos="50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Products-Other include ARTAS procedure kits and other consumables.</w:t>
      </w:r>
    </w:p>
    <w:p>
      <w:pPr>
        <w:spacing w:after="0" w:line="15" w:lineRule="exact"/>
        <w:rPr>
          <w:rFonts w:ascii="Arial" w:cs="Arial" w:eastAsia="Arial" w:hAnsi="Arial"/>
          <w:sz w:val="18"/>
          <w:szCs w:val="18"/>
          <w:color w:val="231F20"/>
        </w:rPr>
      </w:pPr>
    </w:p>
    <w:p>
      <w:pPr>
        <w:ind w:left="500" w:hanging="495"/>
        <w:spacing w:after="0"/>
        <w:tabs>
          <w:tab w:leader="none" w:pos="50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 xml:space="preserve">Services include </w:t>
      </w:r>
      <w:r>
        <w:rPr>
          <w:rFonts w:ascii="Arial" w:cs="Arial" w:eastAsia="Arial" w:hAnsi="Arial"/>
          <w:sz w:val="18"/>
          <w:szCs w:val="18"/>
          <w:color w:val="000000"/>
        </w:rPr>
        <w:t>VeroGrafters</w:t>
      </w:r>
      <w:r>
        <w:rPr>
          <w:rFonts w:ascii="Arial" w:cs="Arial" w:eastAsia="Arial" w:hAnsi="Arial"/>
          <w:sz w:val="18"/>
          <w:szCs w:val="18"/>
          <w:color w:val="231F20"/>
        </w:rPr>
        <w:t xml:space="preserve"> technician services and extended warranty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Comparison of the three months ended September 30, 2021 and 2020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0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2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80" w:type="dxa"/>
            <w:vAlign w:val="bottom"/>
            <w:tcBorders>
              <w:bottom w:val="single" w:sz="8" w:color="auto"/>
            </w:tcBorders>
            <w:gridSpan w:val="7"/>
          </w:tcPr>
          <w:p>
            <w:pPr>
              <w:jc w:val="right"/>
              <w:ind w:right="332"/>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600" w:type="dxa"/>
            <w:vAlign w:val="bottom"/>
          </w:tcPr>
          <w:p>
            <w:pPr>
              <w:spacing w:after="0"/>
              <w:rPr>
                <w:sz w:val="13"/>
                <w:szCs w:val="13"/>
                <w:color w:val="auto"/>
              </w:rPr>
            </w:pPr>
          </w:p>
        </w:tc>
        <w:tc>
          <w:tcPr>
            <w:tcW w:w="1420" w:type="dxa"/>
            <w:vAlign w:val="bottom"/>
            <w:gridSpan w:val="3"/>
          </w:tcPr>
          <w:p>
            <w:pPr>
              <w:jc w:val="right"/>
              <w:ind w:right="492"/>
              <w:spacing w:after="0" w:line="151" w:lineRule="exact"/>
              <w:rPr>
                <w:sz w:val="20"/>
                <w:szCs w:val="20"/>
                <w:color w:val="auto"/>
              </w:rPr>
            </w:pPr>
            <w:r>
              <w:rPr>
                <w:rFonts w:ascii="Arial" w:cs="Arial" w:eastAsia="Arial" w:hAnsi="Arial"/>
                <w:sz w:val="14"/>
                <w:szCs w:val="14"/>
                <w:b w:val="1"/>
                <w:bCs w:val="1"/>
                <w:color w:val="auto"/>
              </w:rPr>
              <w:t>2021</w:t>
            </w:r>
          </w:p>
        </w:tc>
        <w:tc>
          <w:tcPr>
            <w:tcW w:w="1560" w:type="dxa"/>
            <w:vAlign w:val="bottom"/>
            <w:gridSpan w:val="4"/>
          </w:tcPr>
          <w:p>
            <w:pPr>
              <w:jc w:val="right"/>
              <w:ind w:right="492"/>
              <w:spacing w:after="0" w:line="151"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Borders>
              <w:top w:val="single" w:sz="8" w:color="auto"/>
            </w:tcBorders>
          </w:tcPr>
          <w:p>
            <w:pPr>
              <w:jc w:val="right"/>
              <w:ind w:right="226"/>
              <w:spacing w:after="0" w:line="151"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 of Total</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ind w:right="221"/>
              <w:spacing w:after="0" w:line="151"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 of Total</w:t>
            </w: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217"/>
              <w:spacing w:after="0" w:line="151"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55"/>
              <w:spacing w:after="0" w:line="151"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120"/>
              <w:spacing w:after="0"/>
              <w:rPr>
                <w:sz w:val="20"/>
                <w:szCs w:val="20"/>
                <w:color w:val="auto"/>
              </w:rPr>
            </w:pPr>
            <w:r>
              <w:rPr>
                <w:rFonts w:ascii="Arial" w:cs="Arial" w:eastAsia="Arial" w:hAnsi="Arial"/>
                <w:sz w:val="18"/>
                <w:szCs w:val="18"/>
                <w:color w:val="auto"/>
              </w:rPr>
              <w:t>Subscription—Systems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$ 12,634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9,431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Products—Systems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8,022</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120"/>
              <w:spacing w:after="0"/>
              <w:rPr>
                <w:sz w:val="20"/>
                <w:szCs w:val="20"/>
                <w:color w:val="auto"/>
              </w:rPr>
            </w:pPr>
            <w:r>
              <w:rPr>
                <w:rFonts w:ascii="Arial" w:cs="Arial" w:eastAsia="Arial" w:hAnsi="Arial"/>
                <w:sz w:val="18"/>
                <w:szCs w:val="18"/>
                <w:color w:val="auto"/>
              </w:rPr>
              <w:t>Products—Other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2,961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2,631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Services</w:t>
            </w: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$ 24,563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$ 20,680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Total revenue increased by $3.9 million, or 18.8%, to $24.6 million for the three months ended September 30, 2021 from $20.7 million for the three months ended September 30, 2020. The increase in revenue was a result of increased revenue in the United States of $5.2 million partially offset by decreased revenue in international markets of $1.3 million. The increase in revenue in the United States was driven by continued focus and sales investment in the United States given the reduced lockdown measures. Decrease in revenue in the international markets is explained by global supply chain challenges as we were unable to fulfill a combined $2.4 million of purchase orders in Asia Pacific, EMEA and Latin America. We intend to fulfil the purchase order backlog in the fourth quarter of fiscal year 2021, and the first quarter of fiscal 2022.</w:t>
      </w:r>
    </w:p>
    <w:p>
      <w:pPr>
        <w:spacing w:after="0" w:line="166"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We sold an aggregate of 383 systems in the three months ended September 30, 2021 compared to 333 systems in the three months ended September 30, 2020. The percentage of systems revenue derived from our subscription model was approximately 61% in the three months ended September 30, 2021 compared to 56% in the three months ended September 30, 2020. The percentage increase is attributable to a strong performance of our Bliss system sales in the quarter.</w:t>
      </w:r>
    </w:p>
    <w:p>
      <w:pPr>
        <w:spacing w:after="0" w:line="13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Other product revenue increased by $0.3 million, or 12.5%, to $2.9 million in the three months ended September 30, 2021 compared to $2.6 million in the three months ended September 30, 2020. The increase was driven by stronger performance on ARTAS kits, Venus Viva tips and other consumables.</w:t>
      </w:r>
    </w:p>
    <w:p>
      <w:pPr>
        <w:spacing w:after="0" w:line="13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Services revenue decreased by $0.2 million, or 15.2%, to $0.9 million in the three months ended September 30, 2021, compared to $1.1 million in the three months ended September 30, 2020. The decrease was driven by lower warranty sales and lower revenues generated by our VeroGrafters technician services.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Cost of Goods Sold and Gross Profit</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Cost of goods sold increased by $0.1 million, or 1.1%, to $7.3 million in the three months ended September 30, 2021, compared to $7.2 million in the three months ended September 30, 2020. Gross profit increased by $3.8 million, or 28.2%, to $17.3 million in the three months ended September 30, 2021, compared to $13.5 million in the three months ended September 30, 2020. The increase in gross profit is primarily due to an increase in revenue in the United States driven by our continued focus in this lucrative market. Gross margin was 70.5% of revenue in the three months ended September 30, 2021, compared to 65.3% of revenue in the three months ended September 30, 2020. The increase in gross profit percentage is primarily driven by higher sales of consumables, improved revenue mix of system sales sold under our subscription program primarily tracing to sales of the Venus Bliss.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30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jc w:val="right"/>
              <w:ind w:right="478"/>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20"/>
              <w:spacing w:after="0" w:line="151"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20"/>
              <w:spacing w:after="0" w:line="151"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360"/>
              <w:spacing w:after="0" w:line="151" w:lineRule="exact"/>
              <w:rPr>
                <w:sz w:val="20"/>
                <w:szCs w:val="20"/>
                <w:color w:val="auto"/>
              </w:rPr>
            </w:pPr>
            <w:r>
              <w:rPr>
                <w:rFonts w:ascii="Arial" w:cs="Arial" w:eastAsia="Arial" w:hAnsi="Arial"/>
                <w:sz w:val="14"/>
                <w:szCs w:val="14"/>
                <w:b w:val="1"/>
                <w:bCs w:val="1"/>
                <w:color w:val="auto"/>
                <w:w w:val="97"/>
              </w:rPr>
              <w:t>Change</w:t>
            </w: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ind w:right="118"/>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1"/>
              </w:rPr>
              <w:t>Revenues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1"/>
              </w:rPr>
              <w:t>Revenues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8,775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5,657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11,990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11,291</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operating expenses</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22,695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18,797</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expenses increased by $3.1 million or 55.1% in the three months ended September 30,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2020. This increase is largely due to our increased focus in the United States, and reinvestment in key markets that benefited from the global economic recovery enabled by reduced lockdown measures improving our ability to sell into these channels. As a percentage of total revenues, our selling and marketing expenses increased by 8.3%, from 27.4% in the three months ended September 30, 2020 to 35.7% in the three months ended September 30, 2021. As the business environment improves, we expect selling and marketing expenses to continue to increase in absolute terms, but at a rate slightly below our rate of revenue growth.</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increased by $0.7 million or 6.2% in the three months ended September 30, 2021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months ended September 30, 2020, primarily due to reinvestment in key markets that benefited from the global economic recovery. As a percentage of total revenues, our general and administrative expenses decreased by 5.8%, from 54.6% in the three months ended September 30, 2020, to 48.8% in the three months ended September 30, 2021, primarily due to an improvement in revenues.</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expenses increased by $0.1 million or 4.4% in the three months ended September 30, 2021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30, 2020. The increase is due to a reinvestment in research and development efforts directed at scaling our robotic technology across other aesthetic platforms. As a percentage of total revenues, our research and development expenses decreased by 1.0%, from 8.9% in the three months ended September 30, 2020, to 7.9% in the three months ended September 30, 2021.</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Foreign exchange loss. </w:t>
      </w:r>
      <w:r>
        <w:rPr>
          <w:rFonts w:ascii="Arial" w:cs="Arial" w:eastAsia="Arial" w:hAnsi="Arial"/>
          <w:sz w:val="16"/>
          <w:szCs w:val="16"/>
          <w:color w:val="auto"/>
        </w:rPr>
        <w:t>We had a foreign exchange loss of $1.6 million in the three months ended September 30, 2021 and foreign exchange loss of $1.1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three months ended September 30, 2020. It increased by $0.5 million or 50.1% in the three months ended September 30, 2021 compared to the three months ended September 30, 2020. Changes in foreign exchange are driven mainly by the effect of foreign exchange on accounts receivable balances denominated in currencies other than the US dollar. We do not currently hedge against foreign currency risk.</w:t>
      </w:r>
    </w:p>
    <w:p>
      <w:pPr>
        <w:spacing w:after="0" w:line="16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Finance Expenses</w:t>
      </w:r>
      <w:r>
        <w:rPr>
          <w:rFonts w:ascii="Arial" w:cs="Arial" w:eastAsia="Arial" w:hAnsi="Arial"/>
          <w:sz w:val="16"/>
          <w:szCs w:val="16"/>
          <w:color w:val="auto"/>
        </w:rPr>
        <w:t>. Finance expenses decreased by $0.9 million or 47.3%, from $1.9 million in the three months ended September 30, 2020, compared to $1.0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in the three months ended September 30, 2021, mostly due to a lower average interest rate resulting from refinancing of our long-term debt partially offset by a higher long-term debt balance and increased amortization of deferred finance costs.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below.</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Loss on disposal of subsidiaries. </w:t>
      </w:r>
      <w:r>
        <w:rPr>
          <w:rFonts w:ascii="Arial" w:cs="Arial" w:eastAsia="Arial" w:hAnsi="Arial"/>
          <w:sz w:val="18"/>
          <w:szCs w:val="18"/>
          <w:color w:val="auto"/>
        </w:rPr>
        <w:t>In the third quarter of 2021 we sold our 80% share in our subsidiary, Venus Concept Africa (Pty) Ltd., to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for a nominal cash consideration. The disposal resulted in a loss of approximately $0.2 million.</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had an income tax expense of $0.6 million in the three months ended September 30, 2021 compared to a $1.0 million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in the three months ended September 30, 2020. The tax provision is driven by profitable sales and the actual effective tax rates where the sale took place or losses were incurred. In 2021, geographic sales mix, changes in timing of deductible expenses and derecognition of loss carryforwards, resulted in a $0.6 million income tax expense.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231F20"/>
        </w:rPr>
        <w:t>Comparison of the nine months ended September 30, 2021 and 2020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0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2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80" w:type="dxa"/>
            <w:vAlign w:val="bottom"/>
            <w:tcBorders>
              <w:bottom w:val="single" w:sz="8" w:color="auto"/>
            </w:tcBorders>
            <w:gridSpan w:val="7"/>
          </w:tcPr>
          <w:p>
            <w:pPr>
              <w:jc w:val="right"/>
              <w:ind w:right="372"/>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4"/>
                <w:szCs w:val="14"/>
                <w:color w:val="auto"/>
              </w:rPr>
            </w:pPr>
          </w:p>
        </w:tc>
        <w:tc>
          <w:tcPr>
            <w:tcW w:w="9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600" w:type="dxa"/>
            <w:vAlign w:val="bottom"/>
          </w:tcPr>
          <w:p>
            <w:pPr>
              <w:spacing w:after="0"/>
              <w:rPr>
                <w:sz w:val="13"/>
                <w:szCs w:val="13"/>
                <w:color w:val="auto"/>
              </w:rPr>
            </w:pPr>
          </w:p>
        </w:tc>
        <w:tc>
          <w:tcPr>
            <w:tcW w:w="1420" w:type="dxa"/>
            <w:vAlign w:val="bottom"/>
            <w:gridSpan w:val="3"/>
          </w:tcPr>
          <w:p>
            <w:pPr>
              <w:jc w:val="right"/>
              <w:ind w:right="492"/>
              <w:spacing w:after="0" w:line="151" w:lineRule="exact"/>
              <w:rPr>
                <w:sz w:val="20"/>
                <w:szCs w:val="20"/>
                <w:color w:val="auto"/>
              </w:rPr>
            </w:pPr>
            <w:r>
              <w:rPr>
                <w:rFonts w:ascii="Arial" w:cs="Arial" w:eastAsia="Arial" w:hAnsi="Arial"/>
                <w:sz w:val="14"/>
                <w:szCs w:val="14"/>
                <w:b w:val="1"/>
                <w:bCs w:val="1"/>
                <w:color w:val="auto"/>
              </w:rPr>
              <w:t>2021</w:t>
            </w:r>
          </w:p>
        </w:tc>
        <w:tc>
          <w:tcPr>
            <w:tcW w:w="1560" w:type="dxa"/>
            <w:vAlign w:val="bottom"/>
            <w:gridSpan w:val="4"/>
          </w:tcPr>
          <w:p>
            <w:pPr>
              <w:jc w:val="right"/>
              <w:ind w:right="492"/>
              <w:spacing w:after="0" w:line="151"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Borders>
              <w:top w:val="single" w:sz="8" w:color="auto"/>
            </w:tcBorders>
          </w:tcPr>
          <w:p>
            <w:pPr>
              <w:jc w:val="right"/>
              <w:ind w:right="226"/>
              <w:spacing w:after="0" w:line="151"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 of Total</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ind w:right="221"/>
              <w:spacing w:after="0" w:line="151"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 of Total</w:t>
            </w: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ind w:right="224"/>
              <w:spacing w:after="0" w:line="151"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55"/>
              <w:spacing w:after="0" w:line="151"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120"/>
              <w:spacing w:after="0"/>
              <w:rPr>
                <w:sz w:val="20"/>
                <w:szCs w:val="20"/>
                <w:color w:val="auto"/>
              </w:rPr>
            </w:pPr>
            <w:r>
              <w:rPr>
                <w:rFonts w:ascii="Arial" w:cs="Arial" w:eastAsia="Arial" w:hAnsi="Arial"/>
                <w:sz w:val="18"/>
                <w:szCs w:val="18"/>
                <w:color w:val="auto"/>
              </w:rPr>
              <w:t>Subscription—Systems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$ 33,958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$ 23,709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$ 10,249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Products—Systems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26,526</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17,758</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8,768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120"/>
              <w:spacing w:after="0"/>
              <w:rPr>
                <w:sz w:val="20"/>
                <w:szCs w:val="20"/>
                <w:color w:val="auto"/>
              </w:rPr>
            </w:pPr>
            <w:r>
              <w:rPr>
                <w:rFonts w:ascii="Arial" w:cs="Arial" w:eastAsia="Arial" w:hAnsi="Arial"/>
                <w:sz w:val="18"/>
                <w:szCs w:val="18"/>
                <w:color w:val="auto"/>
              </w:rPr>
              <w:t>Products—Other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Services</w:t>
            </w: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$ 72,988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$ 52,184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$ 20,804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Total revenue increased by $20.8 million, or 39.9%, to $73.0 million for the nine months ended September 30, 2021 compared to $52.2 million for the nine months ended September 30, 2020. The increase in revenue was a result of increased revenue in the United States of $14.7 million and increased revenue in international markets of $6.1 million. The increase in revenue in both the United States and international markets was driven by our focus on key markets that benefited from the global economic recovery that resulted from the successful rollout of COVID-19 vaccines and the success of lockdown measures resulting in reduced lockdown restrictions in the major markets in which we operate. We were successful in reinvesting and refocusing our efforts in the United States and other countries that were able to contain the spread of COVID-19, enabling local jurisdictions to ease restrictions on our customer base which positively impacted our ability to sell into these channels.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sold an aggregate of 1,145 systems in the nine months ended September 30, 2021 compared to 853 systems in the nine months ended September 30, 2020. The percentage of systems revenue derived from our subscription model was approximately 56% in the nine months ended September 30, 2021 and is comparable to 57% in the nine months ended September 30, 2020.</w:t>
      </w:r>
    </w:p>
    <w:p>
      <w:pPr>
        <w:spacing w:after="0" w:line="1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Other product revenue increased by $2.2 million, or 30.7%, to $9.3 million in the nine months ended September 30, 2021 compared to $7.1 million in the nine months ended September 30, 2020. The increase was driven by stronger performance on ARTAS kits, Venus Viva tips and other consumables.</w:t>
      </w:r>
    </w:p>
    <w:p>
      <w:pPr>
        <w:spacing w:after="0" w:line="13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Services revenue decreased by $0.4 million, or 11.4%, to $3.2 million in the nine months ended September 30, 2021 compared to $3.6 million in the nine months ended September 30, 2020. The decrease was driven by the suspension of operations of the 2two5 marketing services in the second half of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Profit</w:t>
      </w:r>
    </w:p>
    <w:p>
      <w:pPr>
        <w:spacing w:after="0" w:line="2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Cost of goods sold increased by $4.2 million, or 24.1%, to $21.7 million in the nine months ended September 30, 2021, compared to $17.5 million in the nine months ended September 30, 2020. Gross profit increased by $16.6 million, or 47.8%, to $51.3 million in the nine months ended September 30, 2021, as compared to $34.7 million in the nine months ended September 30, 2020. The increase in gross profit is primarily due to an increase in revenue in both the United States and international markets driven by our focus on key markets that benefited from the global economic recovery that resulted from the successful rollout of COVID-19 vaccines and the success of lockdown measures positively impacting our ability to sell into these channels. Gross margin was 70.2% of revenue in the nine months ended September 30, 2021, compared to 66.5% of revenue in the nine months ended September 30, 2020. The increase in gross profit percentage is primarily driven by higher sales of consumables, improved revenue mix of system sales sold under our subscription program primarily tracing to sales of the Venus Bliss and the discontinuation of our 2two5 advertising agency services.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Operating expenses</w:t>
      </w:r>
    </w:p>
    <w:p>
      <w:pPr>
        <w:spacing w:after="0" w:line="28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2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right"/>
              <w:ind w:right="537"/>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0"/>
              <w:spacing w:after="0" w:line="151"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ind w:left="440"/>
              <w:spacing w:after="0" w:line="151" w:lineRule="exact"/>
              <w:rPr>
                <w:sz w:val="20"/>
                <w:szCs w:val="20"/>
                <w:color w:val="auto"/>
              </w:rPr>
            </w:pPr>
            <w:r>
              <w:rPr>
                <w:rFonts w:ascii="Arial" w:cs="Arial" w:eastAsia="Arial" w:hAnsi="Arial"/>
                <w:sz w:val="14"/>
                <w:szCs w:val="14"/>
                <w:b w:val="1"/>
                <w:bCs w:val="1"/>
                <w:color w:val="auto"/>
                <w:w w:val="93"/>
              </w:rPr>
              <w:t>Change</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1"/>
                <w:szCs w:val="11"/>
                <w:color w:val="auto"/>
              </w:rPr>
            </w:pPr>
          </w:p>
        </w:tc>
        <w:tc>
          <w:tcPr>
            <w:tcW w:w="58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64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66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Revenues</w:t>
            </w: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26,743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18,813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31,983</w:t>
            </w:r>
          </w:p>
        </w:tc>
        <w:tc>
          <w:tcPr>
            <w:tcW w:w="200" w:type="dxa"/>
            <w:vAlign w:val="bottom"/>
            <w:tcBorders>
              <w:right w:val="single" w:sz="8" w:color="CFF0FC"/>
            </w:tcBorders>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40,057</w:t>
            </w:r>
          </w:p>
        </w:tc>
        <w:tc>
          <w:tcPr>
            <w:tcW w:w="180" w:type="dxa"/>
            <w:vAlign w:val="bottom"/>
            <w:tcBorders>
              <w:right w:val="single" w:sz="8" w:color="CFF0FC"/>
            </w:tcBorders>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(8,074)</w:t>
            </w:r>
          </w:p>
        </w:tc>
        <w:tc>
          <w:tcPr>
            <w:tcW w:w="1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27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6,005</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4"/>
        </w:trPr>
        <w:tc>
          <w:tcPr>
            <w:tcW w:w="27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27,450</w:t>
            </w:r>
          </w:p>
        </w:tc>
        <w:tc>
          <w:tcPr>
            <w:tcW w:w="180" w:type="dxa"/>
            <w:vAlign w:val="bottom"/>
            <w:tcBorders>
              <w:right w:val="single" w:sz="8" w:color="CFF0FC"/>
            </w:tcBorders>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(27,450)</w:t>
            </w:r>
          </w:p>
        </w:tc>
        <w:tc>
          <w:tcPr>
            <w:tcW w:w="1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2700" w:type="dxa"/>
            <w:vAlign w:val="bottom"/>
          </w:tcPr>
          <w:p>
            <w:pPr>
              <w:ind w:left="120"/>
              <w:spacing w:after="0"/>
              <w:rPr>
                <w:sz w:val="20"/>
                <w:szCs w:val="20"/>
                <w:color w:val="auto"/>
              </w:rPr>
            </w:pPr>
            <w:r>
              <w:rPr>
                <w:rFonts w:ascii="Arial" w:cs="Arial" w:eastAsia="Arial" w:hAnsi="Arial"/>
                <w:sz w:val="18"/>
                <w:szCs w:val="18"/>
                <w:color w:val="auto"/>
                <w:w w:val="90"/>
              </w:rPr>
              <w:t>Gain on forgiveness of government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00" w:type="dxa"/>
            <w:vAlign w:val="bottom"/>
          </w:tcPr>
          <w:p>
            <w:pPr>
              <w:ind w:left="120"/>
              <w:spacing w:after="0"/>
              <w:rPr>
                <w:sz w:val="20"/>
                <w:szCs w:val="20"/>
                <w:color w:val="auto"/>
              </w:rPr>
            </w:pPr>
            <w:r>
              <w:rPr>
                <w:rFonts w:ascii="Arial" w:cs="Arial" w:eastAsia="Arial" w:hAnsi="Arial"/>
                <w:sz w:val="18"/>
                <w:szCs w:val="18"/>
                <w:color w:val="auto"/>
              </w:rPr>
              <w:t>assistance loans</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(2,775)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(2,775)</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Borders>
              <w:right w:val="single" w:sz="8" w:color="CFF0FC"/>
            </w:tcBorders>
            <w:vMerge w:val="restart"/>
            <w:shd w:val="clear" w:color="auto" w:fill="CFF0FC"/>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00" w:type="dxa"/>
            <w:vAlign w:val="bottom"/>
            <w:tcBorders>
              <w:right w:val="single" w:sz="8" w:color="CFF0FC"/>
            </w:tcBorders>
            <w:vMerge w:val="continue"/>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61,956</w:t>
            </w:r>
          </w:p>
        </w:tc>
        <w:tc>
          <w:tcPr>
            <w:tcW w:w="200" w:type="dxa"/>
            <w:vAlign w:val="bottom"/>
            <w:tcBorders>
              <w:right w:val="single" w:sz="8" w:color="CFF0FC"/>
            </w:tcBorders>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92,363</w:t>
            </w:r>
          </w:p>
        </w:tc>
        <w:tc>
          <w:tcPr>
            <w:tcW w:w="180" w:type="dxa"/>
            <w:vAlign w:val="bottom"/>
            <w:tcBorders>
              <w:right w:val="single" w:sz="8" w:color="CFF0FC"/>
            </w:tcBorders>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r>
              <w:rPr>
                <w:rFonts w:ascii="Arial" w:cs="Arial" w:eastAsia="Arial" w:hAnsi="Arial"/>
                <w:sz w:val="18"/>
                <w:szCs w:val="18"/>
                <w:u w:val="single" w:color="auto"/>
                <w:color w:val="auto"/>
              </w:rPr>
              <w:t>1</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(30,407)</w:t>
            </w:r>
          </w:p>
        </w:tc>
        <w:tc>
          <w:tcPr>
            <w:tcW w:w="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Selling and Marketing</w:t>
      </w:r>
      <w:r>
        <w:rPr>
          <w:rFonts w:ascii="Arial" w:cs="Arial" w:eastAsia="Arial" w:hAnsi="Arial"/>
          <w:sz w:val="16"/>
          <w:szCs w:val="16"/>
          <w:color w:val="auto"/>
        </w:rPr>
        <w:t>. Selling and marketing expenses increased by $7.9 million or 42.2% in the nine months ended September 30, 2021 compared to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2020. This increase is largely due to our reinvestment in the United States and other key markets that benefited from the global economic recovery enabled by reduced lockdown measures benefiting our ability to sell into these channels. As a percentage of total revenues, our selling and marketing expenses increased by 0.5%, from 36.1% in the nine months ended September 30, 2020 to 36.6% in the nine months ended September 30, 2021, driven by an improvement in revenues. As the business environment improves, we expect selling and marketing expenses to continue to increase in absolute terms, but at a rate slightly below our rate of revenue growth.</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$8.1 million or 20.2% in the nine months ended September 30,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nine months ended September 30, 2020, primarily due to lower bad debt expenses in 2021. As a percentage of total revenues, our general and administrative expenses decreased by 33.0%, from 76.8% in the nine months ended September 30, 2020, compared to 43.8% in the nine months ended September 30, 2021, primarily due to an improvement in revenues.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expenses decreased by $38 thousand or 0.6% in the nine months ended September 30, 2021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nine months ended September 30, 2020. The slight decrease is due to synergies realized across our research and development teams in both Israel and San Jose, California, partially offset by a reinvestment in research and development efforts directed at scaling our robotic technology across other aesthetic platforms. As a percentage of total revenues, our research and development expenses decreased by 3.4%, from 11.6% in the nine months ended September 30, 2020, to 8.2% in the nine months ended September 30, 2021, due to an improvement in revenues.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In 2020, we considered a substantial decline in our equity value and worsening macroeconomic factors due to COVID-19 as triggering</w:t>
      </w:r>
      <w:r>
        <w:rPr>
          <w:rFonts w:ascii="Arial" w:cs="Arial" w:eastAsia="Arial" w:hAnsi="Arial"/>
          <w:sz w:val="18"/>
          <w:szCs w:val="18"/>
          <w:i w:val="1"/>
          <w:iCs w:val="1"/>
          <w:color w:val="auto"/>
        </w:rPr>
        <w:t xml:space="preserve"> </w:t>
      </w:r>
      <w:r>
        <w:rPr>
          <w:rFonts w:ascii="Arial" w:cs="Arial" w:eastAsia="Arial" w:hAnsi="Arial"/>
          <w:sz w:val="18"/>
          <w:szCs w:val="18"/>
          <w:color w:val="auto"/>
        </w:rPr>
        <w:t>events that caused the analysis of potential impairment of our goodwill and other intangible assets as of March 31, 2020. The quantitative impairment analysis resulted in goodwill impairment of $27.5 million driven primarily by lower than expected actual sales, as well as lower projected sales and decreased profitability because of COVID-19. As a result, the entire balance of goodwill was written off as of March 31, 2020. The impairment loss was recognized in the first quarter of 2020.</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Gain on forgiveness of government assistance loans. </w:t>
      </w:r>
      <w:r>
        <w:rPr>
          <w:rFonts w:ascii="Arial" w:cs="Arial" w:eastAsia="Arial" w:hAnsi="Arial"/>
          <w:sz w:val="18"/>
          <w:szCs w:val="18"/>
          <w:color w:val="auto"/>
        </w:rPr>
        <w:t>In 2021, we applied for and received partial forgiveness of the PPP Loans with the SBA in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$2.8 million of original PPP Loans as of September 30, 2021.</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Foreign exchange loss. </w:t>
      </w:r>
      <w:r>
        <w:rPr>
          <w:rFonts w:ascii="Arial" w:cs="Arial" w:eastAsia="Arial" w:hAnsi="Arial"/>
          <w:sz w:val="16"/>
          <w:szCs w:val="16"/>
          <w:color w:val="auto"/>
        </w:rPr>
        <w:t>We had a foreign exchange loss of $2.5 million in the nine months ended September 30, 2021 and a foreign exchange loss of $4.2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nine months ended September 30, 2020. It decreased by $1.7 million or 40.9% in the nine months ended September 30, 2021 compared to the nine months ended September 30, 2020. Changes in foreign are driven mainly by the effect of foreign exchange on accounts receivable balances denominated in currencies other than the US dollar. We do not currently hedge against foreign currency risk.</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Finance Expenses</w:t>
      </w:r>
      <w:r>
        <w:rPr>
          <w:rFonts w:ascii="Arial" w:cs="Arial" w:eastAsia="Arial" w:hAnsi="Arial"/>
          <w:sz w:val="18"/>
          <w:szCs w:val="18"/>
          <w:color w:val="auto"/>
        </w:rPr>
        <w:t>. Finance expenses decreased by $2.5 million or 38.0%, from $6.5 million in the nine months ended September 30, 2020, compared to $4.0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 the nine months ended September 30, 2021, mostly due to a lower average interest rate on our long-term debt as a result of refinancing this debt in the fourth quarter of 2020, partially offset by a higher long-term debt balance and increased amortization of deferred finance costs. See </w:t>
      </w:r>
      <w:r>
        <w:rPr>
          <w:rFonts w:ascii="Arial" w:cs="Arial" w:eastAsia="Arial" w:hAnsi="Arial"/>
          <w:sz w:val="18"/>
          <w:szCs w:val="18"/>
          <w:i w:val="1"/>
          <w:iCs w:val="1"/>
          <w:color w:val="auto"/>
        </w:rPr>
        <w:t>“—Liquidity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w:t>
      </w:r>
      <w:r>
        <w:rPr>
          <w:rFonts w:ascii="Arial" w:cs="Arial" w:eastAsia="Arial" w:hAnsi="Arial"/>
          <w:sz w:val="18"/>
          <w:szCs w:val="18"/>
          <w:color w:val="auto"/>
        </w:rPr>
        <w:t>” below.</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 xml:space="preserve">Loss on disposal of subsidiaries. </w:t>
      </w:r>
      <w:r>
        <w:rPr>
          <w:rFonts w:ascii="Arial" w:cs="Arial" w:eastAsia="Arial" w:hAnsi="Arial"/>
          <w:sz w:val="16"/>
          <w:szCs w:val="16"/>
          <w:color w:val="auto"/>
        </w:rPr>
        <w:t>In the third quarter of 2021 we sold our 80% share in our subsidiary, Venus Concept Africa (Pty) Ltd., to a non-controlling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for a nominal cash consideration. The disposal resulted in a loss of approximately $0.2 million. In the second quarter of 2020 we sold our share in our subsidiary in Bulgaria as we are focused on markets with higher growth and profit potential. The disposal resulted in a loss of $0.4 million.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0" w:name="page41"/>
    <w:bookmarkEnd w:id="40"/>
    <w:p>
      <w:pPr>
        <w:jc w:val="both"/>
        <w:spacing w:after="0" w:line="24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had an income tax expense of $0.6 million in the nine months ended September 30, 2021 compared to a $1.0 million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in the nine months ended September 30, 2020. The tax provision is driven by profitable sales and the actual effective tax rates where the sale took place or losses were incurred. In 2021, geographic sales mix, changes in timing of deductible expenses and derecognition of loss carryforwards, resulted in a $0.6 million income tax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had $15.9 million and $34.4 million of cash and cash equivalents as of September 30, 2021, and December 31, 2020, respectively. We have funded our operations with cash generated from operating activities, through the sale of equity securities and through debt financing. We had total debt obligations of approximately $77.8 million as of September 30, 2021, including the MSLP Loan of $50.2 million, convertible notes of $26.7 million including closing fees of $1.6 million, and government assistance loans of $0.9 million, compared to total debt obligations of approximately $79.6 million as of December 31, 2020.</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working capital requirements reflect the growth of our business over the last few years, in particular, the shift from a traditional sales model to a subscription model.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56:44 in the nine months ended September 30, 2021, compared to 57:43 in the nine months ended September 30, 2020. We expect inventory to continue to increase in the short term, but at a lower rate than the rate of revenue growth.</w:t>
      </w:r>
    </w:p>
    <w:p>
      <w:pPr>
        <w:spacing w:after="0" w:line="166" w:lineRule="exact"/>
        <w:rPr>
          <w:sz w:val="20"/>
          <w:szCs w:val="20"/>
          <w:color w:val="auto"/>
        </w:rPr>
      </w:pPr>
    </w:p>
    <w:p>
      <w:pPr>
        <w:jc w:val="both"/>
        <w:spacing w:after="0" w:line="361" w:lineRule="auto"/>
        <w:rPr>
          <w:sz w:val="20"/>
          <w:szCs w:val="20"/>
          <w:color w:val="auto"/>
        </w:rPr>
      </w:pPr>
      <w:r>
        <w:rPr>
          <w:rFonts w:ascii="Arial" w:cs="Arial" w:eastAsia="Arial" w:hAnsi="Arial"/>
          <w:sz w:val="15"/>
          <w:szCs w:val="15"/>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Secured Subordinated Convertible Notes</w:t>
      </w:r>
    </w:p>
    <w:p>
      <w:pPr>
        <w:spacing w:after="0" w:line="10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December 9, 2020, we issued $26.7 million aggregate principal amount of the Notes to the Madryn Noteholders pursuant to the terms of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 (i) the Madryn Security Agreement, pursuant to which we agreed to grant Madryn a security interest, in substantially all of our assets, to secure the obligations under the Notes and (ii) the CNB Subordination Agreement. The Notes are convertible at any time into shares of our common stock at an initial conversion price of $3.25 per share, subject to adjustment. For additional information regarding the Notes, Exchange Agreement, Madryn Security Agreement and CNB Subordination Agreement, see Note 10 “</w:t>
      </w:r>
      <w:r>
        <w:rPr>
          <w:rFonts w:ascii="Arial" w:cs="Arial" w:eastAsia="Arial" w:hAnsi="Arial"/>
          <w:sz w:val="16"/>
          <w:szCs w:val="16"/>
          <w:i w:val="1"/>
          <w:iCs w:val="1"/>
          <w:color w:val="auto"/>
        </w:rPr>
        <w:t>Madryn Long-Term Debt and Convertible Notes</w:t>
      </w:r>
      <w:r>
        <w:rPr>
          <w:rFonts w:ascii="Arial" w:cs="Arial" w:eastAsia="Arial" w:hAnsi="Arial"/>
          <w:sz w:val="16"/>
          <w:szCs w:val="16"/>
          <w:color w:val="auto"/>
        </w:rPr>
        <w:t>” to our unaudited condensed consolidated financial statements included elsewhere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 Street Priority Lending Program Term Loan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9 “</w:t>
      </w:r>
      <w:r>
        <w:rPr>
          <w:rFonts w:ascii="Arial" w:cs="Arial" w:eastAsia="Arial" w:hAnsi="Arial"/>
          <w:sz w:val="18"/>
          <w:szCs w:val="18"/>
          <w:i w:val="1"/>
          <w:iCs w:val="1"/>
          <w:color w:val="auto"/>
        </w:rPr>
        <w:t>Main Street Term Loan</w:t>
      </w:r>
      <w:r>
        <w:rPr>
          <w:rFonts w:ascii="Arial" w:cs="Arial" w:eastAsia="Arial" w:hAnsi="Arial"/>
          <w:sz w:val="18"/>
          <w:szCs w:val="18"/>
          <w:color w:val="auto"/>
        </w:rPr>
        <w:t>” to our unaudited condensed consolidated financial statements included elsewhere in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CNB Loan Agreement</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Through August 26, 2021 we had a revolving credit facility with CNB pursuant to which CNB agreed to provide a revolving credit facility to us and certain of our subsidiaries in the maximum principal amount of $10.0 million, to be used to finance working capital requirements. As of December 31, 2020, a portion of the proceeds from the MSLP Loan described above was used to repay $3.2 million of outstanding borrowings under the CNB Loan Agreement. There was $nil outstanding balance as of August 26, 2021 and December 31, 2020.</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26, 2021 we entered into the Amended CNB Loan Agreement with CNB, pursuant to which, among other things, (i) the maximum principal amount the revolving credit facility was reduced to $5.0 million at the LIBOR 30-Day rate plus 3.25%, subject to a minimum LIBOR rate floor of 0.50%, and (ii) beginning December 10, 2021, the cash deposit requirement was reduced from $3.0 million to $1.5 million, to be maintained with CNB at all times during the term of the Amended CNB Loan Agreement. For additional information on the Amended CNB Loan Agreement, see Note 11 “</w:t>
      </w:r>
      <w:r>
        <w:rPr>
          <w:rFonts w:ascii="Arial" w:cs="Arial" w:eastAsia="Arial" w:hAnsi="Arial"/>
          <w:sz w:val="16"/>
          <w:szCs w:val="16"/>
          <w:i w:val="1"/>
          <w:iCs w:val="1"/>
          <w:color w:val="auto"/>
        </w:rPr>
        <w:t>Credit Facility</w:t>
      </w:r>
      <w:r>
        <w:rPr>
          <w:rFonts w:ascii="Arial" w:cs="Arial" w:eastAsia="Arial" w:hAnsi="Arial"/>
          <w:sz w:val="16"/>
          <w:szCs w:val="16"/>
          <w:color w:val="auto"/>
        </w:rPr>
        <w:t>” to our unaudited condensed consolidated financial statements included elsewhere in this report.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1" w:name="page42"/>
    <w:bookmarkEnd w:id="41"/>
    <w:p>
      <w:pPr>
        <w:jc w:val="both"/>
        <w:spacing w:after="0" w:line="284" w:lineRule="auto"/>
        <w:rPr>
          <w:sz w:val="20"/>
          <w:szCs w:val="20"/>
          <w:color w:val="auto"/>
        </w:rPr>
      </w:pPr>
      <w:r>
        <w:rPr>
          <w:rFonts w:ascii="Arial" w:cs="Arial" w:eastAsia="Arial" w:hAnsi="Arial"/>
          <w:sz w:val="16"/>
          <w:szCs w:val="16"/>
          <w:color w:val="auto"/>
        </w:rPr>
        <w:t>In connection with the Amended CNB Loan Agreement, (i) Venus Ltd. entered into the CNB Guaranty pursuant to which Venus Ltd. agreed to guarantee the obligations under the Amended CNB Loan Agreement, (ii) we and Venus USA entered into the CNB Security Agreement pursuant to which we and Venus USA agreed to grant CNB a security interest in substantially all of their assets to secure the obligations under the CNB Loan Agreement, (iii) we issued the CNB Note in the amount of $5.0 million with a maturity date of July 24, 2023 and (iv) our obligations pursuant to certain of our outstanding promissory notes were reaffirmed as subordinated to our indebtedness owing to CNB pursuant to the Subordination Supplement by and among Madryn Health Partners, LP, Madryn Health Partners (Cayman Master), LP, us and CNB.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we were in compliance with all required covenants.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Purchase Agreement with Lincoln Park</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June 16, 2020, we entered into a purchase agreement (the “Equity Purchase Agreement”) with Lincoln Park Capital Fund LLC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7.8 million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 shares were issued and sold to Lincoln Park in the three and nine months ended September 30, 2021.</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Sales of shares of our common stock to Lincoln Park under the Equity Purchase Agreement will depend on a variety of factors to be determined by us from time to time, including, among others, market conditions, the trading price of our common stock and our determination as to the appropriate sources of funding for our operations. The proceeds we receive under the Equity Purchase Agreement will depend on the frequency and prices at which we sell shares to Lincoln Park. We expect that any proceeds we receive from such sales will be used for working capital and general corporate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Programs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April 2020, Venus Concept Inc. and Venus USA, received funding in the total amount of $4.1 million, in connection with two “Small Business Loans” under the PPP.</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borrowed $1.7 million pursuant to the Venus Concept PPP Loan. Venus USA also borrowed $2.4 million pursuant to the Venus USA PPP Loan. The terms of the Venus USA PPP Loan are substantially similar to the terms of the Venus Concept PPP Loan. In 2021, we applied through CNB, for partial forgiveness of both PPP Loans with the SBA and received partial forgiveness of the Venus USA PPP Loan in the amount of $1.7 million and the Venus Concept PPP Loan in the amount of $1.1 million.</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PPP Loans contain certain covenants which, among other things, restrict our use of the proceeds of the respective PPP Loan to the payment of payroll costs, interest on mortgage obligations, rent obligations and utility expenses, require compliance with all other loans or other agreements with any creditor of us or Venus USA, to the extent that a default under any loan or other agreement would materially affect our or Venus USA’s ability to repay its respective PPP Loan and limit our ability to make certain changes to our ownership structure.</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we and/or Venus USA default on our or its respective PPP Loan (i) events of default will occur under the Amended CNB Loan Agreement and the MSLP Loan Agreement, and (ii) we and/or Venus USA may be required to immediately repay their respective PPP Loan.</w:t>
      </w:r>
    </w:p>
    <w:p>
      <w:pPr>
        <w:spacing w:after="0" w:line="18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2020, certain subsidiaries also received funding in the total amount of $1.1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unaudited condensed consolidated statement of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18"/>
          <w:szCs w:val="18"/>
          <w:color w:val="auto"/>
        </w:rPr>
        <w:t>For additional information on our utilization of government assistance programs, see Note 12 “</w:t>
      </w:r>
      <w:r>
        <w:rPr>
          <w:rFonts w:ascii="Arial" w:cs="Arial" w:eastAsia="Arial" w:hAnsi="Arial"/>
          <w:sz w:val="18"/>
          <w:szCs w:val="18"/>
          <w:i w:val="1"/>
          <w:iCs w:val="1"/>
          <w:color w:val="auto"/>
        </w:rPr>
        <w:t>Government Assistance Programs</w:t>
      </w:r>
      <w:r>
        <w:rPr>
          <w:rFonts w:ascii="Arial" w:cs="Arial" w:eastAsia="Arial" w:hAnsi="Arial"/>
          <w:sz w:val="18"/>
          <w:szCs w:val="18"/>
          <w:color w:val="auto"/>
        </w:rPr>
        <w:t>” in the notes to our unaudited condensed consolidated financial statements included elsewhere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Capital Resources</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As of September 30, 2021, we had capital resources consisting of cash and cash equivalents of approximately $15.9 million. We have financed our operations principally through the issuance and sale of our common stock and preferred stock, debt financing, and payments from customers.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believe that the net proceeds from the 2020 Private Placement, net proceeds from the December 2020 Public Offering, the proceeds from issuance of our common stock to Lincoln Park, the proceeds from the government assistance programs, the proceeds from the MSLP Loan, together with our existing cash and cash equivalents, and the anticipated savings from our Merger-related cost savings initiatives and our new restructuring program, will enable us to fund our operating expenses and capital expenditure requirements for at least the next 12 months. The pandemic has had a significant negative impact on our business. While our business is showing strong growth, we expect the pandemic to continue to have a negative impact in the foreseeable future, the extent of which is uncertain and largely subject to the continued beneficial impact of local vaccination efforts, and whether the severity of the pandemic worsens in the jurisdictions in which we operate. Given the uncertainties of the pandemic, and in particular around the COVID-19 variants,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81" w:lineRule="exact"/>
        <w:rPr>
          <w:sz w:val="20"/>
          <w:szCs w:val="20"/>
          <w:color w:val="auto"/>
        </w:rPr>
      </w:pPr>
    </w:p>
    <w:p>
      <w:pPr>
        <w:ind w:left="760" w:hanging="374"/>
        <w:spacing w:after="0" w:line="250"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curtail our efforts to develop system product enhancements or new products, including any clinical trials that may be required to market such enhancements;</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curtail our plans to increase and expand our sales and marketing efforts; or</w:t>
      </w:r>
    </w:p>
    <w:p>
      <w:pPr>
        <w:spacing w:after="0" w:line="3"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curtail our plans to enhance our customer support and marketing activities.</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restricted by covenants in the MSLP Loan, the Amended CNB Loan Agreement, the PPP Loans, the Madryn Security Agreement and other government assistance programs. These covenants restrict, among other things, our ability to incur additional indebtedness, which may limit our ability to obtain additional debt financing. In the event that the pandemic and the economic disruptions it has caused continue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spacing w:after="0" w:line="189" w:lineRule="exact"/>
        <w:rPr>
          <w:sz w:val="20"/>
          <w:szCs w:val="20"/>
          <w:color w:val="auto"/>
        </w:rPr>
      </w:pPr>
    </w:p>
    <w:p>
      <w:pPr>
        <w:ind w:left="740" w:hanging="36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growing our ongoing commercialization and sales and marketing activities;</w:t>
      </w:r>
    </w:p>
    <w:p>
      <w:pPr>
        <w:spacing w:after="0" w:line="15" w:lineRule="exact"/>
        <w:rPr>
          <w:rFonts w:ascii="Arial" w:cs="Arial" w:eastAsia="Arial" w:hAnsi="Arial"/>
          <w:sz w:val="18"/>
          <w:szCs w:val="18"/>
          <w:color w:val="auto"/>
        </w:rPr>
      </w:pPr>
    </w:p>
    <w:p>
      <w:pPr>
        <w:ind w:left="740" w:hanging="367"/>
        <w:spacing w:after="0" w:line="243"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manufacturing and maintaining enough inventories of our systems to meet anticipated demand and inventory write-offs related to obsolete products or components;</w:t>
      </w:r>
    </w:p>
    <w:p>
      <w:pPr>
        <w:spacing w:after="0" w:line="1" w:lineRule="exact"/>
        <w:rPr>
          <w:rFonts w:ascii="Arial" w:cs="Arial" w:eastAsia="Arial" w:hAnsi="Arial"/>
          <w:sz w:val="18"/>
          <w:szCs w:val="18"/>
          <w:color w:val="auto"/>
        </w:rPr>
      </w:pPr>
    </w:p>
    <w:p>
      <w:pPr>
        <w:ind w:left="740" w:hanging="36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enhancing the existing functionality and development of new functionalities for our systems;</w:t>
      </w:r>
    </w:p>
    <w:p>
      <w:pPr>
        <w:spacing w:after="0" w:line="3" w:lineRule="exact"/>
        <w:rPr>
          <w:rFonts w:ascii="Arial" w:cs="Arial" w:eastAsia="Arial" w:hAnsi="Arial"/>
          <w:sz w:val="18"/>
          <w:szCs w:val="18"/>
          <w:color w:val="auto"/>
        </w:rPr>
      </w:pPr>
    </w:p>
    <w:p>
      <w:pPr>
        <w:ind w:left="740" w:hanging="367"/>
        <w:spacing w:after="0" w:line="243"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 w:lineRule="exact"/>
        <w:rPr>
          <w:rFonts w:ascii="Arial" w:cs="Arial" w:eastAsia="Arial" w:hAnsi="Arial"/>
          <w:sz w:val="18"/>
          <w:szCs w:val="18"/>
          <w:color w:val="auto"/>
        </w:rPr>
      </w:pPr>
    </w:p>
    <w:p>
      <w:pPr>
        <w:ind w:left="740" w:hanging="367"/>
        <w:spacing w:after="0" w:line="243"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variability of ARTAS procedures being performed between periods if particular high-volume practitioners perform a smaller number of procedures in each period as a result of the concentration of procedures performed by certain practitioners;</w:t>
      </w:r>
    </w:p>
    <w:p>
      <w:pPr>
        <w:spacing w:after="0" w:line="1" w:lineRule="exact"/>
        <w:rPr>
          <w:rFonts w:ascii="Arial" w:cs="Arial" w:eastAsia="Arial" w:hAnsi="Arial"/>
          <w:sz w:val="18"/>
          <w:szCs w:val="18"/>
          <w:color w:val="auto"/>
        </w:rPr>
      </w:pPr>
    </w:p>
    <w:p>
      <w:pPr>
        <w:ind w:left="740" w:hanging="36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product liability or other lawsuits and the costs associated with defending them or the results of such lawsuits;</w:t>
      </w:r>
    </w:p>
    <w:p>
      <w:pPr>
        <w:spacing w:after="0" w:line="3" w:lineRule="exact"/>
        <w:rPr>
          <w:rFonts w:ascii="Arial" w:cs="Arial" w:eastAsia="Arial" w:hAnsi="Arial"/>
          <w:sz w:val="18"/>
          <w:szCs w:val="18"/>
          <w:color w:val="auto"/>
        </w:rPr>
      </w:pPr>
    </w:p>
    <w:p>
      <w:pPr>
        <w:ind w:left="740" w:hanging="36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conducting business and maintaining subsidiaries and other entities in foreign jurisdictions;</w:t>
      </w:r>
    </w:p>
    <w:p>
      <w:pPr>
        <w:spacing w:after="0" w:line="3" w:lineRule="exact"/>
        <w:rPr>
          <w:rFonts w:ascii="Arial" w:cs="Arial" w:eastAsia="Arial" w:hAnsi="Arial"/>
          <w:sz w:val="18"/>
          <w:szCs w:val="18"/>
          <w:color w:val="auto"/>
        </w:rPr>
      </w:pPr>
    </w:p>
    <w:p>
      <w:pPr>
        <w:ind w:left="740" w:hanging="367"/>
        <w:spacing w:after="0" w:line="243"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customers in jurisdictions where our systems are not approved delaying their purchase, and not purchasing our systems, until they are approved or cleared for use in their market;</w:t>
      </w:r>
    </w:p>
    <w:p>
      <w:pPr>
        <w:spacing w:after="0" w:line="1" w:lineRule="exact"/>
        <w:rPr>
          <w:rFonts w:ascii="Arial" w:cs="Arial" w:eastAsia="Arial" w:hAnsi="Arial"/>
          <w:sz w:val="18"/>
          <w:szCs w:val="18"/>
          <w:color w:val="auto"/>
        </w:rPr>
      </w:pPr>
    </w:p>
    <w:p>
      <w:pPr>
        <w:ind w:left="740" w:hanging="36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to attract and retain personnel with the skills required for effective operations;</w:t>
      </w:r>
    </w:p>
    <w:p>
      <w:pPr>
        <w:spacing w:after="0" w:line="3" w:lineRule="exact"/>
        <w:rPr>
          <w:rFonts w:ascii="Arial" w:cs="Arial" w:eastAsia="Arial" w:hAnsi="Arial"/>
          <w:sz w:val="18"/>
          <w:szCs w:val="18"/>
          <w:color w:val="auto"/>
        </w:rPr>
      </w:pPr>
    </w:p>
    <w:p>
      <w:pPr>
        <w:ind w:left="740" w:hanging="36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3" w:lineRule="exact"/>
        <w:rPr>
          <w:rFonts w:ascii="Arial" w:cs="Arial" w:eastAsia="Arial" w:hAnsi="Arial"/>
          <w:sz w:val="18"/>
          <w:szCs w:val="18"/>
          <w:color w:val="auto"/>
        </w:rPr>
      </w:pPr>
    </w:p>
    <w:p>
      <w:pPr>
        <w:ind w:left="740" w:hanging="36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the COVID-19 pandemic.</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3" w:name="page44"/>
    <w:bookmarkEnd w:id="43"/>
    <w:p>
      <w:pPr>
        <w:jc w:val="both"/>
        <w:spacing w:after="0" w:line="284" w:lineRule="auto"/>
        <w:rPr>
          <w:sz w:val="20"/>
          <w:szCs w:val="20"/>
          <w:color w:val="auto"/>
        </w:rPr>
      </w:pPr>
      <w:r>
        <w:rPr>
          <w:rFonts w:ascii="Arial" w:cs="Arial" w:eastAsia="Arial" w:hAnsi="Arial"/>
          <w:sz w:val="16"/>
          <w:szCs w:val="16"/>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8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1"/>
        </w:trPr>
        <w:tc>
          <w:tcPr>
            <w:tcW w:w="4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20"/>
              <w:spacing w:after="0" w:line="151"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6"/>
              <w:spacing w:after="0" w:line="151"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r>
      <w:tr>
        <w:trPr>
          <w:trHeight w:val="151"/>
        </w:trPr>
        <w:tc>
          <w:tcPr>
            <w:tcW w:w="4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(19,370)</w:t>
            </w: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(28,780)</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r>
      <w:tr>
        <w:trPr>
          <w:trHeight w:val="224"/>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26,011</w:t>
            </w:r>
          </w:p>
        </w:tc>
        <w:tc>
          <w:tcPr>
            <w:tcW w:w="200" w:type="dxa"/>
            <w:vAlign w:val="bottom"/>
            <w:shd w:val="clear" w:color="auto" w:fill="CFF0FC"/>
          </w:tcPr>
          <w:p>
            <w:pPr>
              <w:spacing w:after="0"/>
              <w:rPr>
                <w:sz w:val="19"/>
                <w:szCs w:val="19"/>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w w:val="98"/>
              </w:rPr>
              <w:t>Net decrease in cash, cash equivalents and restricted cash</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(18,516)</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(2,888)</w:t>
            </w:r>
          </w:p>
        </w:tc>
      </w:tr>
      <w:tr>
        <w:trPr>
          <w:trHeight w:val="20"/>
        </w:trPr>
        <w:tc>
          <w:tcPr>
            <w:tcW w:w="4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 the nine months ended September 30, 2021, cash used in operating activities consisted of a net loss of $18.0 million and an investment in net operating assets of $4.9 million, partially offset by non-cash operating expenses of $3.6 million. The investment in net operating assets was primarily attributable to an increase in inventories of $4.4 million, an increase in advances to suppliers of $0.1 million, an increase in prepaid expenses of $0.1 million, an increase in other long-term assets of $0.1 million, a decrease in accounts payable of $1.6 million, a decrease in accrued expenses and other current liabilities of $3.1 million, a decrease in severance pay funds of $0.1 million, and a decrease in other non-current liabilities of $0.1 million. This was partially offset by a decrease in accounts receivable of $3.5 million, primarily due to stronger collections as customers start to recover from the pandemic globally during 2021, a decrease in other current assets of $0.9 million and increase in unearned interest income of $0.1 million. The non-cash operating expenses consisted mainly of a recovery for bad debts of $0.6 million, depreciation and amortization of $3.8 million, finance expenses and accretion of $1.0 million, stock-based compensation expense of $1.6 million, provision for inventory obsolescence of $1.1 million, loss on the sale of a subsidiary of $0.2 million, gain on forgiveness of government assistance loans of $2.8 million and deferred tax recovery of $0.7 million.</w:t>
      </w:r>
    </w:p>
    <w:p>
      <w:pPr>
        <w:spacing w:after="0" w:line="17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For the nine months ended September 30, 2020, cash used in operating activities consisted of a net loss of $67.8 million and an investment in net operating assets of $7.7 million, partially offset by non-cash operating expenses of $46.8 million. The investment in net operating assets was primary attributable to an increase in inventories of $1.6 million, an increase in other current assets of $3.5 million, a decrease in accrued expenses and other current liabilities of $6.6 million, a decrease in unearned interest income of $1.6 million and a decrease in other non-current liabilities of $0.7 million. This was partially offset by a decrease in accounts receivable of $5.3 million, primarily due to the decrease in subscription sales, a decrease in prepaid expenses by $0.5 million, a decrease in severance pay funds of $0.1 million and an increase in accounts payable of $0.5 million. The non-cash operating expenses consisted mainly of a goodwill impairment charge of $27.5 million, a provision for bad debts of $8.5 million, depreciation and amortization of $3.7 million, stock-based compensation expense of $1.6 million, provision for inventory obsolescence of $0.7 million, loss on the sale of a subsidiary of $0.4 million, a deferred tax benefit of $1.2 million, a change in the fair value of the earn-out liability for the purchase of NeoGraft of $0.3 million and finance expenses of $5.3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nine months ended September 30, 2021, cash used in investing activities consisted of $0.2 million for the purchase of property and equipment and the proceeds from the sale of a subsidiary, net of $40 thousand of cash relinquished.</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nine months ended September 30, 2020, cash used in investing activities consisted of $0.2 million for the purchase of property and equipment and $0.2 million of the proceeds from the sale of a subsidiary, net of $0.1 million of cash relinquished.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nine months ended September 30, 2021, cash provided by financing activities consisted primarily of proceeds from the exercise of 2020 December Public Offering Warrants of $0.9 million, proceeds from the exercise of options of $0.3 million, partially offset by the payment of the NeoGraft earn-out liability of $0.1 million.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4" w:name="page45"/>
    <w:bookmarkEnd w:id="44"/>
    <w:p>
      <w:pPr>
        <w:jc w:val="both"/>
        <w:spacing w:after="0" w:line="290" w:lineRule="auto"/>
        <w:rPr>
          <w:sz w:val="20"/>
          <w:szCs w:val="20"/>
          <w:color w:val="auto"/>
        </w:rPr>
      </w:pPr>
      <w:r>
        <w:rPr>
          <w:rFonts w:ascii="Arial" w:cs="Arial" w:eastAsia="Arial" w:hAnsi="Arial"/>
          <w:sz w:val="16"/>
          <w:szCs w:val="16"/>
          <w:color w:val="auto"/>
        </w:rPr>
        <w:t>In the nine months ended September 30, 2020, cash provided by financing activities consisted primarily of net proceeds from issuance of shares of common stock to Lincoln Park of $6.2 million, proceeds from the exercise of options of $0.1 million, net proceeds from the 2020 Private Placement of $20.3 million and proceeds from government assistance loans of $4.1 million partially offset by repayment of $3.9 million under the Credit Facility, payment of dividends from a subsidiary to a non-controlling interest of $0.2 million and payment of the NeoGraft earn-out liability of $0.5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premises and those of our subsidiaries are leased under various operating lease agreements, which expire on various dates.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September 30, 2021, we had non-cancellable purchase orders placed with our contract manufacturers in the amount of $24.5 million. In addition, as of September 30, 2021, we had $2.9 million of open purchase orders that can be cancelled with 270 days’ notice, except for a portion equal to 15% of the total amount representing the purchase of “long lead items”.</w:t>
      </w:r>
    </w:p>
    <w:p>
      <w:pPr>
        <w:spacing w:after="0" w:line="18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table summarizes our contractual obligations as of September 30, 2021, which represent material expected or contractually committed future obligations.</w:t>
      </w:r>
    </w:p>
    <w:p>
      <w:pPr>
        <w:spacing w:after="0" w:line="249"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2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0"/>
              </w:rPr>
              <w:t>Payments Due by Period</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Less than 1</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2 to 3 Years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4 to 5 Years</w:t>
            </w:r>
          </w:p>
        </w:tc>
        <w:tc>
          <w:tcPr>
            <w:tcW w:w="100" w:type="dxa"/>
            <w:vAlign w:val="bottom"/>
          </w:tcPr>
          <w:p>
            <w:pPr>
              <w:spacing w:after="0"/>
              <w:rPr>
                <w:sz w:val="11"/>
                <w:szCs w:val="11"/>
                <w:color w:val="auto"/>
              </w:rPr>
            </w:pPr>
          </w:p>
        </w:tc>
        <w:tc>
          <w:tcPr>
            <w:tcW w:w="10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More than 5</w:t>
            </w:r>
          </w:p>
        </w:tc>
        <w:tc>
          <w:tcPr>
            <w:tcW w:w="160" w:type="dxa"/>
            <w:vAlign w:val="bottom"/>
          </w:tcPr>
          <w:p>
            <w:pPr>
              <w:spacing w:after="0"/>
              <w:rPr>
                <w:sz w:val="11"/>
                <w:szCs w:val="11"/>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5"/>
          </w:tcPr>
          <w:p>
            <w:pPr>
              <w:jc w:val="center"/>
              <w:spacing w:after="0" w:line="151" w:lineRule="exact"/>
              <w:rPr>
                <w:sz w:val="20"/>
                <w:szCs w:val="20"/>
                <w:color w:val="auto"/>
              </w:rPr>
            </w:pPr>
            <w:r>
              <w:rPr>
                <w:rFonts w:ascii="Arial" w:cs="Arial" w:eastAsia="Arial" w:hAnsi="Arial"/>
                <w:sz w:val="14"/>
                <w:szCs w:val="14"/>
                <w:b w:val="1"/>
                <w:bCs w:val="1"/>
                <w:i w:val="1"/>
                <w:iCs w:val="1"/>
                <w:color w:val="auto"/>
                <w:w w:val="87"/>
              </w:rPr>
              <w:t>(dollars in thousands)</w:t>
            </w: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Debt obligations, including interest</w:t>
            </w:r>
          </w:p>
        </w:tc>
        <w:tc>
          <w:tcPr>
            <w:tcW w:w="6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14,633</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Operating leases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Purchase and service commitments</w:t>
            </w: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24,939</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29,511</w:t>
            </w:r>
          </w:p>
        </w:tc>
        <w:tc>
          <w:tcPr>
            <w:tcW w:w="16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16,527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75,759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123,074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25, 2021, we entered into an endorsement agreement for the services of Venus Williams, four-time Olympic Gold Medalist, seven-time Grand Slam Champion and entrepreneur, pursuant to which Ms. Williams will act as a brand ambassador for Venus Bliss.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an additional description of our commitments see Note 8, “Commitments and Contingencies” to the unaudited condensed consolidated financial statements included elsewhere in this Quarterly Report on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significant accounting policies are more fully described in Note 2 to the audited consolidated financial statements included in our Annual Report filed on Form 10-K for the year ended December 31, 2020. We believe that the assumptions and estimates associated with stock-based compensation, goodwill impairment, allowance for doubtful accounts, revenue recognition, accrual for severance and income taxes have the most significant impact on our unaudited condensed consolidated financial statements, and therefore, consider these to be our critical accounting policies and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generate revenue from (1) sales of systems through our subscription model, traditional system sales to customers and distributors, (2) other product revenues from the sale of ARTAS procedure kits, marketing supplies and kits, consumables and (3) service revenue from the sale of our VeroGrafters technician services, and our extended warranty service contracts provided to existing customers.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5" w:name="page46"/>
    <w:bookmarkEnd w:id="45"/>
    <w:p>
      <w:pPr>
        <w:jc w:val="both"/>
        <w:spacing w:after="0" w:line="249" w:lineRule="auto"/>
        <w:rPr>
          <w:sz w:val="20"/>
          <w:szCs w:val="20"/>
          <w:color w:val="auto"/>
        </w:rPr>
      </w:pPr>
      <w:r>
        <w:rPr>
          <w:rFonts w:ascii="Arial" w:cs="Arial" w:eastAsia="Arial" w:hAnsi="Arial"/>
          <w:sz w:val="18"/>
          <w:szCs w:val="18"/>
          <w:color w:val="auto"/>
        </w:rPr>
        <w:t>We recognize revenues on other products and services in accordance with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record our revenue net of sales tax and shipping and handling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Long-term receivables relate to revenue from our subscription agreements or other contracts which stipulate payment terms exceeding one year. They are comprised of the unpaid principal balance, net of the allowance for doubtful accounts. These receivables have been discounted based on the implicit interest rate in the subscription lease which ranged between 8% to 9% for the nine months ended September 30, 2021 and September 30, 2020, respectively. Unearned interest revenue represents the interest-only portion of the respective subscription payments and will be recognized in income over the respective payment term as it is earned.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1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allowance for doubtful accounts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accrual</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account for stock-based compensation costs in accordance with the accounting standards for stock-based compensation, which require that all stock-based payments to employees be recognized in the unaudited condensed consolidated statements of operations based on their fair values.</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in U.S. dollars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unaudited condensed consolidated statement of operations as they arise.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See Note 2 to our unaudited condensed consolidated financial statements included elsewhere in this Quarterly Report on Form 10-Q for recently issued accounting pronouncements not yet adopted as of the date of this Quarterly Report on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disclosure for this Item.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September 30, 2021,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September 30,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September 30,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material changes in our internal control over financial reporting during the three and nine months ended September 30, 2021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Quarterly Report on Form 10-Q does not include an attestation report of our registered public accounting firm due to a transition period established by rules of the SEC for “emerging growth companies.”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ordinary course of our operations, we become involved in ordinary routine litigation incidental to the business. Material proceedings are described under Note 8, “Commitments and Contingencies” to the unaudited condensed consolidated financial statements included elsewhere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231F20"/>
        </w:rPr>
        <w:t xml:space="preserve">Our operations and financial results are subject to various risk and uncertainties, including those described below and the risk factors described under Part I, Item 1A. “Risk Factors” in our latest Form 10-K for the year ended December 31, 2020,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“Management’s Discussion and Analysis of Financial Condition and Results of Operations”, included herein, and the risk factors previously disclosed in Part II Item 1A,“Risk Factors” in our Forms 10-Q for the quarters ended March 31, 2021 and June 30, 2021, respectively, </w:t>
      </w:r>
      <w:r>
        <w:rPr>
          <w:rFonts w:ascii="Arial" w:cs="Arial" w:eastAsia="Arial" w:hAnsi="Arial"/>
          <w:sz w:val="16"/>
          <w:szCs w:val="16"/>
          <w:i w:val="1"/>
          <w:iCs w:val="1"/>
          <w:color w:val="000000"/>
        </w:rPr>
        <w:t>which are incorporated by reference herein</w:t>
      </w:r>
      <w:r>
        <w:rPr>
          <w:rFonts w:ascii="Arial" w:cs="Arial" w:eastAsia="Arial" w:hAnsi="Arial"/>
          <w:sz w:val="16"/>
          <w:szCs w:val="16"/>
          <w:i w:val="1"/>
          <w:iCs w:val="1"/>
          <w:color w:val="231F20"/>
        </w:rPr>
        <w:t xml:space="preserve"> and Part I, Item 1A. “Risk Factors” in our Form 10-K for the year ended December 31, 2020.</w:t>
      </w:r>
    </w:p>
    <w:p>
      <w:pPr>
        <w:spacing w:after="0" w:line="16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For the nine months ended September 30, 2021 and 2020, approximately 56% and 57%, respectively, of our system revenues were derived from our subscription-based model. Although the ARTAS system is not available under our subscription-based model, we expect our subscription-based business to continue to represent the majority of our revenue for the foreseeable future. We collect an up-front fee, combined with a monthly payment schedule typically over a period of 36 months, with approximately 40% to 45% of total contract value collected in the first year. For accounting purposes, these arrangements are considered sales-type finance leases, where the present value of all cash flows to be received under the subscription agreement is recognized as revenue upon shipment of the system to the customer. As part of our sales and marketing effort, we do not generally require our customers to undergo a formal credit check as is typically required with third-party equipment lease financing. Instead, to ensure that each monthly installment is made on time and that customers’ systems are serviced in accordance with the terms of the warranty, every system requires a monthly activation code, which we provide upon receiving each monthly installment. If a customer does not timely pay a monthly installment, the customer will not receive an activation code and will be unable to use the system. Because this process does not protect us from the economic impact of a customer’s failure to make its monthly payments, our current practice is to maintain a purchase money security interest over the devices sold, which affords us with priority as a secured creditor and entitles us to certain rights of recovery of the device in the event of a customer default or bankruptcy. We cannot provide any assurance that the financial position of customers purchasing products and services under a subscription agreement will not change adversely before we receive all monthly installments due under the contract. As a result of the global economic turmoil that has resulted from COVID-19, many of our customers experienced difficulty in making timely payments, or payments at all, under their subscription agreements which resulted in higher than anticipated bad debt expense over the course of fiscal year 2020 and the first quarter of fiscal year 2021. Despite the recent improvements we have seen in our collection and bad debt recovery experience as the business activities of our customers continue to recover, we cannot assure you that our customers will resume payments under their subscription agreements or that we will not experience customer defaults even after local economies fully reopen for business. In the event that there is a default by any customer to whom we have sold products and/or services under subscription agreement, we may recognize bad debt expenses in our general and administrative expenses. If this bad debt expense is material, it could negatively affect our results of operations and operating cash flows.</w:t>
      </w:r>
    </w:p>
    <w:p>
      <w:pPr>
        <w:spacing w:after="0" w:line="18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Risks related to our ability to manufacture and/or sell our products may be impaired by disruption to our manufacturing, warehousing or distribution capabilities, or to the capabilities of our suppliers, contract manufacturers, logistics service providers or independent distributors.</w:t>
      </w:r>
    </w:p>
    <w:p>
      <w:pPr>
        <w:spacing w:after="0" w:line="13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maintains manufacturing operations at its facilities in San Jose, California and Yokneam, Israel. We rely on third-party suppliers and manufacturers in various countries to produce components and provide raw materials used in the manufacturing of our products. The pandemic has resulted in significant governmental measures being implemented to control the spread of the virus, including, among others, restrictions on manufacturing and the movement of employees in many regions. As a result of COVID-19 and the measures designed to contain the spread of the virus, our third-party suppliers and manufacturers may not have the materials, capacity, or capability to manufacture our products according to our schedule and specifications and we may need to seek alternate supply and/or manufacturing sources, which may be more expensive. Alternate sources may not be available or may result in delays in shipments to us from our supply chain and subsequently to our customers, each of which would affect our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Unregistered Sales of Equity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231F20"/>
        </w:rPr>
        <w:t xml:space="preserve">There were no unregistered securities issued and sold during the three and nine months ended </w:t>
      </w:r>
      <w:r>
        <w:rPr>
          <w:rFonts w:ascii="Arial" w:cs="Arial" w:eastAsia="Arial" w:hAnsi="Arial"/>
          <w:sz w:val="15"/>
          <w:szCs w:val="15"/>
          <w:color w:val="000000"/>
        </w:rPr>
        <w:t>September 30</w:t>
      </w:r>
      <w:r>
        <w:rPr>
          <w:rFonts w:ascii="Arial" w:cs="Arial" w:eastAsia="Arial" w:hAnsi="Arial"/>
          <w:sz w:val="15"/>
          <w:szCs w:val="15"/>
          <w:color w:val="231F20"/>
        </w:rPr>
        <w:t>,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Use of Proceeds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Issuer Purchases of Equity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31F20"/>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331" w:right="1440" w:bottom="1440" w:gutter="0" w:footer="0" w:header="0"/>
        </w:sectPr>
      </w:pPr>
    </w:p>
    <w:bookmarkStart w:id="49" w:name="page50"/>
    <w:bookmarkEnd w:id="49"/>
    <w:p>
      <w:pPr>
        <w:ind w:left="180"/>
        <w:spacing w:after="0"/>
        <w:rPr>
          <w:sz w:val="20"/>
          <w:szCs w:val="20"/>
          <w:color w:val="auto"/>
        </w:rPr>
      </w:pPr>
      <w:r>
        <w:rPr>
          <w:rFonts w:ascii="Arial" w:cs="Arial" w:eastAsia="Arial" w:hAnsi="Arial"/>
          <w:sz w:val="18"/>
          <w:szCs w:val="18"/>
          <w:b w:val="1"/>
          <w:bCs w:val="1"/>
          <w:color w:val="231F20"/>
        </w:rPr>
        <w:t>ITEM 6.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60" w:type="dxa"/>
            <w:vAlign w:val="bottom"/>
            <w:gridSpan w:val="14"/>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center"/>
              <w:ind w:left="170"/>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6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14"/>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ind w:left="130"/>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74"/>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660" w:type="dxa"/>
            <w:vAlign w:val="bottom"/>
            <w:tcBorders>
              <w:bottom w:val="single" w:sz="8" w:color="0000EE"/>
            </w:tcBorders>
            <w:gridSpan w:val="6"/>
          </w:tcPr>
          <w:p>
            <w:pPr>
              <w:spacing w:after="0"/>
              <w:rPr>
                <w:rFonts w:ascii="Arial" w:cs="Arial" w:eastAsia="Arial" w:hAnsi="Arial"/>
                <w:sz w:val="18"/>
                <w:szCs w:val="18"/>
                <w:color w:val="0000EE"/>
                <w:w w:val="88"/>
              </w:rPr>
            </w:pPr>
            <w:hyperlink r:id="rId79">
              <w:r>
                <w:rPr>
                  <w:rFonts w:ascii="Arial" w:cs="Arial" w:eastAsia="Arial" w:hAnsi="Arial"/>
                  <w:sz w:val="18"/>
                  <w:szCs w:val="18"/>
                  <w:color w:val="0000EE"/>
                  <w:w w:val="88"/>
                </w:rPr>
                <w:t>Amended and Restated Certificate of Incorporation of Restoration Robotics, Inc.</w:t>
              </w:r>
            </w:hyperlink>
          </w:p>
        </w:tc>
        <w:tc>
          <w:tcPr>
            <w:tcW w:w="840" w:type="dxa"/>
            <w:vAlign w:val="bottom"/>
            <w:gridSpan w:val="10"/>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10-17-17</w:t>
            </w:r>
          </w:p>
        </w:tc>
        <w:tc>
          <w:tcPr>
            <w:tcW w:w="880" w:type="dxa"/>
            <w:vAlign w:val="bottom"/>
          </w:tcPr>
          <w:p>
            <w:pPr>
              <w:jc w:val="center"/>
              <w:ind w:left="94"/>
              <w:spacing w:after="0"/>
              <w:rPr>
                <w:sz w:val="20"/>
                <w:szCs w:val="20"/>
                <w:color w:val="auto"/>
              </w:rPr>
            </w:pPr>
            <w:r>
              <w:rPr>
                <w:rFonts w:ascii="Arial" w:cs="Arial" w:eastAsia="Arial" w:hAnsi="Arial"/>
                <w:sz w:val="18"/>
                <w:szCs w:val="18"/>
                <w:color w:val="auto"/>
                <w:w w:val="87"/>
              </w:rPr>
              <w:t>3.1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060" w:type="dxa"/>
            <w:vAlign w:val="bottom"/>
            <w:tcBorders>
              <w:bottom w:val="single" w:sz="8" w:color="0000EE"/>
            </w:tcBorders>
            <w:gridSpan w:val="8"/>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Certificate of Amendment of Certificate of Incorporation of Restoration Robotics, Inc.</w:t>
              </w:r>
            </w:hyperlink>
          </w:p>
        </w:tc>
        <w:tc>
          <w:tcPr>
            <w:tcW w:w="440" w:type="dxa"/>
            <w:vAlign w:val="bottom"/>
            <w:gridSpan w:val="8"/>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11-7-19</w:t>
            </w:r>
          </w:p>
        </w:tc>
        <w:tc>
          <w:tcPr>
            <w:tcW w:w="880" w:type="dxa"/>
            <w:vAlign w:val="bottom"/>
          </w:tcPr>
          <w:p>
            <w:pPr>
              <w:jc w:val="center"/>
              <w:ind w:left="94"/>
              <w:spacing w:after="0"/>
              <w:rPr>
                <w:sz w:val="20"/>
                <w:szCs w:val="20"/>
                <w:color w:val="auto"/>
              </w:rPr>
            </w:pPr>
            <w:r>
              <w:rPr>
                <w:rFonts w:ascii="Arial" w:cs="Arial" w:eastAsia="Arial" w:hAnsi="Arial"/>
                <w:sz w:val="18"/>
                <w:szCs w:val="18"/>
                <w:color w:val="auto"/>
                <w:w w:val="87"/>
              </w:rPr>
              <w:t>3.1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6500" w:type="dxa"/>
            <w:vAlign w:val="bottom"/>
            <w:gridSpan w:val="16"/>
          </w:tcPr>
          <w:p>
            <w:pPr>
              <w:spacing w:after="0"/>
              <w:rPr>
                <w:rFonts w:ascii="Arial" w:cs="Arial" w:eastAsia="Arial" w:hAnsi="Arial"/>
                <w:sz w:val="18"/>
                <w:szCs w:val="18"/>
                <w:color w:val="0000EE"/>
              </w:rPr>
            </w:pPr>
            <w:hyperlink r:id="rId81">
              <w:r>
                <w:rPr>
                  <w:rFonts w:ascii="Arial" w:cs="Arial" w:eastAsia="Arial" w:hAnsi="Arial"/>
                  <w:sz w:val="18"/>
                  <w:szCs w:val="18"/>
                  <w:color w:val="0000EE"/>
                </w:rPr>
                <w:t>Second Amended and Restated Bylaws of Venus Concept Inc.</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11-7-19</w:t>
            </w:r>
          </w:p>
        </w:tc>
        <w:tc>
          <w:tcPr>
            <w:tcW w:w="880" w:type="dxa"/>
            <w:vAlign w:val="bottom"/>
          </w:tcPr>
          <w:p>
            <w:pPr>
              <w:jc w:val="center"/>
              <w:ind w:left="94"/>
              <w:spacing w:after="0"/>
              <w:rPr>
                <w:sz w:val="20"/>
                <w:szCs w:val="20"/>
                <w:color w:val="auto"/>
              </w:rPr>
            </w:pPr>
            <w:r>
              <w:rPr>
                <w:rFonts w:ascii="Arial" w:cs="Arial" w:eastAsia="Arial" w:hAnsi="Arial"/>
                <w:sz w:val="18"/>
                <w:szCs w:val="18"/>
                <w:color w:val="auto"/>
                <w:w w:val="87"/>
              </w:rPr>
              <w:t>3.2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140" w:type="dxa"/>
            <w:vAlign w:val="bottom"/>
          </w:tcPr>
          <w:p>
            <w:pPr>
              <w:spacing w:after="0"/>
              <w:rPr>
                <w:sz w:val="24"/>
                <w:szCs w:val="24"/>
                <w:color w:val="auto"/>
              </w:rPr>
            </w:pPr>
          </w:p>
        </w:tc>
        <w:tc>
          <w:tcPr>
            <w:tcW w:w="6500" w:type="dxa"/>
            <w:vAlign w:val="bottom"/>
            <w:gridSpan w:val="16"/>
          </w:tcPr>
          <w:p>
            <w:pPr>
              <w:spacing w:after="0"/>
              <w:rPr>
                <w:rFonts w:ascii="Arial" w:cs="Arial" w:eastAsia="Arial" w:hAnsi="Arial"/>
                <w:sz w:val="18"/>
                <w:szCs w:val="18"/>
                <w:color w:val="0000EE"/>
                <w:w w:val="94"/>
              </w:rPr>
            </w:pPr>
            <w:hyperlink r:id="rId82">
              <w:r>
                <w:rPr>
                  <w:rFonts w:ascii="Arial" w:cs="Arial" w:eastAsia="Arial" w:hAnsi="Arial"/>
                  <w:sz w:val="18"/>
                  <w:szCs w:val="18"/>
                  <w:color w:val="0000EE"/>
                  <w:w w:val="94"/>
                </w:rPr>
                <w:t>Fourth Amended and Restated Loan Agreement, dated as of August 26, 2021, by and</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08-30-21</w:t>
            </w:r>
          </w:p>
        </w:tc>
        <w:tc>
          <w:tcPr>
            <w:tcW w:w="880" w:type="dxa"/>
            <w:vAlign w:val="bottom"/>
          </w:tcPr>
          <w:p>
            <w:pPr>
              <w:jc w:val="center"/>
              <w:ind w:left="74"/>
              <w:spacing w:after="0"/>
              <w:rPr>
                <w:sz w:val="20"/>
                <w:szCs w:val="20"/>
                <w:color w:val="auto"/>
              </w:rPr>
            </w:pPr>
            <w:r>
              <w:rPr>
                <w:rFonts w:ascii="Arial" w:cs="Arial" w:eastAsia="Arial" w:hAnsi="Arial"/>
                <w:sz w:val="18"/>
                <w:szCs w:val="18"/>
                <w:color w:val="auto"/>
                <w:w w:val="91"/>
              </w:rPr>
              <w:t>10.1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240" w:type="dxa"/>
            <w:vAlign w:val="bottom"/>
            <w:tcBorders>
              <w:bottom w:val="single" w:sz="8" w:color="0000EE"/>
            </w:tcBorders>
            <w:gridSpan w:val="13"/>
          </w:tcPr>
          <w:p>
            <w:pPr>
              <w:spacing w:after="0" w:line="190" w:lineRule="exact"/>
              <w:rPr>
                <w:rFonts w:ascii="Arial" w:cs="Arial" w:eastAsia="Arial" w:hAnsi="Arial"/>
                <w:sz w:val="18"/>
                <w:szCs w:val="18"/>
                <w:color w:val="0000EE"/>
                <w:w w:val="86"/>
              </w:rPr>
            </w:pPr>
            <w:hyperlink r:id="rId82">
              <w:r>
                <w:rPr>
                  <w:rFonts w:ascii="Arial" w:cs="Arial" w:eastAsia="Arial" w:hAnsi="Arial"/>
                  <w:sz w:val="18"/>
                  <w:szCs w:val="18"/>
                  <w:color w:val="0000EE"/>
                  <w:w w:val="86"/>
                </w:rPr>
                <w:t>among Venus Concept USA Inc., Venus Concept Canada Corp., Venus Concept Inc., and</w:t>
              </w:r>
            </w:hyperlink>
          </w:p>
        </w:tc>
        <w:tc>
          <w:tcPr>
            <w:tcW w:w="260" w:type="dxa"/>
            <w:vAlign w:val="bottom"/>
            <w:gridSpan w:val="3"/>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85"/>
              </w:rPr>
              <w:t>10.1</w:t>
            </w:r>
          </w:p>
        </w:tc>
        <w:tc>
          <w:tcPr>
            <w:tcW w:w="6500" w:type="dxa"/>
            <w:vAlign w:val="bottom"/>
            <w:gridSpan w:val="16"/>
          </w:tcPr>
          <w:p>
            <w:pPr>
              <w:spacing w:after="0" w:line="190" w:lineRule="exact"/>
              <w:rPr>
                <w:rFonts w:ascii="Arial" w:cs="Arial" w:eastAsia="Arial" w:hAnsi="Arial"/>
                <w:sz w:val="18"/>
                <w:szCs w:val="18"/>
                <w:color w:val="0000EE"/>
              </w:rPr>
            </w:pPr>
            <w:hyperlink r:id="rId82">
              <w:r>
                <w:rPr>
                  <w:rFonts w:ascii="Arial" w:cs="Arial" w:eastAsia="Arial" w:hAnsi="Arial"/>
                  <w:sz w:val="18"/>
                  <w:szCs w:val="18"/>
                  <w:color w:val="0000EE"/>
                </w:rPr>
                <w:t>City National Bank of Florida.</w:t>
              </w:r>
            </w:hyperlink>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140" w:type="dxa"/>
            <w:vAlign w:val="bottom"/>
          </w:tcPr>
          <w:p>
            <w:pPr>
              <w:spacing w:after="0"/>
              <w:rPr>
                <w:sz w:val="24"/>
                <w:szCs w:val="24"/>
                <w:color w:val="auto"/>
              </w:rPr>
            </w:pPr>
          </w:p>
        </w:tc>
        <w:tc>
          <w:tcPr>
            <w:tcW w:w="6500" w:type="dxa"/>
            <w:vAlign w:val="bottom"/>
            <w:gridSpan w:val="16"/>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Fourth Amended and Restated Guaranty of Payment and Performance, dated as of August</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08-30-21</w:t>
            </w:r>
          </w:p>
        </w:tc>
        <w:tc>
          <w:tcPr>
            <w:tcW w:w="880" w:type="dxa"/>
            <w:vAlign w:val="bottom"/>
          </w:tcPr>
          <w:p>
            <w:pPr>
              <w:jc w:val="center"/>
              <w:ind w:left="74"/>
              <w:spacing w:after="0"/>
              <w:rPr>
                <w:sz w:val="20"/>
                <w:szCs w:val="20"/>
                <w:color w:val="auto"/>
              </w:rPr>
            </w:pPr>
            <w:r>
              <w:rPr>
                <w:rFonts w:ascii="Arial" w:cs="Arial" w:eastAsia="Arial" w:hAnsi="Arial"/>
                <w:sz w:val="18"/>
                <w:szCs w:val="18"/>
                <w:color w:val="auto"/>
                <w:w w:val="91"/>
              </w:rPr>
              <w:t>10.2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85"/>
              </w:rPr>
              <w:t>10.2</w:t>
            </w:r>
          </w:p>
        </w:tc>
        <w:tc>
          <w:tcPr>
            <w:tcW w:w="5280" w:type="dxa"/>
            <w:vAlign w:val="bottom"/>
            <w:tcBorders>
              <w:top w:val="single" w:sz="8" w:color="0000EE"/>
              <w:bottom w:val="single" w:sz="8" w:color="0000EE"/>
            </w:tcBorders>
            <w:gridSpan w:val="5"/>
          </w:tcPr>
          <w:p>
            <w:pPr>
              <w:spacing w:after="0" w:line="190"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26, 2021, by Venus Concept Ltd. in favor of City National Bank of Florida.</w:t>
              </w:r>
            </w:hyperlink>
          </w:p>
        </w:tc>
        <w:tc>
          <w:tcPr>
            <w:tcW w:w="1020" w:type="dxa"/>
            <w:vAlign w:val="bottom"/>
            <w:tcBorders>
              <w:top w:val="single" w:sz="8" w:color="0000EE"/>
            </w:tcBorders>
            <w:gridSpan w:val="10"/>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6120" w:type="dxa"/>
            <w:vAlign w:val="bottom"/>
            <w:tcBorders>
              <w:bottom w:val="single" w:sz="8" w:color="0000EE"/>
            </w:tcBorders>
            <w:gridSpan w:val="10"/>
          </w:tcPr>
          <w:p>
            <w:pPr>
              <w:spacing w:after="0"/>
              <w:rPr>
                <w:rFonts w:ascii="Arial" w:cs="Arial" w:eastAsia="Arial" w:hAnsi="Arial"/>
                <w:sz w:val="18"/>
                <w:szCs w:val="18"/>
                <w:color w:val="0000EE"/>
                <w:w w:val="87"/>
              </w:rPr>
            </w:pPr>
            <w:hyperlink r:id="rId84">
              <w:r>
                <w:rPr>
                  <w:rFonts w:ascii="Arial" w:cs="Arial" w:eastAsia="Arial" w:hAnsi="Arial"/>
                  <w:sz w:val="18"/>
                  <w:szCs w:val="18"/>
                  <w:color w:val="0000EE"/>
                  <w:w w:val="87"/>
                </w:rPr>
                <w:t>Third Amended and Restated Security Agreement, dated as of August 26, 2021, by and</w:t>
              </w:r>
            </w:hyperlink>
          </w:p>
        </w:tc>
        <w:tc>
          <w:tcPr>
            <w:tcW w:w="380" w:type="dxa"/>
            <w:vAlign w:val="bottom"/>
            <w:gridSpan w:val="6"/>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08-30-21</w:t>
            </w:r>
          </w:p>
        </w:tc>
        <w:tc>
          <w:tcPr>
            <w:tcW w:w="880" w:type="dxa"/>
            <w:vAlign w:val="bottom"/>
          </w:tcPr>
          <w:p>
            <w:pPr>
              <w:jc w:val="center"/>
              <w:ind w:left="74"/>
              <w:spacing w:after="0"/>
              <w:rPr>
                <w:sz w:val="20"/>
                <w:szCs w:val="20"/>
                <w:color w:val="auto"/>
              </w:rPr>
            </w:pPr>
            <w:r>
              <w:rPr>
                <w:rFonts w:ascii="Arial" w:cs="Arial" w:eastAsia="Arial" w:hAnsi="Arial"/>
                <w:sz w:val="18"/>
                <w:szCs w:val="18"/>
                <w:color w:val="auto"/>
                <w:w w:val="91"/>
              </w:rPr>
              <w:t>10.3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85"/>
              </w:rPr>
              <w:t>10.3</w:t>
            </w:r>
          </w:p>
        </w:tc>
        <w:tc>
          <w:tcPr>
            <w:tcW w:w="6500" w:type="dxa"/>
            <w:vAlign w:val="bottom"/>
            <w:gridSpan w:val="16"/>
          </w:tcPr>
          <w:p>
            <w:pPr>
              <w:spacing w:after="0" w:line="190"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among Venus Concept Inc., Venus Concept USA Inc., and City National Bank of Florida.</w:t>
              </w:r>
            </w:hyperlink>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6260" w:type="dxa"/>
            <w:vAlign w:val="bottom"/>
            <w:tcBorders>
              <w:top w:val="single" w:sz="8" w:color="0000EE"/>
            </w:tcBorders>
            <w:gridSpan w:val="14"/>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Fifth Amended and Restated Revolving Promissory Note, dated as of August 26, 2021,</w:t>
              </w:r>
            </w:hyperlink>
          </w:p>
        </w:tc>
        <w:tc>
          <w:tcPr>
            <w:tcW w:w="240" w:type="dxa"/>
            <w:vAlign w:val="bottom"/>
            <w:gridSpan w:val="2"/>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08-30-21</w:t>
            </w:r>
          </w:p>
        </w:tc>
        <w:tc>
          <w:tcPr>
            <w:tcW w:w="880" w:type="dxa"/>
            <w:vAlign w:val="bottom"/>
          </w:tcPr>
          <w:p>
            <w:pPr>
              <w:jc w:val="center"/>
              <w:ind w:left="74"/>
              <w:spacing w:after="0"/>
              <w:rPr>
                <w:sz w:val="20"/>
                <w:szCs w:val="20"/>
                <w:color w:val="auto"/>
              </w:rPr>
            </w:pPr>
            <w:r>
              <w:rPr>
                <w:rFonts w:ascii="Arial" w:cs="Arial" w:eastAsia="Arial" w:hAnsi="Arial"/>
                <w:sz w:val="18"/>
                <w:szCs w:val="18"/>
                <w:color w:val="auto"/>
                <w:w w:val="91"/>
              </w:rPr>
              <w:t>10.4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220" w:type="dxa"/>
            <w:vAlign w:val="bottom"/>
            <w:tcBorders>
              <w:bottom w:val="single" w:sz="8" w:color="0000EE"/>
            </w:tcBorders>
            <w:gridSpan w:val="12"/>
          </w:tcPr>
          <w:p>
            <w:pPr>
              <w:spacing w:after="0" w:line="190" w:lineRule="exact"/>
              <w:rPr>
                <w:rFonts w:ascii="Arial" w:cs="Arial" w:eastAsia="Arial" w:hAnsi="Arial"/>
                <w:sz w:val="18"/>
                <w:szCs w:val="18"/>
                <w:color w:val="0000EE"/>
                <w:w w:val="87"/>
              </w:rPr>
            </w:pPr>
            <w:hyperlink r:id="rId85">
              <w:r>
                <w:rPr>
                  <w:rFonts w:ascii="Arial" w:cs="Arial" w:eastAsia="Arial" w:hAnsi="Arial"/>
                  <w:sz w:val="18"/>
                  <w:szCs w:val="18"/>
                  <w:color w:val="0000EE"/>
                  <w:w w:val="87"/>
                </w:rPr>
                <w:t>by Venus Concept USA Inc., Venus Concept Canada Corp., Venus Concept Inc., in favor</w:t>
              </w:r>
            </w:hyperlink>
          </w:p>
        </w:tc>
        <w:tc>
          <w:tcPr>
            <w:tcW w:w="280" w:type="dxa"/>
            <w:vAlign w:val="bottom"/>
            <w:gridSpan w:val="4"/>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85"/>
              </w:rPr>
              <w:t>10.4</w:t>
            </w:r>
          </w:p>
        </w:tc>
        <w:tc>
          <w:tcPr>
            <w:tcW w:w="2340" w:type="dxa"/>
            <w:vAlign w:val="bottom"/>
            <w:tcBorders>
              <w:bottom w:val="single" w:sz="8" w:color="0000EE"/>
            </w:tcBorders>
            <w:gridSpan w:val="2"/>
          </w:tcPr>
          <w:p>
            <w:pPr>
              <w:spacing w:after="0" w:line="190"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of City National Bank of Florida.</w:t>
              </w:r>
            </w:hyperlink>
          </w:p>
        </w:tc>
        <w:tc>
          <w:tcPr>
            <w:tcW w:w="4160" w:type="dxa"/>
            <w:vAlign w:val="bottom"/>
            <w:gridSpan w:val="14"/>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6500" w:type="dxa"/>
            <w:vAlign w:val="bottom"/>
            <w:gridSpan w:val="16"/>
          </w:tcPr>
          <w:p>
            <w:pPr>
              <w:spacing w:after="0"/>
              <w:rPr>
                <w:rFonts w:ascii="Arial" w:cs="Arial" w:eastAsia="Arial" w:hAnsi="Arial"/>
                <w:sz w:val="18"/>
                <w:szCs w:val="18"/>
                <w:color w:val="0000EE"/>
                <w:w w:val="93"/>
              </w:rPr>
            </w:pPr>
            <w:hyperlink r:id="rId86">
              <w:r>
                <w:rPr>
                  <w:rFonts w:ascii="Arial" w:cs="Arial" w:eastAsia="Arial" w:hAnsi="Arial"/>
                  <w:sz w:val="18"/>
                  <w:szCs w:val="18"/>
                  <w:color w:val="0000EE"/>
                  <w:w w:val="93"/>
                </w:rPr>
                <w:t>Supplement to Subordination of Debts Agreement, dated as of August 26, 2021, by and</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08-30-21</w:t>
            </w:r>
          </w:p>
        </w:tc>
        <w:tc>
          <w:tcPr>
            <w:tcW w:w="880" w:type="dxa"/>
            <w:vAlign w:val="bottom"/>
          </w:tcPr>
          <w:p>
            <w:pPr>
              <w:jc w:val="center"/>
              <w:ind w:left="74"/>
              <w:spacing w:after="0"/>
              <w:rPr>
                <w:sz w:val="20"/>
                <w:szCs w:val="20"/>
                <w:color w:val="auto"/>
              </w:rPr>
            </w:pPr>
            <w:r>
              <w:rPr>
                <w:rFonts w:ascii="Arial" w:cs="Arial" w:eastAsia="Arial" w:hAnsi="Arial"/>
                <w:sz w:val="18"/>
                <w:szCs w:val="18"/>
                <w:color w:val="auto"/>
                <w:w w:val="91"/>
              </w:rPr>
              <w:t>10.5</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262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18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86">
              <w:r>
                <w:rPr>
                  <w:rFonts w:ascii="Arial" w:cs="Arial" w:eastAsia="Arial" w:hAnsi="Arial"/>
                  <w:sz w:val="18"/>
                  <w:szCs w:val="18"/>
                  <w:color w:val="0000EE"/>
                  <w:w w:val="88"/>
                </w:rPr>
                <w:t>among Madryn Health Partners, LP, Madryn Health Partners (Cayman Master), LP, City</w:t>
              </w:r>
            </w:hyperlink>
          </w:p>
        </w:tc>
        <w:tc>
          <w:tcPr>
            <w:tcW w:w="320" w:type="dxa"/>
            <w:vAlign w:val="bottom"/>
            <w:gridSpan w:val="5"/>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85"/>
              </w:rPr>
              <w:t>10.5</w:t>
            </w:r>
          </w:p>
        </w:tc>
        <w:tc>
          <w:tcPr>
            <w:tcW w:w="6500" w:type="dxa"/>
            <w:vAlign w:val="bottom"/>
            <w:gridSpan w:val="16"/>
          </w:tcPr>
          <w:p>
            <w:pPr>
              <w:spacing w:after="0" w:line="190" w:lineRule="exact"/>
              <w:rPr>
                <w:rFonts w:ascii="Arial" w:cs="Arial" w:eastAsia="Arial" w:hAnsi="Arial"/>
                <w:sz w:val="18"/>
                <w:szCs w:val="18"/>
                <w:color w:val="0000EE"/>
              </w:rPr>
            </w:pPr>
            <w:hyperlink r:id="rId86">
              <w:r>
                <w:rPr>
                  <w:rFonts w:ascii="Arial" w:cs="Arial" w:eastAsia="Arial" w:hAnsi="Arial"/>
                  <w:sz w:val="18"/>
                  <w:szCs w:val="18"/>
                  <w:color w:val="0000EE"/>
                </w:rPr>
                <w:t>National Bank of Florida, and Venus Concept Inc.</w:t>
              </w:r>
            </w:hyperlink>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620" w:top="331" w:right="239" w:bottom="1440" w:gutter="0" w:footer="0" w:header="0"/>
        </w:sectPr>
      </w:pPr>
    </w:p>
    <w:p>
      <w:pPr>
        <w:spacing w:after="0" w:line="40"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00" w:type="dxa"/>
            <w:vAlign w:val="bottom"/>
          </w:tcPr>
          <w:p>
            <w:pPr>
              <w:jc w:val="center"/>
              <w:ind w:right="152"/>
              <w:spacing w:after="0"/>
              <w:rPr>
                <w:sz w:val="20"/>
                <w:szCs w:val="20"/>
                <w:color w:val="auto"/>
              </w:rPr>
            </w:pPr>
            <w:r>
              <w:rPr>
                <w:rFonts w:ascii="Arial" w:cs="Arial" w:eastAsia="Arial" w:hAnsi="Arial"/>
                <w:sz w:val="18"/>
                <w:szCs w:val="18"/>
                <w:color w:val="auto"/>
                <w:w w:val="85"/>
              </w:rPr>
              <w:t>31.1</w:t>
            </w:r>
          </w:p>
        </w:tc>
        <w:tc>
          <w:tcPr>
            <w:tcW w:w="60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Certification of Principal Executive Officer Pursuant to Rules 13a-14(a) and 15d-14(a)</w:t>
              </w:r>
            </w:hyperlink>
          </w:p>
        </w:tc>
      </w:tr>
      <w:tr>
        <w:trPr>
          <w:trHeight w:val="190"/>
        </w:trPr>
        <w:tc>
          <w:tcPr>
            <w:tcW w:w="900" w:type="dxa"/>
            <w:vAlign w:val="bottom"/>
          </w:tcPr>
          <w:p>
            <w:pPr>
              <w:spacing w:after="0"/>
              <w:rPr>
                <w:sz w:val="16"/>
                <w:szCs w:val="16"/>
                <w:color w:val="auto"/>
              </w:rPr>
            </w:pPr>
          </w:p>
        </w:tc>
        <w:tc>
          <w:tcPr>
            <w:tcW w:w="6080" w:type="dxa"/>
            <w:vAlign w:val="bottom"/>
            <w:gridSpan w:val="8"/>
          </w:tcPr>
          <w:p>
            <w:pPr>
              <w:spacing w:after="0" w:line="190"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under the Securities Exchange Act of 1934, as Adopted Pursuant to Section 302 of the</w:t>
              </w:r>
            </w:hyperlink>
          </w:p>
        </w:tc>
      </w:tr>
      <w:tr>
        <w:trPr>
          <w:trHeight w:val="190"/>
        </w:trPr>
        <w:tc>
          <w:tcPr>
            <w:tcW w:w="900" w:type="dxa"/>
            <w:vAlign w:val="bottom"/>
          </w:tcPr>
          <w:p>
            <w:pPr>
              <w:spacing w:after="0"/>
              <w:rPr>
                <w:sz w:val="16"/>
                <w:szCs w:val="16"/>
                <w:color w:val="auto"/>
              </w:rPr>
            </w:pPr>
          </w:p>
        </w:tc>
        <w:tc>
          <w:tcPr>
            <w:tcW w:w="6040" w:type="dxa"/>
            <w:vAlign w:val="bottom"/>
            <w:tcBorders>
              <w:top w:val="single" w:sz="8" w:color="0000EE"/>
            </w:tcBorders>
            <w:gridSpan w:val="7"/>
          </w:tcPr>
          <w:p>
            <w:pPr>
              <w:spacing w:after="0" w:line="190" w:lineRule="exact"/>
              <w:rPr>
                <w:rFonts w:ascii="Arial" w:cs="Arial" w:eastAsia="Arial" w:hAnsi="Arial"/>
                <w:sz w:val="18"/>
                <w:szCs w:val="18"/>
                <w:color w:val="0000EE"/>
              </w:rPr>
            </w:pPr>
            <w:hyperlink w:anchor="page53">
              <w:r>
                <w:rPr>
                  <w:rFonts w:ascii="Arial" w:cs="Arial" w:eastAsia="Arial" w:hAnsi="Arial"/>
                  <w:sz w:val="18"/>
                  <w:szCs w:val="18"/>
                  <w:color w:val="0000EE"/>
                </w:rPr>
                <w:t>Sarbanes- Oxley Act of 2002.</w:t>
              </w:r>
            </w:hyperlink>
          </w:p>
        </w:tc>
        <w:tc>
          <w:tcPr>
            <w:tcW w:w="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40"/>
        </w:trPr>
        <w:tc>
          <w:tcPr>
            <w:tcW w:w="900" w:type="dxa"/>
            <w:vAlign w:val="bottom"/>
          </w:tcPr>
          <w:p>
            <w:pPr>
              <w:jc w:val="center"/>
              <w:ind w:right="152"/>
              <w:spacing w:after="0"/>
              <w:rPr>
                <w:sz w:val="20"/>
                <w:szCs w:val="20"/>
                <w:color w:val="auto"/>
              </w:rPr>
            </w:pPr>
            <w:r>
              <w:rPr>
                <w:rFonts w:ascii="Arial" w:cs="Arial" w:eastAsia="Arial" w:hAnsi="Arial"/>
                <w:sz w:val="18"/>
                <w:szCs w:val="18"/>
                <w:color w:val="auto"/>
                <w:w w:val="85"/>
              </w:rPr>
              <w:t>31.2</w:t>
            </w:r>
          </w:p>
        </w:tc>
        <w:tc>
          <w:tcPr>
            <w:tcW w:w="6080" w:type="dxa"/>
            <w:vAlign w:val="bottom"/>
            <w:gridSpan w:val="8"/>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Certification of Principal Financial Officer Pursuant to Rules 13a-14(a) and 15d-14(a)</w:t>
              </w:r>
            </w:hyperlink>
          </w:p>
        </w:tc>
      </w:tr>
      <w:tr>
        <w:trPr>
          <w:trHeight w:val="20"/>
        </w:trPr>
        <w:tc>
          <w:tcPr>
            <w:tcW w:w="900" w:type="dxa"/>
            <w:vAlign w:val="bottom"/>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900" w:type="dxa"/>
            <w:vAlign w:val="bottom"/>
          </w:tcPr>
          <w:p>
            <w:pPr>
              <w:spacing w:after="0"/>
              <w:rPr>
                <w:sz w:val="16"/>
                <w:szCs w:val="16"/>
                <w:color w:val="auto"/>
              </w:rPr>
            </w:pPr>
          </w:p>
        </w:tc>
        <w:tc>
          <w:tcPr>
            <w:tcW w:w="6080" w:type="dxa"/>
            <w:vAlign w:val="bottom"/>
            <w:gridSpan w:val="8"/>
          </w:tcPr>
          <w:p>
            <w:pPr>
              <w:spacing w:after="0" w:line="190"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under the Securities Exchange Act of 1934, as Adopted Pursuant to Section 302 of the</w:t>
              </w:r>
            </w:hyperlink>
          </w:p>
        </w:tc>
      </w:tr>
      <w:tr>
        <w:trPr>
          <w:trHeight w:val="190"/>
        </w:trPr>
        <w:tc>
          <w:tcPr>
            <w:tcW w:w="900" w:type="dxa"/>
            <w:vAlign w:val="bottom"/>
          </w:tcPr>
          <w:p>
            <w:pPr>
              <w:spacing w:after="0"/>
              <w:rPr>
                <w:sz w:val="16"/>
                <w:szCs w:val="16"/>
                <w:color w:val="auto"/>
              </w:rPr>
            </w:pPr>
          </w:p>
        </w:tc>
        <w:tc>
          <w:tcPr>
            <w:tcW w:w="6040" w:type="dxa"/>
            <w:vAlign w:val="bottom"/>
            <w:tcBorders>
              <w:top w:val="single" w:sz="8" w:color="0000EE"/>
            </w:tcBorders>
            <w:gridSpan w:val="7"/>
          </w:tcPr>
          <w:p>
            <w:pPr>
              <w:spacing w:after="0" w:line="190" w:lineRule="exact"/>
              <w:rPr>
                <w:rFonts w:ascii="Arial" w:cs="Arial" w:eastAsia="Arial" w:hAnsi="Arial"/>
                <w:sz w:val="18"/>
                <w:szCs w:val="18"/>
                <w:color w:val="0000EE"/>
              </w:rPr>
            </w:pPr>
            <w:hyperlink w:anchor="page55">
              <w:r>
                <w:rPr>
                  <w:rFonts w:ascii="Arial" w:cs="Arial" w:eastAsia="Arial" w:hAnsi="Arial"/>
                  <w:sz w:val="18"/>
                  <w:szCs w:val="18"/>
                  <w:color w:val="0000EE"/>
                </w:rPr>
                <w:t>Sarbanes- Oxley Act of 2002.</w:t>
              </w:r>
            </w:hyperlink>
          </w:p>
        </w:tc>
        <w:tc>
          <w:tcPr>
            <w:tcW w:w="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440"/>
        </w:trPr>
        <w:tc>
          <w:tcPr>
            <w:tcW w:w="900" w:type="dxa"/>
            <w:vAlign w:val="bottom"/>
          </w:tcPr>
          <w:p>
            <w:pPr>
              <w:jc w:val="center"/>
              <w:ind w:right="152"/>
              <w:spacing w:after="0"/>
              <w:rPr>
                <w:sz w:val="20"/>
                <w:szCs w:val="20"/>
                <w:color w:val="auto"/>
              </w:rPr>
            </w:pPr>
            <w:r>
              <w:rPr>
                <w:rFonts w:ascii="Arial" w:cs="Arial" w:eastAsia="Arial" w:hAnsi="Arial"/>
                <w:sz w:val="18"/>
                <w:szCs w:val="18"/>
                <w:color w:val="auto"/>
                <w:w w:val="90"/>
              </w:rPr>
              <w:t>32.1*</w:t>
            </w:r>
          </w:p>
        </w:tc>
        <w:tc>
          <w:tcPr>
            <w:tcW w:w="6080" w:type="dxa"/>
            <w:vAlign w:val="bottom"/>
            <w:gridSpan w:val="8"/>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Certification of Principal Executive Officer Pursuant to 18 U.S.C. Section 1350, as</w:t>
              </w:r>
            </w:hyperlink>
          </w:p>
        </w:tc>
      </w:tr>
      <w:tr>
        <w:trPr>
          <w:trHeight w:val="190"/>
        </w:trPr>
        <w:tc>
          <w:tcPr>
            <w:tcW w:w="900" w:type="dxa"/>
            <w:vAlign w:val="bottom"/>
          </w:tcPr>
          <w:p>
            <w:pPr>
              <w:spacing w:after="0"/>
              <w:rPr>
                <w:sz w:val="16"/>
                <w:szCs w:val="16"/>
                <w:color w:val="auto"/>
              </w:rPr>
            </w:pPr>
          </w:p>
        </w:tc>
        <w:tc>
          <w:tcPr>
            <w:tcW w:w="486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Adopted Pursuant to Section 906 of the Sarbanes-Oxley Act of 2002.</w:t>
              </w:r>
            </w:hyperlink>
          </w:p>
        </w:tc>
        <w:tc>
          <w:tcPr>
            <w:tcW w:w="940" w:type="dxa"/>
            <w:vAlign w:val="bottom"/>
            <w:tcBorders>
              <w:top w:val="single" w:sz="8" w:color="0000EE"/>
            </w:tcBorders>
            <w:gridSpan w:val="2"/>
          </w:tcPr>
          <w:p>
            <w:pPr>
              <w:spacing w:after="0"/>
              <w:rPr>
                <w:sz w:val="16"/>
                <w:szCs w:val="16"/>
                <w:color w:val="auto"/>
              </w:rPr>
            </w:pPr>
          </w:p>
        </w:tc>
        <w:tc>
          <w:tcPr>
            <w:tcW w:w="280" w:type="dxa"/>
            <w:vAlign w:val="bottom"/>
            <w:gridSpan w:val="3"/>
          </w:tcPr>
          <w:p>
            <w:pPr>
              <w:spacing w:after="0"/>
              <w:rPr>
                <w:sz w:val="16"/>
                <w:szCs w:val="16"/>
                <w:color w:val="auto"/>
              </w:rPr>
            </w:pPr>
          </w:p>
        </w:tc>
      </w:tr>
      <w:tr>
        <w:trPr>
          <w:trHeight w:val="440"/>
        </w:trPr>
        <w:tc>
          <w:tcPr>
            <w:tcW w:w="900" w:type="dxa"/>
            <w:vAlign w:val="bottom"/>
          </w:tcPr>
          <w:p>
            <w:pPr>
              <w:jc w:val="center"/>
              <w:ind w:right="152"/>
              <w:spacing w:after="0"/>
              <w:rPr>
                <w:sz w:val="20"/>
                <w:szCs w:val="20"/>
                <w:color w:val="auto"/>
              </w:rPr>
            </w:pPr>
            <w:r>
              <w:rPr>
                <w:rFonts w:ascii="Arial" w:cs="Arial" w:eastAsia="Arial" w:hAnsi="Arial"/>
                <w:sz w:val="18"/>
                <w:szCs w:val="18"/>
                <w:color w:val="auto"/>
                <w:w w:val="90"/>
              </w:rPr>
              <w:t>32.2*</w:t>
            </w:r>
          </w:p>
        </w:tc>
        <w:tc>
          <w:tcPr>
            <w:tcW w:w="57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Certification of Principal Financial Officer Pursuant to 18 U.S.C. Section 1350, as</w:t>
              </w:r>
            </w:hyperlink>
          </w:p>
        </w:tc>
        <w:tc>
          <w:tcPr>
            <w:tcW w:w="320" w:type="dxa"/>
            <w:vAlign w:val="bottom"/>
            <w:gridSpan w:val="4"/>
          </w:tcPr>
          <w:p>
            <w:pPr>
              <w:spacing w:after="0"/>
              <w:rPr>
                <w:sz w:val="24"/>
                <w:szCs w:val="24"/>
                <w:color w:val="auto"/>
              </w:rPr>
            </w:pPr>
          </w:p>
        </w:tc>
      </w:tr>
      <w:tr>
        <w:trPr>
          <w:trHeight w:val="190"/>
        </w:trPr>
        <w:tc>
          <w:tcPr>
            <w:tcW w:w="900" w:type="dxa"/>
            <w:vAlign w:val="bottom"/>
          </w:tcPr>
          <w:p>
            <w:pPr>
              <w:spacing w:after="0"/>
              <w:rPr>
                <w:sz w:val="16"/>
                <w:szCs w:val="16"/>
                <w:color w:val="auto"/>
              </w:rPr>
            </w:pPr>
          </w:p>
        </w:tc>
        <w:tc>
          <w:tcPr>
            <w:tcW w:w="6080" w:type="dxa"/>
            <w:vAlign w:val="bottom"/>
            <w:gridSpan w:val="8"/>
          </w:tcPr>
          <w:p>
            <w:pPr>
              <w:spacing w:after="0" w:line="190" w:lineRule="exact"/>
              <w:rPr>
                <w:rFonts w:ascii="Arial" w:cs="Arial" w:eastAsia="Arial" w:hAnsi="Arial"/>
                <w:sz w:val="18"/>
                <w:szCs w:val="18"/>
                <w:color w:val="0000EE"/>
              </w:rPr>
            </w:pPr>
            <w:hyperlink w:anchor="page59">
              <w:r>
                <w:rPr>
                  <w:rFonts w:ascii="Arial" w:cs="Arial" w:eastAsia="Arial" w:hAnsi="Arial"/>
                  <w:sz w:val="18"/>
                  <w:szCs w:val="18"/>
                  <w:color w:val="0000EE"/>
                </w:rPr>
                <w:t>Adopted Pursuant to Section 906 of the Sarbanes-Oxley Act of 2002.</w:t>
              </w:r>
            </w:hyperlink>
          </w:p>
        </w:tc>
      </w:tr>
      <w:tr>
        <w:trPr>
          <w:trHeight w:val="467"/>
        </w:trPr>
        <w:tc>
          <w:tcPr>
            <w:tcW w:w="900" w:type="dxa"/>
            <w:vAlign w:val="bottom"/>
          </w:tcPr>
          <w:p>
            <w:pPr>
              <w:jc w:val="center"/>
              <w:ind w:right="152"/>
              <w:spacing w:after="0"/>
              <w:rPr>
                <w:sz w:val="20"/>
                <w:szCs w:val="20"/>
                <w:color w:val="auto"/>
              </w:rPr>
            </w:pPr>
            <w:r>
              <w:rPr>
                <w:rFonts w:ascii="Arial" w:cs="Arial" w:eastAsia="Arial" w:hAnsi="Arial"/>
                <w:sz w:val="18"/>
                <w:szCs w:val="18"/>
                <w:color w:val="auto"/>
                <w:w w:val="89"/>
              </w:rPr>
              <w:t>101.INS</w:t>
            </w:r>
          </w:p>
        </w:tc>
        <w:tc>
          <w:tcPr>
            <w:tcW w:w="48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1240" w:type="dxa"/>
            <w:vAlign w:val="bottom"/>
            <w:gridSpan w:val="6"/>
          </w:tcPr>
          <w:p>
            <w:pPr>
              <w:spacing w:after="0"/>
              <w:rPr>
                <w:sz w:val="24"/>
                <w:szCs w:val="24"/>
                <w:color w:val="auto"/>
              </w:rPr>
            </w:pPr>
          </w:p>
        </w:tc>
      </w:tr>
      <w:tr>
        <w:trPr>
          <w:trHeight w:val="210"/>
        </w:trPr>
        <w:tc>
          <w:tcPr>
            <w:tcW w:w="900" w:type="dxa"/>
            <w:vAlign w:val="bottom"/>
          </w:tcPr>
          <w:p>
            <w:pPr>
              <w:jc w:val="center"/>
              <w:ind w:right="152"/>
              <w:spacing w:after="0"/>
              <w:rPr>
                <w:sz w:val="20"/>
                <w:szCs w:val="20"/>
                <w:color w:val="auto"/>
              </w:rPr>
            </w:pPr>
            <w:r>
              <w:rPr>
                <w:rFonts w:ascii="Arial" w:cs="Arial" w:eastAsia="Arial" w:hAnsi="Arial"/>
                <w:sz w:val="18"/>
                <w:szCs w:val="18"/>
                <w:color w:val="auto"/>
                <w:w w:val="90"/>
              </w:rPr>
              <w:t>101.SCH</w:t>
            </w:r>
          </w:p>
        </w:tc>
        <w:tc>
          <w:tcPr>
            <w:tcW w:w="60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0"/>
        </w:trPr>
        <w:tc>
          <w:tcPr>
            <w:tcW w:w="900" w:type="dxa"/>
            <w:vAlign w:val="bottom"/>
          </w:tcPr>
          <w:p>
            <w:pPr>
              <w:jc w:val="center"/>
              <w:ind w:right="152"/>
              <w:spacing w:after="0"/>
              <w:rPr>
                <w:sz w:val="20"/>
                <w:szCs w:val="20"/>
                <w:color w:val="auto"/>
              </w:rPr>
            </w:pPr>
            <w:r>
              <w:rPr>
                <w:rFonts w:ascii="Arial" w:cs="Arial" w:eastAsia="Arial" w:hAnsi="Arial"/>
                <w:sz w:val="18"/>
                <w:szCs w:val="18"/>
                <w:color w:val="auto"/>
                <w:w w:val="94"/>
              </w:rPr>
              <w:t>101.CAL</w:t>
            </w:r>
          </w:p>
        </w:tc>
        <w:tc>
          <w:tcPr>
            <w:tcW w:w="60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0"/>
        </w:trPr>
        <w:tc>
          <w:tcPr>
            <w:tcW w:w="900" w:type="dxa"/>
            <w:vAlign w:val="bottom"/>
          </w:tcPr>
          <w:p>
            <w:pPr>
              <w:jc w:val="center"/>
              <w:ind w:right="152"/>
              <w:spacing w:after="0"/>
              <w:rPr>
                <w:sz w:val="20"/>
                <w:szCs w:val="20"/>
                <w:color w:val="auto"/>
              </w:rPr>
            </w:pPr>
            <w:r>
              <w:rPr>
                <w:rFonts w:ascii="Arial" w:cs="Arial" w:eastAsia="Arial" w:hAnsi="Arial"/>
                <w:sz w:val="18"/>
                <w:szCs w:val="18"/>
                <w:color w:val="auto"/>
                <w:w w:val="87"/>
              </w:rPr>
              <w:t>101.DEF</w:t>
            </w:r>
          </w:p>
        </w:tc>
        <w:tc>
          <w:tcPr>
            <w:tcW w:w="60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0"/>
        </w:trPr>
        <w:tc>
          <w:tcPr>
            <w:tcW w:w="900" w:type="dxa"/>
            <w:vAlign w:val="bottom"/>
          </w:tcPr>
          <w:p>
            <w:pPr>
              <w:jc w:val="center"/>
              <w:ind w:right="152"/>
              <w:spacing w:after="0"/>
              <w:rPr>
                <w:sz w:val="20"/>
                <w:szCs w:val="20"/>
                <w:color w:val="auto"/>
              </w:rPr>
            </w:pPr>
            <w:r>
              <w:rPr>
                <w:rFonts w:ascii="Arial" w:cs="Arial" w:eastAsia="Arial" w:hAnsi="Arial"/>
                <w:sz w:val="18"/>
                <w:szCs w:val="18"/>
                <w:color w:val="auto"/>
                <w:w w:val="95"/>
              </w:rPr>
              <w:t>101.LAB</w:t>
            </w:r>
          </w:p>
        </w:tc>
        <w:tc>
          <w:tcPr>
            <w:tcW w:w="60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2"/>
        </w:trPr>
        <w:tc>
          <w:tcPr>
            <w:tcW w:w="900" w:type="dxa"/>
            <w:vAlign w:val="bottom"/>
          </w:tcPr>
          <w:p>
            <w:pPr>
              <w:jc w:val="center"/>
              <w:ind w:right="152"/>
              <w:spacing w:after="0"/>
              <w:rPr>
                <w:sz w:val="20"/>
                <w:szCs w:val="20"/>
                <w:color w:val="auto"/>
              </w:rPr>
            </w:pPr>
            <w:r>
              <w:rPr>
                <w:rFonts w:ascii="Arial" w:cs="Arial" w:eastAsia="Arial" w:hAnsi="Arial"/>
                <w:sz w:val="18"/>
                <w:szCs w:val="18"/>
                <w:color w:val="auto"/>
                <w:w w:val="85"/>
              </w:rPr>
              <w:t>101.PRE</w:t>
            </w:r>
          </w:p>
        </w:tc>
        <w:tc>
          <w:tcPr>
            <w:tcW w:w="60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21"/>
        </w:trPr>
        <w:tc>
          <w:tcPr>
            <w:tcW w:w="900" w:type="dxa"/>
            <w:vAlign w:val="bottom"/>
          </w:tcPr>
          <w:p>
            <w:pPr>
              <w:spacing w:after="0"/>
              <w:rPr>
                <w:sz w:val="24"/>
                <w:szCs w:val="24"/>
                <w:color w:val="auto"/>
              </w:rPr>
            </w:pPr>
          </w:p>
        </w:tc>
        <w:tc>
          <w:tcPr>
            <w:tcW w:w="4840" w:type="dxa"/>
            <w:vAlign w:val="bottom"/>
            <w:gridSpan w:val="2"/>
          </w:tcPr>
          <w:p>
            <w:pPr>
              <w:ind w:left="410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54610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940" w:space="720"/>
            <w:col w:w="380"/>
          </w:cols>
          <w:pgMar w:left="620" w:top="331" w:right="239" w:bottom="1440" w:gutter="0" w:footer="0" w:header="0"/>
          <w:type w:val="continuous"/>
        </w:sectPr>
      </w:pPr>
    </w:p>
    <w:bookmarkStart w:id="50" w:name="page51"/>
    <w:bookmarkEnd w:id="50"/>
    <w:p>
      <w:pPr>
        <w:ind w:left="920"/>
        <w:spacing w:after="0"/>
        <w:tabs>
          <w:tab w:leader="none" w:pos="1420" w:val="left"/>
          <w:tab w:leader="none" w:pos="10900" w:val="left"/>
        </w:tabs>
        <w:rPr>
          <w:sz w:val="20"/>
          <w:szCs w:val="20"/>
          <w:color w:val="auto"/>
        </w:rPr>
      </w:pPr>
      <w:r>
        <w:rPr>
          <w:rFonts w:ascii="Arial" w:cs="Arial" w:eastAsia="Arial" w:hAnsi="Arial"/>
          <w:sz w:val="18"/>
          <w:szCs w:val="18"/>
          <w:color w:val="auto"/>
        </w:rPr>
        <w:t>104</w:t>
        <w:tab/>
        <w:t>Cover Page Interactive Data File (embedded within the Inline XBRL document)</w:t>
      </w:r>
      <w:r>
        <w:rPr>
          <w:sz w:val="20"/>
          <w:szCs w:val="20"/>
          <w:color w:val="auto"/>
        </w:rPr>
        <w:tab/>
      </w:r>
      <w:r>
        <w:rPr>
          <w:rFonts w:ascii="Arial" w:cs="Arial" w:eastAsia="Arial" w:hAnsi="Arial"/>
          <w:sz w:val="18"/>
          <w:szCs w:val="18"/>
          <w:color w:val="auto"/>
        </w:rPr>
        <w:t>X</w:t>
      </w:r>
    </w:p>
    <w:p>
      <w:pPr>
        <w:spacing w:after="0" w:line="214" w:lineRule="exact"/>
        <w:rPr>
          <w:sz w:val="20"/>
          <w:szCs w:val="20"/>
          <w:color w:val="auto"/>
        </w:rPr>
      </w:pPr>
    </w:p>
    <w:p>
      <w:pPr>
        <w:jc w:val="both"/>
        <w:ind w:firstLine="5"/>
        <w:spacing w:after="0" w:line="249" w:lineRule="auto"/>
        <w:tabs>
          <w:tab w:leader="none" w:pos="7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attached as Exhibit 32.1 and Exhibit 32.2 that accompanies this Quarterly Report on Form 10-Q is not deemed filed with the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19"/>
                <w:szCs w:val="19"/>
                <w:color w:val="auto"/>
              </w:rPr>
            </w:pPr>
          </w:p>
        </w:tc>
        <w:tc>
          <w:tcPr>
            <w:tcW w:w="4240" w:type="dxa"/>
            <w:vAlign w:val="bottom"/>
            <w:gridSpan w:val="2"/>
          </w:tcPr>
          <w:p>
            <w:pPr>
              <w:ind w:left="2700"/>
              <w:spacing w:after="0"/>
              <w:rPr>
                <w:sz w:val="20"/>
                <w:szCs w:val="20"/>
                <w:color w:val="auto"/>
              </w:rPr>
            </w:pPr>
            <w:r>
              <w:rPr>
                <w:rFonts w:ascii="Arial" w:cs="Arial" w:eastAsia="Arial" w:hAnsi="Arial"/>
                <w:sz w:val="18"/>
                <w:szCs w:val="18"/>
                <w:color w:val="auto"/>
                <w:w w:val="96"/>
              </w:rPr>
              <w:t>Venus Concept Inc.</w:t>
            </w:r>
          </w:p>
        </w:tc>
        <w:tc>
          <w:tcPr>
            <w:tcW w:w="3320" w:type="dxa"/>
            <w:vAlign w:val="bottom"/>
          </w:tcPr>
          <w:p>
            <w:pPr>
              <w:spacing w:after="0"/>
              <w:rPr>
                <w:sz w:val="19"/>
                <w:szCs w:val="19"/>
                <w:color w:val="auto"/>
              </w:rPr>
            </w:pPr>
          </w:p>
        </w:tc>
      </w:tr>
      <w:tr>
        <w:trPr>
          <w:trHeight w:val="447"/>
        </w:trPr>
        <w:tc>
          <w:tcPr>
            <w:tcW w:w="3680" w:type="dxa"/>
            <w:vAlign w:val="bottom"/>
          </w:tcPr>
          <w:p>
            <w:pPr>
              <w:spacing w:after="0"/>
              <w:rPr>
                <w:sz w:val="20"/>
                <w:szCs w:val="20"/>
                <w:color w:val="auto"/>
              </w:rPr>
            </w:pPr>
            <w:r>
              <w:rPr>
                <w:rFonts w:ascii="Arial" w:cs="Arial" w:eastAsia="Arial" w:hAnsi="Arial"/>
                <w:sz w:val="18"/>
                <w:szCs w:val="18"/>
                <w:color w:val="auto"/>
              </w:rPr>
              <w:t>Date: November 12, 2021</w:t>
            </w:r>
          </w:p>
        </w:tc>
        <w:tc>
          <w:tcPr>
            <w:tcW w:w="4240" w:type="dxa"/>
            <w:vAlign w:val="bottom"/>
            <w:gridSpan w:val="2"/>
          </w:tcPr>
          <w:p>
            <w:pPr>
              <w:ind w:left="270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ind w:right="1092"/>
              <w:spacing w:after="0"/>
              <w:rPr>
                <w:sz w:val="20"/>
                <w:szCs w:val="20"/>
                <w:color w:val="auto"/>
              </w:rPr>
            </w:pPr>
            <w:r>
              <w:rPr>
                <w:rFonts w:ascii="Arial" w:cs="Arial" w:eastAsia="Arial" w:hAnsi="Arial"/>
                <w:sz w:val="18"/>
                <w:szCs w:val="18"/>
                <w:color w:val="auto"/>
                <w:w w:val="89"/>
              </w:rPr>
              <w:t>/s/ Domenic Serafino</w:t>
            </w:r>
          </w:p>
        </w:tc>
      </w:tr>
      <w:tr>
        <w:trPr>
          <w:trHeight w:val="212"/>
        </w:trPr>
        <w:tc>
          <w:tcPr>
            <w:tcW w:w="3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jc w:val="center"/>
              <w:ind w:right="1092"/>
              <w:spacing w:after="0"/>
              <w:rPr>
                <w:sz w:val="20"/>
                <w:szCs w:val="20"/>
                <w:color w:val="auto"/>
              </w:rPr>
            </w:pPr>
            <w:r>
              <w:rPr>
                <w:rFonts w:ascii="Arial" w:cs="Arial" w:eastAsia="Arial" w:hAnsi="Arial"/>
                <w:sz w:val="18"/>
                <w:szCs w:val="18"/>
                <w:b w:val="1"/>
                <w:bCs w:val="1"/>
                <w:color w:val="auto"/>
                <w:w w:val="87"/>
              </w:rPr>
              <w:t>Domenic Serafino</w:t>
            </w:r>
          </w:p>
        </w:tc>
      </w:tr>
      <w:tr>
        <w:trPr>
          <w:trHeight w:val="228"/>
        </w:trPr>
        <w:tc>
          <w:tcPr>
            <w:tcW w:w="36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20" w:type="dxa"/>
            <w:vAlign w:val="bottom"/>
          </w:tcPr>
          <w:p>
            <w:pPr>
              <w:jc w:val="center"/>
              <w:ind w:right="1112"/>
              <w:spacing w:after="0"/>
              <w:rPr>
                <w:sz w:val="20"/>
                <w:szCs w:val="20"/>
                <w:color w:val="auto"/>
              </w:rPr>
            </w:pPr>
            <w:r>
              <w:rPr>
                <w:rFonts w:ascii="Arial" w:cs="Arial" w:eastAsia="Arial" w:hAnsi="Arial"/>
                <w:sz w:val="18"/>
                <w:szCs w:val="18"/>
                <w:b w:val="1"/>
                <w:bCs w:val="1"/>
                <w:color w:val="auto"/>
                <w:w w:val="89"/>
              </w:rPr>
              <w:t>Chief Executive Officer</w:t>
            </w:r>
          </w:p>
        </w:tc>
      </w:tr>
      <w:tr>
        <w:trPr>
          <w:trHeight w:val="447"/>
        </w:trPr>
        <w:tc>
          <w:tcPr>
            <w:tcW w:w="3680" w:type="dxa"/>
            <w:vAlign w:val="bottom"/>
          </w:tcPr>
          <w:p>
            <w:pPr>
              <w:spacing w:after="0"/>
              <w:rPr>
                <w:sz w:val="20"/>
                <w:szCs w:val="20"/>
                <w:color w:val="auto"/>
              </w:rPr>
            </w:pPr>
            <w:r>
              <w:rPr>
                <w:rFonts w:ascii="Arial" w:cs="Arial" w:eastAsia="Arial" w:hAnsi="Arial"/>
                <w:sz w:val="18"/>
                <w:szCs w:val="18"/>
                <w:color w:val="auto"/>
              </w:rPr>
              <w:t>Date: November 12, 2021</w:t>
            </w:r>
          </w:p>
        </w:tc>
        <w:tc>
          <w:tcPr>
            <w:tcW w:w="4240" w:type="dxa"/>
            <w:vAlign w:val="bottom"/>
            <w:gridSpan w:val="2"/>
          </w:tcPr>
          <w:p>
            <w:pPr>
              <w:ind w:left="270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ind w:right="1092"/>
              <w:spacing w:after="0"/>
              <w:rPr>
                <w:sz w:val="20"/>
                <w:szCs w:val="20"/>
                <w:color w:val="auto"/>
              </w:rPr>
            </w:pPr>
            <w:r>
              <w:rPr>
                <w:rFonts w:ascii="Arial" w:cs="Arial" w:eastAsia="Arial" w:hAnsi="Arial"/>
                <w:sz w:val="18"/>
                <w:szCs w:val="18"/>
                <w:color w:val="auto"/>
                <w:w w:val="87"/>
              </w:rPr>
              <w:t>/s/ Domenic Della Penna</w:t>
            </w:r>
          </w:p>
        </w:tc>
      </w:tr>
      <w:tr>
        <w:trPr>
          <w:trHeight w:val="212"/>
        </w:trPr>
        <w:tc>
          <w:tcPr>
            <w:tcW w:w="3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jc w:val="center"/>
              <w:ind w:right="1092"/>
              <w:spacing w:after="0"/>
              <w:rPr>
                <w:sz w:val="20"/>
                <w:szCs w:val="20"/>
                <w:color w:val="auto"/>
              </w:rPr>
            </w:pPr>
            <w:r>
              <w:rPr>
                <w:rFonts w:ascii="Arial" w:cs="Arial" w:eastAsia="Arial" w:hAnsi="Arial"/>
                <w:sz w:val="18"/>
                <w:szCs w:val="18"/>
                <w:b w:val="1"/>
                <w:bCs w:val="1"/>
                <w:color w:val="auto"/>
                <w:w w:val="88"/>
              </w:rPr>
              <w:t>Domenic Della Penna</w:t>
            </w:r>
          </w:p>
        </w:tc>
      </w:tr>
      <w:tr>
        <w:trPr>
          <w:trHeight w:val="228"/>
        </w:trPr>
        <w:tc>
          <w:tcPr>
            <w:tcW w:w="36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20" w:type="dxa"/>
            <w:vAlign w:val="bottom"/>
          </w:tcPr>
          <w:p>
            <w:pPr>
              <w:jc w:val="center"/>
              <w:ind w:right="1092"/>
              <w:spacing w:after="0"/>
              <w:rPr>
                <w:sz w:val="20"/>
                <w:szCs w:val="20"/>
                <w:color w:val="auto"/>
              </w:rPr>
            </w:pPr>
            <w:r>
              <w:rPr>
                <w:rFonts w:ascii="Arial" w:cs="Arial" w:eastAsia="Arial" w:hAnsi="Arial"/>
                <w:sz w:val="18"/>
                <w:szCs w:val="18"/>
                <w:b w:val="1"/>
                <w:bCs w:val="1"/>
                <w:color w:val="auto"/>
                <w:w w:val="91"/>
              </w:rPr>
              <w:t>Chief Financial Officer</w:t>
            </w:r>
          </w:p>
        </w:tc>
      </w:tr>
      <w:tr>
        <w:trPr>
          <w:trHeight w:val="631"/>
        </w:trPr>
        <w:tc>
          <w:tcPr>
            <w:tcW w:w="3680" w:type="dxa"/>
            <w:vAlign w:val="bottom"/>
          </w:tcPr>
          <w:p>
            <w:pPr>
              <w:spacing w:after="0"/>
              <w:rPr>
                <w:sz w:val="24"/>
                <w:szCs w:val="24"/>
                <w:color w:val="auto"/>
              </w:rPr>
            </w:pPr>
          </w:p>
        </w:tc>
        <w:tc>
          <w:tcPr>
            <w:tcW w:w="3060" w:type="dxa"/>
            <w:vAlign w:val="bottom"/>
          </w:tcPr>
          <w:p>
            <w:pPr>
              <w:jc w:val="right"/>
              <w:ind w:right="932"/>
              <w:spacing w:after="0"/>
              <w:rPr>
                <w:sz w:val="20"/>
                <w:szCs w:val="20"/>
                <w:color w:val="auto"/>
              </w:rPr>
            </w:pPr>
            <w:r>
              <w:rPr>
                <w:rFonts w:ascii="Arial" w:cs="Arial" w:eastAsia="Arial" w:hAnsi="Arial"/>
                <w:sz w:val="18"/>
                <w:szCs w:val="18"/>
                <w:color w:val="auto"/>
              </w:rPr>
              <w:t>51</w:t>
            </w:r>
          </w:p>
        </w:tc>
        <w:tc>
          <w:tcPr>
            <w:tcW w:w="118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52" w:name="page53"/>
    <w:bookmarkEnd w:id="52"/>
    <w:p>
      <w:pPr>
        <w:ind w:left="10340"/>
        <w:spacing w:after="0"/>
        <w:rPr>
          <w:sz w:val="20"/>
          <w:szCs w:val="20"/>
          <w:color w:val="auto"/>
        </w:rPr>
      </w:pPr>
      <w:r>
        <w:rPr>
          <w:rFonts w:ascii="Arial" w:cs="Arial" w:eastAsia="Arial" w:hAnsi="Arial"/>
          <w:sz w:val="16"/>
          <w:szCs w:val="16"/>
          <w:b w:val="1"/>
          <w:bCs w:val="1"/>
          <w:color w:val="auto"/>
        </w:rPr>
        <w:t>Exhibit 31.1</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Domenic Serafino, certify that: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quarterly report on Form 10-Q of Venus Concept Inc.;</w:t>
      </w:r>
    </w:p>
    <w:p>
      <w:pPr>
        <w:spacing w:after="0" w:line="174" w:lineRule="exact"/>
        <w:rPr>
          <w:sz w:val="20"/>
          <w:szCs w:val="20"/>
          <w:color w:val="auto"/>
        </w:rPr>
      </w:pPr>
    </w:p>
    <w:p>
      <w:pPr>
        <w:jc w:val="both"/>
        <w:ind w:left="580" w:hanging="575"/>
        <w:spacing w:after="0" w:line="252"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8"/>
          <w:szCs w:val="18"/>
          <w:color w:val="auto"/>
        </w:rPr>
      </w:pPr>
    </w:p>
    <w:p>
      <w:pPr>
        <w:ind w:left="580" w:hanging="575"/>
        <w:spacing w:after="0" w:line="32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jc w:val="both"/>
        <w:ind w:left="580" w:hanging="575"/>
        <w:spacing w:after="0" w:line="252"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8"/>
          <w:szCs w:val="18"/>
          <w:color w:val="auto"/>
        </w:rPr>
      </w:pPr>
    </w:p>
    <w:p>
      <w:pPr>
        <w:jc w:val="both"/>
        <w:ind w:left="1160" w:hanging="577"/>
        <w:spacing w:after="0" w:line="252"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jc w:val="both"/>
        <w:ind w:left="1160" w:hanging="577"/>
        <w:spacing w:after="0" w:line="252"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8"/>
          <w:szCs w:val="18"/>
          <w:color w:val="auto"/>
        </w:rPr>
      </w:pPr>
    </w:p>
    <w:p>
      <w:pPr>
        <w:ind w:left="1160" w:hanging="577"/>
        <w:spacing w:after="0" w:line="324" w:lineRule="auto"/>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160" w:hanging="577"/>
        <w:spacing w:after="0" w:line="324" w:lineRule="auto"/>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580" w:hanging="575"/>
        <w:spacing w:after="0" w:line="32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160" w:hanging="577"/>
        <w:spacing w:after="0" w:line="324" w:lineRule="auto"/>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160" w:hanging="577"/>
        <w:spacing w:after="0" w:line="261"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306070</wp:posOffset>
            </wp:positionV>
            <wp:extent cx="717804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Arial" w:cs="Arial" w:eastAsia="Arial" w:hAnsi="Arial"/>
                <w:sz w:val="18"/>
                <w:szCs w:val="18"/>
                <w:color w:val="auto"/>
              </w:rPr>
              <w:t>Date: November 12, 2021</w:t>
            </w:r>
          </w:p>
        </w:tc>
        <w:tc>
          <w:tcPr>
            <w:tcW w:w="1760" w:type="dxa"/>
            <w:vAlign w:val="bottom"/>
          </w:tcPr>
          <w:p>
            <w:pPr>
              <w:ind w:left="1520"/>
              <w:spacing w:after="0"/>
              <w:rPr>
                <w:sz w:val="20"/>
                <w:szCs w:val="20"/>
                <w:color w:val="auto"/>
              </w:rPr>
            </w:pPr>
            <w:r>
              <w:rPr>
                <w:rFonts w:ascii="Arial" w:cs="Arial" w:eastAsia="Arial" w:hAnsi="Arial"/>
                <w:sz w:val="18"/>
                <w:szCs w:val="18"/>
                <w:color w:val="auto"/>
                <w:w w:val="84"/>
              </w:rPr>
              <w:t>By:</w:t>
            </w:r>
          </w:p>
        </w:tc>
        <w:tc>
          <w:tcPr>
            <w:tcW w:w="44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Serafino</w:t>
            </w:r>
          </w:p>
        </w:tc>
      </w:tr>
      <w:tr>
        <w:trPr>
          <w:trHeight w:val="198"/>
        </w:trPr>
        <w:tc>
          <w:tcPr>
            <w:tcW w:w="3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440" w:type="dxa"/>
            <w:vAlign w:val="bottom"/>
          </w:tcPr>
          <w:p>
            <w:pPr>
              <w:ind w:left="1020"/>
              <w:spacing w:after="0" w:line="198" w:lineRule="exact"/>
              <w:rPr>
                <w:sz w:val="20"/>
                <w:szCs w:val="20"/>
                <w:color w:val="auto"/>
              </w:rPr>
            </w:pPr>
            <w:r>
              <w:rPr>
                <w:rFonts w:ascii="Arial" w:cs="Arial" w:eastAsia="Arial" w:hAnsi="Arial"/>
                <w:sz w:val="18"/>
                <w:szCs w:val="18"/>
                <w:b w:val="1"/>
                <w:bCs w:val="1"/>
                <w:color w:val="auto"/>
              </w:rPr>
              <w:t>Name: Domenic Serafino</w:t>
            </w:r>
          </w:p>
        </w:tc>
      </w:tr>
      <w:tr>
        <w:trPr>
          <w:trHeight w:val="210"/>
        </w:trPr>
        <w:tc>
          <w:tcPr>
            <w:tcW w:w="3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40" w:type="dxa"/>
            <w:vAlign w:val="bottom"/>
          </w:tcPr>
          <w:p>
            <w:pPr>
              <w:ind w:left="1100"/>
              <w:spacing w:after="0"/>
              <w:rPr>
                <w:sz w:val="20"/>
                <w:szCs w:val="20"/>
                <w:color w:val="auto"/>
              </w:rPr>
            </w:pPr>
            <w:r>
              <w:rPr>
                <w:rFonts w:ascii="Arial" w:cs="Arial" w:eastAsia="Arial" w:hAnsi="Arial"/>
                <w:sz w:val="18"/>
                <w:szCs w:val="18"/>
                <w:b w:val="1"/>
                <w:bCs w:val="1"/>
                <w:color w:val="auto"/>
              </w:rPr>
              <w:t>Chief Executive Officer</w:t>
            </w:r>
          </w:p>
        </w:tc>
      </w:tr>
      <w:tr>
        <w:trPr>
          <w:trHeight w:val="228"/>
        </w:trPr>
        <w:tc>
          <w:tcPr>
            <w:tcW w:w="3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440" w:type="dxa"/>
            <w:vAlign w:val="bottom"/>
          </w:tcPr>
          <w:p>
            <w:pPr>
              <w:ind w:left="940"/>
              <w:spacing w:after="0"/>
              <w:rPr>
                <w:sz w:val="20"/>
                <w:szCs w:val="20"/>
                <w:color w:val="auto"/>
              </w:rPr>
            </w:pPr>
            <w:r>
              <w:rPr>
                <w:rFonts w:ascii="Arial" w:cs="Arial" w:eastAsia="Arial" w:hAnsi="Arial"/>
                <w:sz w:val="18"/>
                <w:szCs w:val="18"/>
                <w:b w:val="1"/>
                <w:bCs w:val="1"/>
                <w:color w:val="auto"/>
              </w:rPr>
              <w:t>(Principal Executive Officer)</w:t>
            </w:r>
          </w:p>
        </w:tc>
      </w:tr>
    </w:tbl>
    <w:p>
      <w:pPr>
        <w:sectPr>
          <w:pgSz w:w="11900" w:h="16838" w:orient="portrait"/>
          <w:cols w:equalWidth="0" w:num="1">
            <w:col w:w="9859"/>
          </w:cols>
          <w:pgMar w:left="600" w:top="324" w:right="1440" w:bottom="1440" w:gutter="0" w:footer="0" w:header="0"/>
        </w:sectPr>
      </w:pPr>
    </w:p>
    <w:bookmarkStart w:id="54" w:name="page55"/>
    <w:bookmarkEnd w:id="54"/>
    <w:p>
      <w:pPr>
        <w:ind w:left="10340"/>
        <w:spacing w:after="0"/>
        <w:rPr>
          <w:sz w:val="20"/>
          <w:szCs w:val="20"/>
          <w:color w:val="auto"/>
        </w:rPr>
      </w:pPr>
      <w:r>
        <w:rPr>
          <w:rFonts w:ascii="Arial" w:cs="Arial" w:eastAsia="Arial" w:hAnsi="Arial"/>
          <w:sz w:val="16"/>
          <w:szCs w:val="16"/>
          <w:b w:val="1"/>
          <w:bCs w:val="1"/>
          <w:color w:val="auto"/>
        </w:rPr>
        <w:t>Exhibit 31.2</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 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Domenic Della Penna, certify that:</w:t>
      </w:r>
    </w:p>
    <w:p>
      <w:pPr>
        <w:spacing w:after="0" w:line="187" w:lineRule="exact"/>
        <w:rPr>
          <w:sz w:val="20"/>
          <w:szCs w:val="20"/>
          <w:color w:val="auto"/>
        </w:rPr>
      </w:pPr>
    </w:p>
    <w:p>
      <w:pPr>
        <w:ind w:left="580" w:hanging="575"/>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Venus Concept Inc.;</w:t>
      </w:r>
    </w:p>
    <w:p>
      <w:pPr>
        <w:spacing w:after="0" w:line="174" w:lineRule="exact"/>
        <w:rPr>
          <w:rFonts w:ascii="Arial" w:cs="Arial" w:eastAsia="Arial" w:hAnsi="Arial"/>
          <w:sz w:val="18"/>
          <w:szCs w:val="18"/>
          <w:color w:val="auto"/>
        </w:rPr>
      </w:pPr>
    </w:p>
    <w:p>
      <w:pPr>
        <w:jc w:val="both"/>
        <w:ind w:left="580" w:hanging="575"/>
        <w:spacing w:after="0" w:line="252"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8"/>
          <w:szCs w:val="18"/>
          <w:color w:val="auto"/>
        </w:rPr>
      </w:pPr>
    </w:p>
    <w:p>
      <w:pPr>
        <w:ind w:left="580" w:hanging="575"/>
        <w:spacing w:after="0" w:line="32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jc w:val="both"/>
        <w:ind w:left="580" w:hanging="575"/>
        <w:spacing w:after="0" w:line="252"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8"/>
          <w:szCs w:val="18"/>
          <w:color w:val="auto"/>
        </w:rPr>
      </w:pPr>
    </w:p>
    <w:p>
      <w:pPr>
        <w:jc w:val="both"/>
        <w:ind w:left="1160" w:hanging="577"/>
        <w:spacing w:after="0" w:line="252"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jc w:val="both"/>
        <w:ind w:left="1160" w:hanging="577"/>
        <w:spacing w:after="0" w:line="252"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8"/>
          <w:szCs w:val="18"/>
          <w:color w:val="auto"/>
        </w:rPr>
      </w:pPr>
    </w:p>
    <w:p>
      <w:pPr>
        <w:ind w:left="1160" w:hanging="577"/>
        <w:spacing w:after="0" w:line="324" w:lineRule="auto"/>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160" w:hanging="577"/>
        <w:spacing w:after="0" w:line="324" w:lineRule="auto"/>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580" w:hanging="575"/>
        <w:spacing w:after="0" w:line="32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160" w:hanging="577"/>
        <w:spacing w:after="0" w:line="324" w:lineRule="auto"/>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160" w:hanging="577"/>
        <w:spacing w:after="0" w:line="261"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306070</wp:posOffset>
            </wp:positionV>
            <wp:extent cx="717804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Arial" w:cs="Arial" w:eastAsia="Arial" w:hAnsi="Arial"/>
                <w:sz w:val="18"/>
                <w:szCs w:val="18"/>
                <w:color w:val="auto"/>
              </w:rPr>
              <w:t>Date: November 12, 2021</w:t>
            </w:r>
          </w:p>
        </w:tc>
        <w:tc>
          <w:tcPr>
            <w:tcW w:w="1760" w:type="dxa"/>
            <w:vAlign w:val="bottom"/>
          </w:tcPr>
          <w:p>
            <w:pPr>
              <w:ind w:left="1520"/>
              <w:spacing w:after="0"/>
              <w:rPr>
                <w:sz w:val="20"/>
                <w:szCs w:val="20"/>
                <w:color w:val="auto"/>
              </w:rPr>
            </w:pPr>
            <w:r>
              <w:rPr>
                <w:rFonts w:ascii="Arial" w:cs="Arial" w:eastAsia="Arial" w:hAnsi="Arial"/>
                <w:sz w:val="18"/>
                <w:szCs w:val="18"/>
                <w:color w:val="auto"/>
                <w:w w:val="84"/>
              </w:rPr>
              <w:t>By:</w:t>
            </w:r>
          </w:p>
        </w:tc>
        <w:tc>
          <w:tcPr>
            <w:tcW w:w="44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Della Penna</w:t>
            </w:r>
          </w:p>
        </w:tc>
      </w:tr>
      <w:tr>
        <w:trPr>
          <w:trHeight w:val="198"/>
        </w:trPr>
        <w:tc>
          <w:tcPr>
            <w:tcW w:w="3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440" w:type="dxa"/>
            <w:vAlign w:val="bottom"/>
          </w:tcPr>
          <w:p>
            <w:pPr>
              <w:ind w:left="1020"/>
              <w:spacing w:after="0" w:line="198" w:lineRule="exact"/>
              <w:rPr>
                <w:sz w:val="20"/>
                <w:szCs w:val="20"/>
                <w:color w:val="auto"/>
              </w:rPr>
            </w:pPr>
            <w:r>
              <w:rPr>
                <w:rFonts w:ascii="Arial" w:cs="Arial" w:eastAsia="Arial" w:hAnsi="Arial"/>
                <w:sz w:val="18"/>
                <w:szCs w:val="18"/>
                <w:b w:val="1"/>
                <w:bCs w:val="1"/>
                <w:color w:val="auto"/>
              </w:rPr>
              <w:t>Name: Domenic Della Penna</w:t>
            </w:r>
          </w:p>
        </w:tc>
      </w:tr>
      <w:tr>
        <w:trPr>
          <w:trHeight w:val="210"/>
        </w:trPr>
        <w:tc>
          <w:tcPr>
            <w:tcW w:w="3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40" w:type="dxa"/>
            <w:vAlign w:val="bottom"/>
          </w:tcPr>
          <w:p>
            <w:pPr>
              <w:ind w:left="1100"/>
              <w:spacing w:after="0"/>
              <w:rPr>
                <w:sz w:val="20"/>
                <w:szCs w:val="20"/>
                <w:color w:val="auto"/>
              </w:rPr>
            </w:pPr>
            <w:r>
              <w:rPr>
                <w:rFonts w:ascii="Arial" w:cs="Arial" w:eastAsia="Arial" w:hAnsi="Arial"/>
                <w:sz w:val="18"/>
                <w:szCs w:val="18"/>
                <w:b w:val="1"/>
                <w:bCs w:val="1"/>
                <w:color w:val="auto"/>
              </w:rPr>
              <w:t>Chief Financial Officer</w:t>
            </w:r>
          </w:p>
        </w:tc>
      </w:tr>
      <w:tr>
        <w:trPr>
          <w:trHeight w:val="228"/>
        </w:trPr>
        <w:tc>
          <w:tcPr>
            <w:tcW w:w="3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440" w:type="dxa"/>
            <w:vAlign w:val="bottom"/>
          </w:tcPr>
          <w:p>
            <w:pPr>
              <w:ind w:left="940"/>
              <w:spacing w:after="0"/>
              <w:rPr>
                <w:sz w:val="20"/>
                <w:szCs w:val="20"/>
                <w:color w:val="auto"/>
              </w:rPr>
            </w:pPr>
            <w:r>
              <w:rPr>
                <w:rFonts w:ascii="Arial" w:cs="Arial" w:eastAsia="Arial" w:hAnsi="Arial"/>
                <w:sz w:val="18"/>
                <w:szCs w:val="18"/>
                <w:b w:val="1"/>
                <w:bCs w:val="1"/>
                <w:color w:val="auto"/>
              </w:rPr>
              <w:t>(Principal Financial Officer)</w:t>
            </w:r>
          </w:p>
        </w:tc>
      </w:tr>
    </w:tbl>
    <w:p>
      <w:pPr>
        <w:sectPr>
          <w:pgSz w:w="11900" w:h="16838" w:orient="portrait"/>
          <w:cols w:equalWidth="0" w:num="1">
            <w:col w:w="9859"/>
          </w:cols>
          <w:pgMar w:left="600" w:top="324" w:right="1440" w:bottom="1440" w:gutter="0" w:footer="0" w:header="0"/>
        </w:sectPr>
      </w:pPr>
    </w:p>
    <w:bookmarkStart w:id="56" w:name="page57"/>
    <w:bookmarkEnd w:id="56"/>
    <w:p>
      <w:pPr>
        <w:ind w:left="10340"/>
        <w:spacing w:after="0"/>
        <w:rPr>
          <w:sz w:val="20"/>
          <w:szCs w:val="20"/>
          <w:color w:val="auto"/>
        </w:rPr>
      </w:pPr>
      <w:r>
        <w:rPr>
          <w:rFonts w:ascii="Arial" w:cs="Arial" w:eastAsia="Arial" w:hAnsi="Arial"/>
          <w:sz w:val="16"/>
          <w:szCs w:val="16"/>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Principal Executive Officer Pursuant to 18 U.S.C. Section 1350 as Adopted Pursuant to Section 906 of the Sarbanes-Oxley Act of 2002</w:t>
      </w:r>
    </w:p>
    <w:p>
      <w:pPr>
        <w:spacing w:after="0" w:line="2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Domenic Serafino, the Chief Executive Officer of Venus Concept Inc.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certify, that, to my knowledge:</w:t>
      </w:r>
    </w:p>
    <w:p>
      <w:pPr>
        <w:spacing w:after="0" w:line="148" w:lineRule="exact"/>
        <w:rPr>
          <w:sz w:val="20"/>
          <w:szCs w:val="20"/>
          <w:color w:val="auto"/>
        </w:rPr>
      </w:pPr>
    </w:p>
    <w:p>
      <w:pPr>
        <w:ind w:left="580" w:hanging="575"/>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2021 (the “</w:t>
      </w:r>
      <w:r>
        <w:rPr>
          <w:rFonts w:ascii="Arial" w:cs="Arial" w:eastAsia="Arial" w:hAnsi="Arial"/>
          <w:sz w:val="18"/>
          <w:szCs w:val="18"/>
          <w:b w:val="1"/>
          <w:bCs w:val="1"/>
          <w:color w:val="auto"/>
        </w:rPr>
        <w:t>Report</w:t>
      </w:r>
      <w:r>
        <w:rPr>
          <w:rFonts w:ascii="Arial" w:cs="Arial" w:eastAsia="Arial" w:hAnsi="Arial"/>
          <w:sz w:val="18"/>
          <w:szCs w:val="18"/>
          <w:color w:val="auto"/>
        </w:rPr>
        <w:t>”) of the Company fully complies with the requirements of Section 13(a) of the Securities Exchange Act of 1934; and</w:t>
      </w:r>
    </w:p>
    <w:p>
      <w:pPr>
        <w:spacing w:after="0" w:line="135" w:lineRule="exact"/>
        <w:rPr>
          <w:rFonts w:ascii="Arial" w:cs="Arial" w:eastAsia="Arial" w:hAnsi="Arial"/>
          <w:sz w:val="18"/>
          <w:szCs w:val="18"/>
          <w:color w:val="auto"/>
        </w:rPr>
      </w:pPr>
    </w:p>
    <w:p>
      <w:pPr>
        <w:ind w:left="580" w:hanging="575"/>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7" w:lineRule="exact"/>
        <w:rPr>
          <w:rFonts w:ascii="Arial" w:cs="Arial" w:eastAsia="Arial" w:hAnsi="Arial"/>
          <w:sz w:val="16"/>
          <w:szCs w:val="16"/>
          <w:color w:val="auto"/>
        </w:rPr>
      </w:pPr>
    </w:p>
    <w:p>
      <w:pPr>
        <w:ind w:left="4400"/>
        <w:spacing w:after="0"/>
        <w:rPr>
          <w:rFonts w:ascii="Arial" w:cs="Arial" w:eastAsia="Arial" w:hAnsi="Arial"/>
          <w:sz w:val="16"/>
          <w:szCs w:val="16"/>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306070</wp:posOffset>
            </wp:positionV>
            <wp:extent cx="717804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Arial" w:cs="Arial" w:eastAsia="Arial" w:hAnsi="Arial"/>
                <w:sz w:val="18"/>
                <w:szCs w:val="18"/>
                <w:color w:val="auto"/>
              </w:rPr>
              <w:t>Date: November 12, 2021</w:t>
            </w:r>
          </w:p>
        </w:tc>
        <w:tc>
          <w:tcPr>
            <w:tcW w:w="1760" w:type="dxa"/>
            <w:vAlign w:val="bottom"/>
          </w:tcPr>
          <w:p>
            <w:pPr>
              <w:ind w:left="1520"/>
              <w:spacing w:after="0"/>
              <w:rPr>
                <w:sz w:val="20"/>
                <w:szCs w:val="20"/>
                <w:color w:val="auto"/>
              </w:rPr>
            </w:pPr>
            <w:r>
              <w:rPr>
                <w:rFonts w:ascii="Arial" w:cs="Arial" w:eastAsia="Arial" w:hAnsi="Arial"/>
                <w:sz w:val="18"/>
                <w:szCs w:val="18"/>
                <w:color w:val="auto"/>
                <w:w w:val="84"/>
              </w:rPr>
              <w:t>By:</w:t>
            </w:r>
          </w:p>
        </w:tc>
        <w:tc>
          <w:tcPr>
            <w:tcW w:w="44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Serafino</w:t>
            </w:r>
          </w:p>
        </w:tc>
      </w:tr>
      <w:tr>
        <w:trPr>
          <w:trHeight w:val="198"/>
        </w:trPr>
        <w:tc>
          <w:tcPr>
            <w:tcW w:w="3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440" w:type="dxa"/>
            <w:vAlign w:val="bottom"/>
          </w:tcPr>
          <w:p>
            <w:pPr>
              <w:ind w:left="1020"/>
              <w:spacing w:after="0" w:line="198" w:lineRule="exact"/>
              <w:rPr>
                <w:sz w:val="20"/>
                <w:szCs w:val="20"/>
                <w:color w:val="auto"/>
              </w:rPr>
            </w:pPr>
            <w:r>
              <w:rPr>
                <w:rFonts w:ascii="Arial" w:cs="Arial" w:eastAsia="Arial" w:hAnsi="Arial"/>
                <w:sz w:val="18"/>
                <w:szCs w:val="18"/>
                <w:b w:val="1"/>
                <w:bCs w:val="1"/>
                <w:color w:val="auto"/>
              </w:rPr>
              <w:t>Name: Domenic Serafino</w:t>
            </w:r>
          </w:p>
        </w:tc>
      </w:tr>
      <w:tr>
        <w:trPr>
          <w:trHeight w:val="210"/>
        </w:trPr>
        <w:tc>
          <w:tcPr>
            <w:tcW w:w="3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40" w:type="dxa"/>
            <w:vAlign w:val="bottom"/>
          </w:tcPr>
          <w:p>
            <w:pPr>
              <w:ind w:left="1100"/>
              <w:spacing w:after="0"/>
              <w:rPr>
                <w:sz w:val="20"/>
                <w:szCs w:val="20"/>
                <w:color w:val="auto"/>
              </w:rPr>
            </w:pPr>
            <w:r>
              <w:rPr>
                <w:rFonts w:ascii="Arial" w:cs="Arial" w:eastAsia="Arial" w:hAnsi="Arial"/>
                <w:sz w:val="18"/>
                <w:szCs w:val="18"/>
                <w:b w:val="1"/>
                <w:bCs w:val="1"/>
                <w:color w:val="auto"/>
              </w:rPr>
              <w:t>Chief Executive Officer</w:t>
            </w:r>
          </w:p>
        </w:tc>
      </w:tr>
      <w:tr>
        <w:trPr>
          <w:trHeight w:val="228"/>
        </w:trPr>
        <w:tc>
          <w:tcPr>
            <w:tcW w:w="3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440" w:type="dxa"/>
            <w:vAlign w:val="bottom"/>
          </w:tcPr>
          <w:p>
            <w:pPr>
              <w:ind w:left="940"/>
              <w:spacing w:after="0"/>
              <w:rPr>
                <w:sz w:val="20"/>
                <w:szCs w:val="20"/>
                <w:color w:val="auto"/>
              </w:rPr>
            </w:pPr>
            <w:r>
              <w:rPr>
                <w:rFonts w:ascii="Arial" w:cs="Arial" w:eastAsia="Arial" w:hAnsi="Arial"/>
                <w:sz w:val="18"/>
                <w:szCs w:val="18"/>
                <w:b w:val="1"/>
                <w:bCs w:val="1"/>
                <w:color w:val="auto"/>
              </w:rPr>
              <w:t>(Principal Executive Officer)</w:t>
            </w:r>
          </w:p>
        </w:tc>
      </w:tr>
    </w:tbl>
    <w:p>
      <w:pPr>
        <w:sectPr>
          <w:pgSz w:w="11900" w:h="16838" w:orient="portrait"/>
          <w:cols w:equalWidth="0" w:num="1">
            <w:col w:w="9859"/>
          </w:cols>
          <w:pgMar w:left="600" w:top="324" w:right="1440" w:bottom="1440" w:gutter="0" w:footer="0" w:header="0"/>
        </w:sectPr>
      </w:pPr>
    </w:p>
    <w:bookmarkStart w:id="58" w:name="page59"/>
    <w:bookmarkEnd w:id="58"/>
    <w:p>
      <w:pPr>
        <w:ind w:left="10340"/>
        <w:spacing w:after="0"/>
        <w:rPr>
          <w:sz w:val="20"/>
          <w:szCs w:val="20"/>
          <w:color w:val="auto"/>
        </w:rPr>
      </w:pPr>
      <w:r>
        <w:rPr>
          <w:rFonts w:ascii="Arial" w:cs="Arial" w:eastAsia="Arial" w:hAnsi="Arial"/>
          <w:sz w:val="16"/>
          <w:szCs w:val="16"/>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Principal Financial Officer Pursuant to 18 U.S.C. Section 1350 as Adopted Pursuant to Section 906 of the Sarbanes-Oxley Act of 2002</w:t>
      </w:r>
    </w:p>
    <w:p>
      <w:pPr>
        <w:spacing w:after="0" w:line="2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Domenic Della Penna, the Chief Financial Officer of Venus Concept Inc.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certify, that, to my knowledge:</w:t>
      </w:r>
    </w:p>
    <w:p>
      <w:pPr>
        <w:spacing w:after="0" w:line="148" w:lineRule="exact"/>
        <w:rPr>
          <w:sz w:val="20"/>
          <w:szCs w:val="20"/>
          <w:color w:val="auto"/>
        </w:rPr>
      </w:pPr>
    </w:p>
    <w:p>
      <w:pPr>
        <w:ind w:left="580" w:hanging="575"/>
        <w:spacing w:after="0" w:line="268"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2021 (the “</w:t>
      </w:r>
      <w:r>
        <w:rPr>
          <w:rFonts w:ascii="Arial" w:cs="Arial" w:eastAsia="Arial" w:hAnsi="Arial"/>
          <w:sz w:val="18"/>
          <w:szCs w:val="18"/>
          <w:b w:val="1"/>
          <w:bCs w:val="1"/>
          <w:color w:val="auto"/>
        </w:rPr>
        <w:t>Report</w:t>
      </w:r>
      <w:r>
        <w:rPr>
          <w:rFonts w:ascii="Arial" w:cs="Arial" w:eastAsia="Arial" w:hAnsi="Arial"/>
          <w:sz w:val="18"/>
          <w:szCs w:val="18"/>
          <w:color w:val="auto"/>
        </w:rPr>
        <w:t>”) of the Company fully complies with the requirements of Section 13(a) of the Securities Exchange Act of 1934; and</w:t>
      </w:r>
    </w:p>
    <w:p>
      <w:pPr>
        <w:spacing w:after="0" w:line="135" w:lineRule="exact"/>
        <w:rPr>
          <w:rFonts w:ascii="Arial" w:cs="Arial" w:eastAsia="Arial" w:hAnsi="Arial"/>
          <w:sz w:val="18"/>
          <w:szCs w:val="18"/>
          <w:color w:val="auto"/>
        </w:rPr>
      </w:pPr>
    </w:p>
    <w:p>
      <w:pPr>
        <w:ind w:left="580" w:hanging="575"/>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7" w:lineRule="exact"/>
        <w:rPr>
          <w:rFonts w:ascii="Arial" w:cs="Arial" w:eastAsia="Arial" w:hAnsi="Arial"/>
          <w:sz w:val="16"/>
          <w:szCs w:val="16"/>
          <w:color w:val="auto"/>
        </w:rPr>
      </w:pPr>
    </w:p>
    <w:p>
      <w:pPr>
        <w:ind w:left="4400"/>
        <w:spacing w:after="0"/>
        <w:rPr>
          <w:rFonts w:ascii="Arial" w:cs="Arial" w:eastAsia="Arial" w:hAnsi="Arial"/>
          <w:sz w:val="16"/>
          <w:szCs w:val="16"/>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306070</wp:posOffset>
            </wp:positionV>
            <wp:extent cx="717804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Arial" w:cs="Arial" w:eastAsia="Arial" w:hAnsi="Arial"/>
                <w:sz w:val="18"/>
                <w:szCs w:val="18"/>
                <w:color w:val="auto"/>
              </w:rPr>
              <w:t>Date: November 12, 2021</w:t>
            </w:r>
          </w:p>
        </w:tc>
        <w:tc>
          <w:tcPr>
            <w:tcW w:w="1760" w:type="dxa"/>
            <w:vAlign w:val="bottom"/>
          </w:tcPr>
          <w:p>
            <w:pPr>
              <w:ind w:left="1520"/>
              <w:spacing w:after="0"/>
              <w:rPr>
                <w:sz w:val="20"/>
                <w:szCs w:val="20"/>
                <w:color w:val="auto"/>
              </w:rPr>
            </w:pPr>
            <w:r>
              <w:rPr>
                <w:rFonts w:ascii="Arial" w:cs="Arial" w:eastAsia="Arial" w:hAnsi="Arial"/>
                <w:sz w:val="18"/>
                <w:szCs w:val="18"/>
                <w:color w:val="auto"/>
                <w:w w:val="84"/>
              </w:rPr>
              <w:t>By:</w:t>
            </w:r>
          </w:p>
        </w:tc>
        <w:tc>
          <w:tcPr>
            <w:tcW w:w="44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Della Penna</w:t>
            </w:r>
          </w:p>
        </w:tc>
      </w:tr>
      <w:tr>
        <w:trPr>
          <w:trHeight w:val="198"/>
        </w:trPr>
        <w:tc>
          <w:tcPr>
            <w:tcW w:w="3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440" w:type="dxa"/>
            <w:vAlign w:val="bottom"/>
          </w:tcPr>
          <w:p>
            <w:pPr>
              <w:ind w:left="1020"/>
              <w:spacing w:after="0" w:line="198" w:lineRule="exact"/>
              <w:rPr>
                <w:sz w:val="20"/>
                <w:szCs w:val="20"/>
                <w:color w:val="auto"/>
              </w:rPr>
            </w:pPr>
            <w:r>
              <w:rPr>
                <w:rFonts w:ascii="Arial" w:cs="Arial" w:eastAsia="Arial" w:hAnsi="Arial"/>
                <w:sz w:val="18"/>
                <w:szCs w:val="18"/>
                <w:b w:val="1"/>
                <w:bCs w:val="1"/>
                <w:color w:val="auto"/>
              </w:rPr>
              <w:t>Name: Domenic Della Penna</w:t>
            </w:r>
          </w:p>
        </w:tc>
      </w:tr>
      <w:tr>
        <w:trPr>
          <w:trHeight w:val="210"/>
        </w:trPr>
        <w:tc>
          <w:tcPr>
            <w:tcW w:w="3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40" w:type="dxa"/>
            <w:vAlign w:val="bottom"/>
          </w:tcPr>
          <w:p>
            <w:pPr>
              <w:ind w:left="1100"/>
              <w:spacing w:after="0"/>
              <w:rPr>
                <w:sz w:val="20"/>
                <w:szCs w:val="20"/>
                <w:color w:val="auto"/>
              </w:rPr>
            </w:pPr>
            <w:r>
              <w:rPr>
                <w:rFonts w:ascii="Arial" w:cs="Arial" w:eastAsia="Arial" w:hAnsi="Arial"/>
                <w:sz w:val="18"/>
                <w:szCs w:val="18"/>
                <w:b w:val="1"/>
                <w:bCs w:val="1"/>
                <w:color w:val="auto"/>
              </w:rPr>
              <w:t>Chief Financial Officer</w:t>
            </w:r>
          </w:p>
        </w:tc>
      </w:tr>
      <w:tr>
        <w:trPr>
          <w:trHeight w:val="228"/>
        </w:trPr>
        <w:tc>
          <w:tcPr>
            <w:tcW w:w="3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440" w:type="dxa"/>
            <w:vAlign w:val="bottom"/>
          </w:tcPr>
          <w:p>
            <w:pPr>
              <w:ind w:left="940"/>
              <w:spacing w:after="0"/>
              <w:rPr>
                <w:sz w:val="20"/>
                <w:szCs w:val="20"/>
                <w:color w:val="auto"/>
              </w:rPr>
            </w:pPr>
            <w:r>
              <w:rPr>
                <w:rFonts w:ascii="Arial" w:cs="Arial" w:eastAsia="Arial" w:hAnsi="Arial"/>
                <w:sz w:val="18"/>
                <w:szCs w:val="18"/>
                <w:b w:val="1"/>
                <w:bCs w:val="1"/>
                <w:color w:val="auto"/>
              </w:rPr>
              <w:t>(Principal Financial Officer)</w:t>
            </w:r>
          </w:p>
        </w:tc>
      </w:tr>
    </w:tbl>
    <w:p>
      <w:pPr>
        <w:spacing w:after="0" w:line="1" w:lineRule="exact"/>
        <w:rPr>
          <w:sz w:val="20"/>
          <w:szCs w:val="20"/>
          <w:color w:val="auto"/>
        </w:rPr>
      </w:pPr>
    </w:p>
    <w:sectPr>
      <w:pgSz w:w="11900" w:h="16838" w:orient="portrait"/>
      <w:cols w:equalWidth="0" w:num="1">
        <w:col w:w="9859"/>
      </w:cols>
      <w:pgMar w:left="60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79" Type="http://schemas.openxmlformats.org/officeDocument/2006/relationships/hyperlink" Target="http://www.sec.gov/Archives/edgar/data/0001409269/000119312517311810/d448597dex31.htm" TargetMode="External"/><Relationship Id="rId80" Type="http://schemas.openxmlformats.org/officeDocument/2006/relationships/hyperlink" Target="http://www.sec.gov/Archives/edgar/data/0001409269/000119312519286952/d827576dex31.htm" TargetMode="External"/><Relationship Id="rId81" Type="http://schemas.openxmlformats.org/officeDocument/2006/relationships/hyperlink" Target="http://www.sec.gov/Archives/edgar/data/0001409269/000119312519286952/d827576dex32.htm" TargetMode="External"/><Relationship Id="rId82" Type="http://schemas.openxmlformats.org/officeDocument/2006/relationships/hyperlink" Target="http://www.sec.gov/Archives/edgar/data/1409269/000114036121029744/brhc10028490_ex10-1.htm" TargetMode="External"/><Relationship Id="rId83" Type="http://schemas.openxmlformats.org/officeDocument/2006/relationships/hyperlink" Target="http://www.sec.gov/Archives/edgar/data/1409269/000114036121029744/brhc10028490_ex10-2.htm" TargetMode="External"/><Relationship Id="rId84" Type="http://schemas.openxmlformats.org/officeDocument/2006/relationships/hyperlink" Target="http://www.sec.gov/Archives/edgar/data/1409269/000114036121029744/brhc10028490_ex10-3.htm" TargetMode="External"/><Relationship Id="rId85" Type="http://schemas.openxmlformats.org/officeDocument/2006/relationships/hyperlink" Target="http://www.sec.gov/Archives/edgar/data/1409269/000114036121029744/brhc10028490_ex10-4.htm" TargetMode="External"/><Relationship Id="rId86" Type="http://schemas.openxmlformats.org/officeDocument/2006/relationships/hyperlink" Target="http://www.sec.gov/Archives/edgar/data/1409269/000114036121029744/brhc10028490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2021-11-12T08:59:48Z</dcterms:created>
  <dcterms:modified xsi:type="dcterms:W3CDTF">2021-11-12T08:59:48Z</dcterms:modified>
</cp:coreProperties>
</file>