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20" w:right="1720" w:hanging="3712"/>
        <w:spacing w:after="0" w:line="392" w:lineRule="auto"/>
        <w:tabs>
          <w:tab w:leader="none" w:pos="51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283" w:lineRule="exact"/>
        <w:rPr>
          <w:sz w:val="24"/>
          <w:szCs w:val="24"/>
          <w:color w:val="auto"/>
        </w:rPr>
      </w:pPr>
    </w:p>
    <w:p>
      <w:pPr>
        <w:ind w:left="3320" w:right="1720" w:hanging="331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Restoration Robotics,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06-1681204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128 Baytech Drive</w:t>
            </w:r>
          </w:p>
        </w:tc>
        <w:tc>
          <w:tcPr>
            <w:tcW w:w="3060" w:type="dxa"/>
            <w:vAlign w:val="bottom"/>
          </w:tcPr>
          <w:p>
            <w:pPr>
              <w:spacing w:after="0"/>
              <w:rPr>
                <w:sz w:val="24"/>
                <w:szCs w:val="24"/>
                <w:color w:val="auto"/>
              </w:rPr>
            </w:pPr>
          </w:p>
        </w:tc>
      </w:tr>
      <w:tr>
        <w:trPr>
          <w:trHeight w:val="216"/>
        </w:trPr>
        <w:tc>
          <w:tcPr>
            <w:tcW w:w="4180" w:type="dxa"/>
            <w:vAlign w:val="bottom"/>
          </w:tcPr>
          <w:p>
            <w:pPr>
              <w:jc w:val="center"/>
              <w:ind w:right="2003"/>
              <w:spacing w:after="0"/>
              <w:rPr>
                <w:sz w:val="20"/>
                <w:szCs w:val="20"/>
                <w:color w:val="auto"/>
              </w:rPr>
            </w:pPr>
            <w:r>
              <w:rPr>
                <w:rFonts w:ascii="Arial" w:cs="Arial" w:eastAsia="Arial" w:hAnsi="Arial"/>
                <w:sz w:val="18"/>
                <w:szCs w:val="18"/>
                <w:b w:val="1"/>
                <w:bCs w:val="1"/>
                <w:color w:val="auto"/>
                <w:w w:val="88"/>
              </w:rPr>
              <w:t>San Jose, CA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95134</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(408) 883-6888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8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40" w:firstLine="51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300" w:firstLine="518"/>
        <w:spacing w:after="0" w:line="2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23, 2018, the registrant had 40,676,012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gridSpan w:val="5"/>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Financial Information</w:t>
              </w:r>
            </w:hyperlink>
          </w:p>
        </w:tc>
        <w:tc>
          <w:tcPr>
            <w:tcW w:w="7640" w:type="dxa"/>
            <w:vAlign w:val="bottom"/>
            <w:gridSpan w:val="15"/>
            <w:vMerge w:val="restart"/>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80" w:type="dxa"/>
            <w:vAlign w:val="bottom"/>
            <w:gridSpan w:val="2"/>
            <w:vMerge w:val="continue"/>
          </w:tcPr>
          <w:p>
            <w:pPr>
              <w:spacing w:after="0"/>
              <w:rPr>
                <w:sz w:val="14"/>
                <w:szCs w:val="14"/>
                <w:color w:val="auto"/>
              </w:rPr>
            </w:pPr>
          </w:p>
        </w:tc>
        <w:tc>
          <w:tcPr>
            <w:tcW w:w="1720" w:type="dxa"/>
            <w:vAlign w:val="bottom"/>
            <w:tcBorders>
              <w:bottom w:val="single" w:sz="8" w:color="0000EE"/>
            </w:tcBorders>
            <w:gridSpan w:val="5"/>
            <w:vMerge w:val="continue"/>
          </w:tcPr>
          <w:p>
            <w:pPr>
              <w:spacing w:after="0"/>
              <w:rPr>
                <w:sz w:val="14"/>
                <w:szCs w:val="14"/>
                <w:color w:val="auto"/>
              </w:rPr>
            </w:pPr>
          </w:p>
        </w:tc>
        <w:tc>
          <w:tcPr>
            <w:tcW w:w="7640" w:type="dxa"/>
            <w:vAlign w:val="bottom"/>
            <w:gridSpan w:val="15"/>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45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Condensed Consolidated Financial Statements (unaudited)</w:t>
              </w:r>
            </w:hyperlink>
          </w:p>
        </w:tc>
        <w:tc>
          <w:tcPr>
            <w:tcW w:w="484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42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w:t>
              </w:r>
            </w:hyperlink>
          </w:p>
        </w:tc>
        <w:tc>
          <w:tcPr>
            <w:tcW w:w="496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04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9"/>
              </w:rPr>
            </w:pPr>
            <w:hyperlink w:anchor="page19">
              <w:r>
                <w:rPr>
                  <w:rFonts w:ascii="Arial" w:cs="Arial" w:eastAsia="Arial" w:hAnsi="Arial"/>
                  <w:sz w:val="18"/>
                  <w:szCs w:val="18"/>
                  <w:b w:val="1"/>
                  <w:bCs w:val="1"/>
                  <w:color w:val="0000EE"/>
                  <w:w w:val="89"/>
                </w:rPr>
                <w:t>Management’s Discussion and Analysis of Financial Condition and Results of Operations</w:t>
              </w:r>
            </w:hyperlink>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Quantitative and Qualitative Disclosures About Market Risk</w:t>
              </w:r>
            </w:hyperlink>
          </w:p>
        </w:tc>
        <w:tc>
          <w:tcPr>
            <w:tcW w:w="468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27">
              <w:r>
                <w:rPr>
                  <w:rFonts w:ascii="Arial" w:cs="Arial" w:eastAsia="Arial" w:hAnsi="Arial"/>
                  <w:sz w:val="18"/>
                  <w:szCs w:val="18"/>
                  <w:b w:val="1"/>
                  <w:bCs w:val="1"/>
                  <w:color w:val="0000EE"/>
                  <w:w w:val="88"/>
                </w:rPr>
                <w:t>Controls and Procedures</w:t>
              </w:r>
            </w:hyperlink>
          </w:p>
        </w:tc>
        <w:tc>
          <w:tcPr>
            <w:tcW w:w="74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202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73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140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Risk Factors</w:t>
              </w:r>
            </w:hyperlink>
          </w:p>
        </w:tc>
        <w:tc>
          <w:tcPr>
            <w:tcW w:w="7960" w:type="dxa"/>
            <w:vAlign w:val="bottom"/>
            <w:gridSpan w:val="1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7"/>
              </w:rPr>
            </w:pPr>
            <w:hyperlink w:anchor="page60">
              <w:r>
                <w:rPr>
                  <w:rFonts w:ascii="Arial" w:cs="Arial" w:eastAsia="Arial" w:hAnsi="Arial"/>
                  <w:sz w:val="18"/>
                  <w:szCs w:val="18"/>
                  <w:b w:val="1"/>
                  <w:bCs w:val="1"/>
                  <w:color w:val="0000EE"/>
                  <w:w w:val="87"/>
                </w:rPr>
                <w:t>Unregistered Sales of Equity Securities and Use of Proceeds</w:t>
              </w:r>
            </w:hyperlink>
          </w:p>
        </w:tc>
        <w:tc>
          <w:tcPr>
            <w:tcW w:w="478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61">
              <w:r>
                <w:rPr>
                  <w:rFonts w:ascii="Arial" w:cs="Arial" w:eastAsia="Arial" w:hAnsi="Arial"/>
                  <w:sz w:val="18"/>
                  <w:szCs w:val="18"/>
                  <w:b w:val="1"/>
                  <w:bCs w:val="1"/>
                  <w:color w:val="0000EE"/>
                  <w:w w:val="89"/>
                </w:rPr>
                <w:t>Defaults Upon Senior Securities</w:t>
              </w:r>
            </w:hyperlink>
          </w:p>
        </w:tc>
        <w:tc>
          <w:tcPr>
            <w:tcW w:w="6900" w:type="dxa"/>
            <w:vAlign w:val="bottom"/>
            <w:gridSpan w:val="1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Mine Safety Disclosures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61">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52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60"/>
              <w:spacing w:after="0"/>
              <w:rPr>
                <w:sz w:val="20"/>
                <w:szCs w:val="20"/>
                <w:color w:val="auto"/>
              </w:rPr>
            </w:pPr>
            <w:r>
              <w:rPr>
                <w:rFonts w:ascii="Arial" w:cs="Arial" w:eastAsia="Arial" w:hAnsi="Arial"/>
                <w:sz w:val="16"/>
                <w:szCs w:val="16"/>
                <w:color w:val="auto"/>
                <w:w w:val="97"/>
              </w:rPr>
              <w:t>Accounts receivable, net of allowance of $839 and $229 as of September 30, 2018 and December 31, 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260"/>
              <w:spacing w:after="0"/>
              <w:rPr>
                <w:sz w:val="20"/>
                <w:szCs w:val="20"/>
                <w:color w:val="auto"/>
              </w:rPr>
            </w:pPr>
            <w:r>
              <w:rPr>
                <w:rFonts w:ascii="Arial" w:cs="Arial" w:eastAsia="Arial" w:hAnsi="Arial"/>
                <w:sz w:val="16"/>
                <w:szCs w:val="16"/>
                <w:color w:val="auto"/>
              </w:rPr>
              <w:t>respectively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37,737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3,947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Other accrued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Current portion of long-term debt, net of discount of $270 as of December 31, 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14,046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net of discount of $1,454 and $29 as of September 30, 2018 and December 31, 2017</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w w:val="91"/>
              </w:rPr>
              <w:t>Convertible preferred stock, $0.0001 par value; 10,000,000 shares authorized and no shares issued and outstanding as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of September 30, 2018 and December 31, 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w w:val="91"/>
              </w:rPr>
              <w:t>Common stock, $0.0001 par value; 300,000,000 shares authorized as of September 30, 2018 and December 31, 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w w:val="98"/>
              </w:rPr>
              <w:t>40,676,012 and 28,940,282 shares issued and outstanding as of September 30, 2018 and December 31, 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194,586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(185,231)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(164,487)</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9,313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37,737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2,191</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8,597</w:t>
            </w:r>
          </w:p>
        </w:tc>
        <w:tc>
          <w:tcPr>
            <w:tcW w:w="2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6,309</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25,592</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(6,442)</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(4,606)</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(18,656)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(13,476)</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Other expense,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(631)</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(492)</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(1,473)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expense, net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(619)</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(1,965)</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Net loss before provision for income taxes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(7,061)</w:t>
            </w:r>
          </w:p>
        </w:tc>
        <w:tc>
          <w:tcPr>
            <w:tcW w:w="3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(6,571)</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(20,712)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(16,729)</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(7,069)</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(6,596)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(20,744)</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(16,779)</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(0.20)</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(4.07)</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(0.67)</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w w:val="96"/>
              </w:rPr>
              <w:t>Weighted-average shares used in computing net loss per share attributable to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stockholders, basic and diluted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35,007,299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1,620,691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31,054,837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4"/>
              </w:rPr>
              <w:t>(7,069)</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4"/>
              </w:rPr>
              <w:t>(6,596)</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(20,744)</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(16,779)</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Cumulative translation adjustment</w:t>
            </w:r>
          </w:p>
        </w:tc>
        <w:tc>
          <w:tcPr>
            <w:tcW w:w="7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vMerge w:val="continue"/>
          </w:tcPr>
          <w:p>
            <w:pPr>
              <w:spacing w:after="0"/>
              <w:rPr>
                <w:sz w:val="17"/>
                <w:szCs w:val="17"/>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(7,078)</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(6,570)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(20,711)</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(16,801)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28,940,282</w:t>
            </w:r>
          </w:p>
        </w:tc>
        <w:tc>
          <w:tcPr>
            <w:tcW w:w="92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(79)</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(164,487)</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60"/>
              <w:spacing w:after="0"/>
              <w:rPr>
                <w:sz w:val="20"/>
                <w:szCs w:val="20"/>
                <w:color w:val="auto"/>
              </w:rPr>
            </w:pPr>
            <w:r>
              <w:rPr>
                <w:rFonts w:ascii="Arial" w:cs="Arial" w:eastAsia="Arial" w:hAnsi="Arial"/>
                <w:sz w:val="16"/>
                <w:szCs w:val="16"/>
                <w:color w:val="auto"/>
                <w:w w:val="97"/>
              </w:rPr>
              <w:t>Issuance of common stock pursuant to stock option exercises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260"/>
              <w:spacing w:after="0"/>
              <w:rPr>
                <w:sz w:val="20"/>
                <w:szCs w:val="20"/>
                <w:color w:val="auto"/>
              </w:rPr>
            </w:pPr>
            <w:r>
              <w:rPr>
                <w:rFonts w:ascii="Arial" w:cs="Arial" w:eastAsia="Arial" w:hAnsi="Arial"/>
                <w:sz w:val="16"/>
                <w:szCs w:val="16"/>
                <w:color w:val="auto"/>
              </w:rPr>
              <w:t>vested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235,730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w w:val="99"/>
              </w:rPr>
              <w:t>Issuance of common stock warrants pursuant to debt financing</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in connection with our follow-on</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offering, net of underwriters' commission and offering costs of</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$1,635</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11,500,000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Other comprehensive gain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(20,744)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(20,744)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Balance — September 30, 2018</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0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40,676,012</w:t>
            </w:r>
          </w:p>
        </w:tc>
        <w:tc>
          <w:tcPr>
            <w:tcW w:w="92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194,586</w:t>
            </w:r>
          </w:p>
        </w:tc>
        <w:tc>
          <w:tcPr>
            <w:tcW w:w="2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(46)</w:t>
            </w: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(185,231)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(20,744)</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(16,779)</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Non-cash loss on extinguishment of debt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Changes in fair value of preferred stock warrant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bad debt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Changes in excess and obsolete inventory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(3,417)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and other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(21,226)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(14,376)</w:t>
            </w: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(1,051)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Proceeds from convertible notes,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issuance of Series C convertible preferred stock, net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Proceeds from exercised stock options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 of deferred offering costs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Proceeds from follow-on offering,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long-term debt, net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(13,300)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(6,137)</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23,645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 End of period</w:t>
            </w:r>
          </w:p>
        </w:tc>
        <w:tc>
          <w:tcPr>
            <w:tcW w:w="1280" w:type="dxa"/>
            <w:vAlign w:val="bottom"/>
            <w:gridSpan w:val="2"/>
            <w:shd w:val="clear" w:color="auto" w:fill="CFF0FC"/>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23,692</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vMerge w:val="continue"/>
          </w:tcPr>
          <w:p>
            <w:pPr>
              <w:spacing w:after="0"/>
              <w:rPr>
                <w:sz w:val="20"/>
                <w:szCs w:val="20"/>
                <w:color w:val="auto"/>
              </w:rPr>
            </w:pPr>
          </w:p>
        </w:tc>
        <w:tc>
          <w:tcPr>
            <w:tcW w:w="128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1,240</w:t>
            </w:r>
          </w:p>
        </w:tc>
        <w:tc>
          <w:tcPr>
            <w:tcW w:w="160" w:type="dxa"/>
            <w:vAlign w:val="bottom"/>
          </w:tcPr>
          <w:p>
            <w:pPr>
              <w:spacing w:after="0"/>
              <w:rPr>
                <w:sz w:val="20"/>
                <w:szCs w:val="20"/>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80" w:type="dxa"/>
            <w:vAlign w:val="bottom"/>
          </w:tcPr>
          <w:p>
            <w:pPr>
              <w:ind w:left="260"/>
              <w:spacing w:after="0"/>
              <w:rPr>
                <w:sz w:val="20"/>
                <w:szCs w:val="20"/>
                <w:color w:val="auto"/>
              </w:rPr>
            </w:pPr>
            <w:r>
              <w:rPr>
                <w:rFonts w:ascii="Arial" w:cs="Arial" w:eastAsia="Arial" w:hAnsi="Arial"/>
                <w:sz w:val="16"/>
                <w:szCs w:val="16"/>
                <w:color w:val="auto"/>
              </w:rPr>
              <w:t>Purchase of property and equipment included in accounts payable</w:t>
            </w:r>
          </w:p>
        </w:tc>
        <w:tc>
          <w:tcPr>
            <w:tcW w:w="280" w:type="dxa"/>
            <w:vAlign w:val="bottom"/>
          </w:tcPr>
          <w:p>
            <w:pPr>
              <w:spacing w:after="0"/>
              <w:rPr>
                <w:sz w:val="20"/>
                <w:szCs w:val="20"/>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0"/>
                <w:szCs w:val="20"/>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Discounts and issuance costs in connection with long-term debt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of warrants in connection with long-term debt</w:t>
            </w: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404</w:t>
            </w:r>
          </w:p>
        </w:tc>
        <w:tc>
          <w:tcPr>
            <w:tcW w:w="160" w:type="dxa"/>
            <w:vAlign w:val="bottom"/>
          </w:tcPr>
          <w:p>
            <w:pPr>
              <w:spacing w:after="0"/>
              <w:rPr>
                <w:sz w:val="19"/>
                <w:szCs w:val="19"/>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offering costs included in accounts payable and accrued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per share data and percentage)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Restoration Robotics, Inc. is a medical technology company incorporated in the state of Delaware on November 22, 2002 and headquartered in San Jose, California. The Company develops an image-guided robotic system that enables follicular unit extraction (FUE) for use in the field of hair transplantation and markets the ARTAS</w:t>
      </w:r>
      <w:r>
        <w:rPr>
          <w:rFonts w:ascii="Arial" w:cs="Arial" w:eastAsia="Arial" w:hAnsi="Arial"/>
          <w:sz w:val="15"/>
          <w:szCs w:val="15"/>
          <w:color w:val="auto"/>
        </w:rPr>
        <w:t>®</w:t>
      </w:r>
      <w:r>
        <w:rPr>
          <w:rFonts w:ascii="Arial" w:cs="Arial" w:eastAsia="Arial" w:hAnsi="Arial"/>
          <w:sz w:val="18"/>
          <w:szCs w:val="18"/>
          <w:color w:val="auto"/>
        </w:rPr>
        <w:t xml:space="preserve"> Robotic System in the United States and other countries. In these notes to the unaudited condensed consolidated financial statements, the “Company,” “Restoration Robotics,” “we,” “us,” and “our” refers to Restoration Robotics, Inc. and its subsidiaries on a consolidated basis.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On October 11, 2017, the Company’s Registration Statement on Form S-1 (File No. 333-220303) relating to the initial public offering (IPO) of its common stock was declared effective by the Securities and Exchange Commission (SEC). Pursuant to such Registration Statement, the Company completed its IPO of 3,897,910 shares of its common stock (inclusive of 322,910 shares of common stock from the subsequent exercise of the over-allotment option granted to the underwriters) at a price of $7.00 per share for aggregate cash proceeds of approximately $22,114, after deducting underwriting discounts and commissions, and offering costs totaling $5,171.</w:t>
      </w:r>
    </w:p>
    <w:p>
      <w:pPr>
        <w:spacing w:after="0" w:line="188"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Immediately prior to the closing of the IPO, all outstanding shares of convertible preferred stock converted into 22,671,601 shares of common stock and all the outstanding convertible preferred stock warrants converted into common stock warrants resulting in the reclassification of our preferred stock warrant liabilities to additional paid-in capital. In addition, the principal and accrued interest on the outstanding Convertible Notes converted into 718,184 shares of common stock. The IPO closed on October 16, 2017.</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Follow-on Public Offering</w:t>
      </w:r>
    </w:p>
    <w:p>
      <w:pPr>
        <w:spacing w:after="0" w:line="121"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On August 16, 2018, the Company closed its follow-on public offering of 10,000,000 shares of its common stock, plus 1,500,000 shares of common stock from the subsequent exercise of the over-allotment option granted to the underwriters. The public offering price of the shares sold was $1.50 per share. The Company received aggregate proceeds of approximately $15.6 million from the follow-on offering, after deducting underwriting discounts and commissions and offering costs totaling $1.6 million. The Company intends to use the net proceeds from this offering (including net proceeds from the underwriters’ exercise of their option to purchase additional shares of common stock) to fund expanded commercialization activities in connection with our recently launched ARTAS</w:t>
      </w:r>
      <w:r>
        <w:rPr>
          <w:rFonts w:ascii="Arial" w:cs="Arial" w:eastAsia="Arial" w:hAnsi="Arial"/>
          <w:sz w:val="15"/>
          <w:szCs w:val="15"/>
          <w:color w:val="auto"/>
        </w:rPr>
        <w:t>®</w:t>
      </w:r>
      <w:r>
        <w:rPr>
          <w:rFonts w:ascii="Arial" w:cs="Arial" w:eastAsia="Arial" w:hAnsi="Arial"/>
          <w:sz w:val="18"/>
          <w:szCs w:val="18"/>
          <w:color w:val="auto"/>
        </w:rPr>
        <w:t xml:space="preserve"> iX System and for working capital and general corporate purposes.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520" w:right="40"/>
        <w:spacing w:after="0" w:line="270" w:lineRule="auto"/>
        <w:rPr>
          <w:sz w:val="20"/>
          <w:szCs w:val="20"/>
          <w:color w:val="auto"/>
        </w:rPr>
      </w:pPr>
      <w:r>
        <w:rPr>
          <w:rFonts w:ascii="Arial" w:cs="Arial" w:eastAsia="Arial" w:hAnsi="Arial"/>
          <w:sz w:val="17"/>
          <w:szCs w:val="17"/>
          <w:color w:val="auto"/>
        </w:rPr>
        <w:t>On September 15, 2017, the Company effected a 1-for-10 reverse stock split of its common stock. Upon the effectiveness of the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l-for-10 basis, and (iv) the conversion ratio for each share of outstanding preferred stock which is convertible into our common stock was proportionately reduced on a 1-for-10 basis. All of the outstanding common stock share numbers (including shares of common stock into which our outstanding convertible preferred stock shares are convertible), share prices, exercise prices and per share amounts have been adjusted in these consolidated statements, on a retroactive basis, to reflect this l-for-10 reverse stock split for all periods presented. The par value per share and the authorized number of shares of common stock and convertible preferred stock were not adjusted because of the reverse stock split.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condensed consolidated financial statements are prepared on a going concern basis that contemplates the realization of assets and</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extinguishment of liabilities in the normal course of business. The Company has incurred net operating losses and negative cash flows from</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operations since inception. As of September 30, 2018, and December 31, 2017, the Company has an accumulated deficit of $185,231 and</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$164,487 and, as of such dates, and through the date of this filing, does not have sufficient capital to fund its planned operations. Because of the</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Company’s recurring losses from operations and negative cash flows, the Company’s independent registered public accounting firm included an</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explanatory paragraph in its report on the Company’s consolidated financial statements as of, and for the year ended, December 31, 2017 that</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such factors raise substantial doubt about the Company’s ability to continue as a going concern. To continue its operations, the Company must</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achieve profitable operations and/or obtain additional financing. Until the Company generates revenue at a level to support its cost structure, the</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Company expects to continue to incur substantial operating losses and net cash outflows. The Company may never become profitable and even if</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does attain profitable operations, it may not be able to sustain profitability or positive cash flows on a recurring basis.</w:t>
      </w:r>
    </w:p>
    <w:p>
      <w:pPr>
        <w:spacing w:after="0" w:line="211"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Company will need to raise further capital in the future to service its debt or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187"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20" w:right="20"/>
        <w:spacing w:after="0" w:line="268" w:lineRule="auto"/>
        <w:rPr>
          <w:sz w:val="20"/>
          <w:szCs w:val="20"/>
          <w:color w:val="auto"/>
        </w:rPr>
      </w:pPr>
      <w:r>
        <w:rPr>
          <w:rFonts w:ascii="Arial" w:cs="Arial" w:eastAsia="Arial" w:hAnsi="Arial"/>
          <w:sz w:val="17"/>
          <w:szCs w:val="17"/>
          <w:color w:val="auto"/>
        </w:rPr>
        <w:t>The condensed consolidated balance sheet as of September 30, 2018, the condensed consolidated statements of operations and condensed consolidated statements of comprehensive loss for the three and nine months ended September 30, 2018 and 2017 and the condensed consolidated statements of cash flows for the nine months ended September 30, 2018 and 2017 and the condensed consolidated statement of stockholders’ equity for the nine months ended September 30, 2018 are unaudited. The accompanying unaudited condensed consolidated financial statements have been prepared in accordance with generally accepted accounting principles in the United States (U.S. GAAP) and in the opinion of management, reflect all adjustments of a normal and recurring nature that are necessary for the fair presentation of the Company’s condensed consolidated financial statements included in this report. The condensed consolidated financial data disclosed in these notes to the condensed consolidated financial statements related to the three- and nine-month periods are also unaudited. The condensed consolidated results of operations for the three and nine months ended September 30, 2018 are not necessarily indicative of the results to be expected for the year ending December 31, 2018, or for any other future annual or interim period. The consolidated balance sheet as of December 31, 2017 included herein was derived from the audited consolidated financial statements as of that date. These condensed consolidated financial statements should be read in conjunction with the Company’s audited consolidated financial statements included in its Annual Report filed on Form 10-K for the year ended December 31, 2017, with the SEC on March 5, 2018.</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Restoration Robotics, Inc. and its wholly owned subsidiaries, which are organized in the United States, United Kingdom, Spain, Hong Kong and South Korea. All significant intercompany accounts and transactions have been eliminated in consolidation.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Significant estimates and assumptions made in the accompanying condensed consolidated financial statements include, but are not limited to revenue recognition, the fair value of common stock,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Accrued compensation, which were previously included in other accrued liabilities in the prior year's condensed consolidated balance sheet have been reclassified to conform to the current period's presentation. The reclassification had no impact on the previously reported consolidated financial statements for the year ended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three and nine months ended September 30, 2018, no customers accounted for more than 10% of the Company’s revenue. For the three months ended September 30, 2017, two customers accounted for 11% and 12% of the Company’s revenues and no customers accounted for more than 10% of the Company’s revenue for the nine months ended September 30, 2017. As of September 30, 2018, no customers accounted for more than 10% of the Company’s accounts receivable. As of December 31, 2017, two customers accounted for 10% and 11% of the Company’s accounts receivable.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2" w:lineRule="exact"/>
        <w:rPr>
          <w:sz w:val="20"/>
          <w:szCs w:val="20"/>
          <w:color w:val="auto"/>
        </w:rPr>
      </w:pPr>
    </w:p>
    <w:p>
      <w:pPr>
        <w:ind w:right="400" w:firstLine="6"/>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1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In May 2014, the Financial Accounting Standards Board (FASB) issued ASU No. 2014</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provides guidance on the recognition of costs related to obtaining and fulfilling customer contracts. For public entities, this standard is effective for annual reporting periods beginning after December 15, 2017, including interim periods within that reporting period. For all other entities, this standard is effective for annual reporting periods beginning after December 15, 2018, and interim periods within annual periods beginning after December 15, 2019. Early adoption is permitted. ASU 2014</w:t>
      </w:r>
      <w:r>
        <w:rPr>
          <w:rFonts w:ascii="MS PGothic" w:cs="MS PGothic" w:eastAsia="MS PGothic" w:hAnsi="MS PGothic"/>
          <w:sz w:val="16"/>
          <w:szCs w:val="16"/>
          <w:color w:val="auto"/>
        </w:rPr>
        <w:t>‑</w:t>
      </w:r>
      <w:r>
        <w:rPr>
          <w:rFonts w:ascii="Arial" w:cs="Arial" w:eastAsia="Arial" w:hAnsi="Arial"/>
          <w:sz w:val="16"/>
          <w:szCs w:val="16"/>
          <w:color w:val="auto"/>
        </w:rPr>
        <w:t>09 may be adopted either retrospectively to each prior period presented (full retrospective method) or with the cumulative effect recognized as of the date of initial application (modified retrospective method). The Company expects to adopt this standard effective January 1, 2019 using the modified retrospective adoption method. The Company’s preliminary assessment of areas to be impacted by the new standard identified possible impact to the deferral of costs to obtain a contract, which are primarily commission expense directly incurred because of sales of products and related support, and the allocation of revenue between products and support and maintenance for certain arrangements, taking into account performance obligations that may be immaterial in the context of the contract under Topic 606. While the Company continues to assess the potential impact of the new standard, including the areas described above, it has not yet quantified the impact the new standard may have on its consolidated financial statements.</w:t>
      </w:r>
    </w:p>
    <w:p>
      <w:pPr>
        <w:spacing w:after="0" w:line="204"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In February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or ASU 2016</w:t>
      </w:r>
      <w:r>
        <w:rPr>
          <w:rFonts w:ascii="MS PGothic" w:cs="MS PGothic" w:eastAsia="MS PGothic" w:hAnsi="MS PGothic"/>
          <w:sz w:val="17"/>
          <w:szCs w:val="17"/>
          <w:color w:val="auto"/>
        </w:rPr>
        <w:t>‑</w:t>
      </w:r>
      <w:r>
        <w:rPr>
          <w:rFonts w:ascii="Arial" w:cs="Arial" w:eastAsia="Arial" w:hAnsi="Arial"/>
          <w:sz w:val="17"/>
          <w:szCs w:val="17"/>
          <w:color w:val="auto"/>
        </w:rPr>
        <w:t>02, which requires lessees to record most leases on their balance sheets but recognize the expenses on their income statements in a manner similar to current practice. Under ASU 2016</w:t>
      </w:r>
      <w:r>
        <w:rPr>
          <w:rFonts w:ascii="MS PGothic" w:cs="MS PGothic" w:eastAsia="MS PGothic" w:hAnsi="MS PGothic"/>
          <w:sz w:val="17"/>
          <w:szCs w:val="17"/>
          <w:color w:val="auto"/>
        </w:rPr>
        <w:t>‑</w:t>
      </w:r>
      <w:r>
        <w:rPr>
          <w:rFonts w:ascii="Arial" w:cs="Arial" w:eastAsia="Arial" w:hAnsi="Arial"/>
          <w:sz w:val="17"/>
          <w:szCs w:val="17"/>
          <w:color w:val="auto"/>
        </w:rPr>
        <w:t>02, a lessee would recognize a lease liability for the obligation to make lease payments and a right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use asset for the right to use the underlying asset for the lease term. For public entities, this standard is effective for annual reporting periods beginning after December 15, 2018, including interim periods within that reporting period. For all other entities, this standard is effective for annual reporting periods beginning after December 15, 2019, and interim periods within annual periods beginning after December 15, 2020. Early adoption is permitted. The Company is currently evaluating the standard and its impact on the condensed consolidated financial statements. However, the Company does expect a material change in its consolidated assets and liabilities upon adoption of this standard.</w:t>
      </w: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665" w:right="279" w:bottom="1440" w:gutter="0" w:footer="0" w:header="0"/>
        </w:sectPr>
      </w:pPr>
    </w:p>
    <w:bookmarkStart w:id="10" w:name="page11"/>
    <w:bookmarkEnd w:id="10"/>
    <w:p>
      <w:pPr>
        <w:ind w:left="520" w:right="9260" w:hanging="512"/>
        <w:spacing w:after="0" w:line="400" w:lineRule="auto"/>
        <w:tabs>
          <w:tab w:leader="none" w:pos="182"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b w:val="1"/>
          <w:bCs w:val="1"/>
          <w:i w:val="1"/>
          <w:iCs w:val="1"/>
          <w:color w:val="auto"/>
        </w:rPr>
        <w:t>Net Loss Per Share</w:t>
      </w:r>
    </w:p>
    <w:p>
      <w:pPr>
        <w:spacing w:after="0" w:line="1" w:lineRule="exact"/>
        <w:rPr>
          <w:sz w:val="20"/>
          <w:szCs w:val="20"/>
          <w:color w:val="auto"/>
        </w:rPr>
      </w:pPr>
    </w:p>
    <w:p>
      <w:pPr>
        <w:ind w:left="520" w:right="8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common stock equivalents and are only included in the calculation of diluted net loss per share when their effect is dilutive.</w:t>
      </w:r>
    </w:p>
    <w:p>
      <w:pPr>
        <w:spacing w:after="0" w:line="188"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580"/>
              <w:spacing w:after="0"/>
              <w:rPr>
                <w:sz w:val="20"/>
                <w:szCs w:val="20"/>
                <w:color w:val="auto"/>
              </w:rPr>
            </w:pPr>
            <w:r>
              <w:rPr>
                <w:rFonts w:ascii="Arial" w:cs="Arial" w:eastAsia="Arial" w:hAnsi="Arial"/>
                <w:sz w:val="14"/>
                <w:szCs w:val="14"/>
                <w:b w:val="1"/>
                <w:bCs w:val="1"/>
                <w:color w:val="auto"/>
              </w:rPr>
              <w:t>As of September 30,</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2,026,889</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1,912,644</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22,671,601</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for preferred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468,181</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potential dilutive shares</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2,495,070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24,969,371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Cash and cash equivalents, restricted cash, accounts receivable, accounts payable, and accrued liabilities approximate fair market value because of the short-term nature of those instruments. The Company’s lease obligation, term loan and Convertible Notes have fair values that approximate their carrying value.</w:t>
      </w:r>
    </w:p>
    <w:p>
      <w:pPr>
        <w:spacing w:after="0" w:line="181" w:lineRule="exact"/>
        <w:rPr>
          <w:sz w:val="20"/>
          <w:szCs w:val="20"/>
          <w:color w:val="auto"/>
        </w:rPr>
      </w:pPr>
    </w:p>
    <w:p>
      <w:pPr>
        <w:ind w:left="520"/>
        <w:spacing w:after="0" w:line="276" w:lineRule="auto"/>
        <w:rPr>
          <w:sz w:val="20"/>
          <w:szCs w:val="20"/>
          <w:color w:val="auto"/>
        </w:rPr>
      </w:pPr>
      <w:r>
        <w:rPr>
          <w:rFonts w:ascii="Arial" w:cs="Arial" w:eastAsia="Arial" w:hAnsi="Arial"/>
          <w:sz w:val="17"/>
          <w:szCs w:val="17"/>
          <w:color w:val="auto"/>
        </w:rPr>
        <w:t>U.S. GAAP establishes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condensed consolidated financial statements and items disclosed at fair value in the notes to the condensed consolidated financial statements.</w:t>
      </w:r>
    </w:p>
    <w:p>
      <w:pPr>
        <w:spacing w:after="0" w:line="173" w:lineRule="exact"/>
        <w:rPr>
          <w:sz w:val="20"/>
          <w:szCs w:val="20"/>
          <w:color w:val="auto"/>
        </w:rPr>
      </w:pPr>
    </w:p>
    <w:p>
      <w:pPr>
        <w:ind w:left="520" w:right="400"/>
        <w:spacing w:after="0" w:line="312" w:lineRule="auto"/>
        <w:rPr>
          <w:sz w:val="20"/>
          <w:szCs w:val="20"/>
          <w:color w:val="auto"/>
        </w:rPr>
      </w:pPr>
      <w:r>
        <w:rPr>
          <w:rFonts w:ascii="Arial" w:cs="Arial" w:eastAsia="Arial" w:hAnsi="Arial"/>
          <w:sz w:val="16"/>
          <w:szCs w:val="16"/>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follows:</w:t>
      </w:r>
    </w:p>
    <w:p>
      <w:pPr>
        <w:spacing w:after="0" w:line="39" w:lineRule="exact"/>
        <w:rPr>
          <w:sz w:val="20"/>
          <w:szCs w:val="20"/>
          <w:color w:val="auto"/>
        </w:rPr>
      </w:pPr>
    </w:p>
    <w:p>
      <w:pPr>
        <w:ind w:left="1040" w:right="360"/>
        <w:spacing w:after="0" w:line="34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are available in active markets for identical assets or liabilities as of the report date. A quoted price for an identical</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in an active market provides the most reliable fair value measurement because it is directly observable to the market.</w:t>
      </w:r>
    </w:p>
    <w:p>
      <w:pPr>
        <w:spacing w:after="0" w:line="16" w:lineRule="exact"/>
        <w:rPr>
          <w:sz w:val="20"/>
          <w:szCs w:val="20"/>
          <w:color w:val="auto"/>
        </w:rPr>
      </w:pPr>
    </w:p>
    <w:p>
      <w:pPr>
        <w:ind w:left="104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which are either directly or indirectly observable as of the report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these securities includes investments for which quoted prices are available but traded less frequently and investments that are fair valued using other securities, the parameters of which can be directly observed.</w:t>
      </w:r>
    </w:p>
    <w:p>
      <w:pPr>
        <w:spacing w:after="0" w:line="73" w:lineRule="exact"/>
        <w:rPr>
          <w:sz w:val="20"/>
          <w:szCs w:val="20"/>
          <w:color w:val="auto"/>
        </w:rPr>
      </w:pPr>
    </w:p>
    <w:p>
      <w:pPr>
        <w:ind w:left="1040" w:right="60"/>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Securities that have little to no pricing observability as of the report date. These securities are measured using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fair value, where the inputs into the determination of fair value are not observable and require significant management judgment or estimation.</w:t>
      </w:r>
    </w:p>
    <w:p>
      <w:pPr>
        <w:spacing w:after="0" w:line="181"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 instrument within the hierarchy is based upon the pricing transparency of the instrument and does not necessarily correspond to the Company’s perceived risk of that instrument.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tables summarize the levels of fair value measurements of the Company’s cash equivalents: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4"/>
                <w:szCs w:val="14"/>
                <w:b w:val="1"/>
                <w:bCs w:val="1"/>
                <w:color w:val="auto"/>
              </w:rPr>
              <w:t>Fair Value Measurements as of September 30, 2018</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3"/>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Restricted cash:</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3"/>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Cash Equivalents: (1)</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Restricted cash:</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580" w:right="340" w:firstLine="2"/>
        <w:spacing w:after="0" w:line="259" w:lineRule="auto"/>
        <w:tabs>
          <w:tab w:leader="none" w:pos="83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incorrectly overstated its cash equivalents by $4,817 in its annual report on Form 10-K for the year ended December 31, 2017. Cash equivalents were $18,728, while cash was $4,817. The error in disclosure had no impact on previously reported cash and cash equivalents in the consolidated balance sheet as of December 31, 2017 or consolidated statement of operations for the year ended December 31, 2017.</w:t>
      </w:r>
    </w:p>
    <w:p>
      <w:pPr>
        <w:spacing w:after="0" w:line="304"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as of September 30, 2018, includes work in process and raw materials related to the Company’s next generation ARTAS iX System which was launched and manufactured by the Company starting in the third quarter of 2018.</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557" w:right="639" w:bottom="1440" w:gutter="0" w:footer="0" w:header="0"/>
        </w:sectPr>
      </w:pPr>
    </w:p>
    <w:bookmarkStart w:id="12" w:name="page13"/>
    <w:bookmarkEnd w:id="12"/>
    <w:p>
      <w:pPr>
        <w:ind w:left="512"/>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12"/>
        <w:spacing w:after="0"/>
        <w:rPr>
          <w:sz w:val="20"/>
          <w:szCs w:val="20"/>
          <w:color w:val="auto"/>
        </w:rPr>
      </w:pPr>
      <w:r>
        <w:rPr>
          <w:rFonts w:ascii="Arial" w:cs="Arial" w:eastAsia="Arial" w:hAnsi="Arial"/>
          <w:sz w:val="18"/>
          <w:szCs w:val="18"/>
          <w:color w:val="auto"/>
        </w:rPr>
        <w:t>Property and equipment, net consist of the following:</w:t>
      </w:r>
    </w:p>
    <w:p>
      <w:pPr>
        <w:spacing w:after="0" w:line="257" w:lineRule="exact"/>
        <w:rPr>
          <w:sz w:val="20"/>
          <w:szCs w:val="20"/>
          <w:color w:val="auto"/>
        </w:rPr>
      </w:pPr>
    </w:p>
    <w:tbl>
      <w:tblPr>
        <w:tblLayout w:type="fixed"/>
        <w:tblInd w:w="1712"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50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(3,651)</w:t>
            </w:r>
          </w:p>
        </w:tc>
      </w:tr>
      <w:tr>
        <w:trPr>
          <w:trHeight w:val="223"/>
        </w:trPr>
        <w:tc>
          <w:tcPr>
            <w:tcW w:w="4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12" w:right="440"/>
        <w:spacing w:after="0" w:line="277" w:lineRule="auto"/>
        <w:rPr>
          <w:sz w:val="20"/>
          <w:szCs w:val="20"/>
          <w:color w:val="auto"/>
        </w:rPr>
      </w:pPr>
      <w:r>
        <w:rPr>
          <w:rFonts w:ascii="Arial" w:cs="Arial" w:eastAsia="Arial" w:hAnsi="Arial"/>
          <w:sz w:val="18"/>
          <w:szCs w:val="18"/>
          <w:color w:val="auto"/>
        </w:rPr>
        <w:t>Depreciation and amortization expense were $268 and $539 for three and nine months ended September 30, 2018. Depreciation and amortization expense were $139 and $452 for the three and nine months ended September 30, 2017.</w:t>
      </w:r>
    </w:p>
    <w:p>
      <w:pPr>
        <w:spacing w:after="0" w:line="302" w:lineRule="exact"/>
        <w:rPr>
          <w:sz w:val="20"/>
          <w:szCs w:val="20"/>
          <w:color w:val="auto"/>
        </w:rPr>
      </w:pPr>
    </w:p>
    <w:p>
      <w:pPr>
        <w:ind w:left="512" w:right="7780" w:hanging="512"/>
        <w:spacing w:after="0" w:line="378" w:lineRule="auto"/>
        <w:tabs>
          <w:tab w:leader="none" w:pos="17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left="512"/>
        <w:spacing w:after="0"/>
        <w:rPr>
          <w:rFonts w:ascii="Arial" w:cs="Arial" w:eastAsia="Arial" w:hAnsi="Arial"/>
          <w:sz w:val="18"/>
          <w:szCs w:val="18"/>
          <w:b w:val="1"/>
          <w:bCs w:val="1"/>
          <w:color w:val="auto"/>
        </w:rPr>
      </w:pPr>
      <w:r>
        <w:rPr>
          <w:rFonts w:ascii="Arial" w:cs="Arial" w:eastAsia="Arial" w:hAnsi="Arial"/>
          <w:sz w:val="17"/>
          <w:szCs w:val="17"/>
          <w:color w:val="auto"/>
        </w:rPr>
        <w:t>The Company has various operating leases including 23,000 square feet of office space in San Jose, California, which expires in April 2022.</w:t>
      </w:r>
    </w:p>
    <w:p>
      <w:pPr>
        <w:spacing w:after="0" w:line="237"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Aggregate future minimum lease payments required under the Company’s operating leases as of September 30, 2018 are as follows:</w:t>
      </w:r>
    </w:p>
    <w:p>
      <w:pPr>
        <w:spacing w:after="0" w:line="222" w:lineRule="exact"/>
        <w:rPr>
          <w:sz w:val="20"/>
          <w:szCs w:val="20"/>
          <w:color w:val="auto"/>
        </w:rPr>
      </w:pPr>
    </w:p>
    <w:tbl>
      <w:tblPr>
        <w:tblLayout w:type="fixed"/>
        <w:tblInd w:w="2292"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(remaining 3 months)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2019</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2021</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future minimum lease payments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12" w:right="200"/>
        <w:spacing w:after="0" w:line="277" w:lineRule="auto"/>
        <w:rPr>
          <w:sz w:val="20"/>
          <w:szCs w:val="20"/>
          <w:color w:val="auto"/>
        </w:rPr>
      </w:pPr>
      <w:r>
        <w:rPr>
          <w:rFonts w:ascii="Arial" w:cs="Arial" w:eastAsia="Arial" w:hAnsi="Arial"/>
          <w:sz w:val="18"/>
          <w:szCs w:val="18"/>
          <w:color w:val="auto"/>
        </w:rPr>
        <w:t>Total rent expense was $163 and $401 for three and nine months ended September 30, 2018. Total rent expense was $103 and $310 for the three and nine months ended September 30, 2017.</w:t>
      </w:r>
    </w:p>
    <w:p>
      <w:pPr>
        <w:spacing w:after="0" w:line="27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512"/>
        <w:spacing w:after="0" w:line="291" w:lineRule="auto"/>
        <w:rPr>
          <w:sz w:val="20"/>
          <w:szCs w:val="20"/>
          <w:color w:val="auto"/>
        </w:rPr>
      </w:pPr>
      <w:r>
        <w:rPr>
          <w:rFonts w:ascii="Arial" w:cs="Arial" w:eastAsia="Arial" w:hAnsi="Arial"/>
          <w:sz w:val="16"/>
          <w:szCs w:val="16"/>
          <w:color w:val="auto"/>
        </w:rPr>
        <w:t>The Company has two master agreements and a component pricing agreement with Evolve Manufacturing Technologies, Inc. (Evolve) for the supply of the ARTAS</w:t>
      </w:r>
      <w:r>
        <w:rPr>
          <w:rFonts w:ascii="Arial" w:cs="Arial" w:eastAsia="Arial" w:hAnsi="Arial"/>
          <w:sz w:val="13"/>
          <w:szCs w:val="13"/>
          <w:color w:val="auto"/>
        </w:rPr>
        <w:t>®</w:t>
      </w:r>
      <w:r>
        <w:rPr>
          <w:rFonts w:ascii="Arial" w:cs="Arial" w:eastAsia="Arial" w:hAnsi="Arial"/>
          <w:sz w:val="16"/>
          <w:szCs w:val="16"/>
          <w:color w:val="auto"/>
        </w:rPr>
        <w:t xml:space="preserve"> System and consumable products. The terms of these master agreements are substantially similar. The master agreement for the sale of ARTAS</w:t>
      </w:r>
      <w:r>
        <w:rPr>
          <w:rFonts w:ascii="Arial" w:cs="Arial" w:eastAsia="Arial" w:hAnsi="Arial"/>
          <w:sz w:val="13"/>
          <w:szCs w:val="13"/>
          <w:color w:val="auto"/>
        </w:rPr>
        <w:t>®</w:t>
      </w:r>
      <w:r>
        <w:rPr>
          <w:rFonts w:ascii="Arial" w:cs="Arial" w:eastAsia="Arial" w:hAnsi="Arial"/>
          <w:sz w:val="16"/>
          <w:szCs w:val="16"/>
          <w:color w:val="auto"/>
        </w:rPr>
        <w:t xml:space="preserve">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Under the agreements, the Company has future purchase commitments up to $330 as of September 30, 2018.</w:t>
      </w:r>
    </w:p>
    <w:p>
      <w:pPr>
        <w:spacing w:after="0" w:line="167" w:lineRule="exact"/>
        <w:rPr>
          <w:sz w:val="20"/>
          <w:szCs w:val="20"/>
          <w:color w:val="auto"/>
        </w:rPr>
      </w:pPr>
    </w:p>
    <w:p>
      <w:pPr>
        <w:ind w:left="512"/>
        <w:spacing w:after="0" w:line="291" w:lineRule="auto"/>
        <w:rPr>
          <w:sz w:val="20"/>
          <w:szCs w:val="20"/>
          <w:color w:val="auto"/>
        </w:rPr>
      </w:pPr>
      <w:r>
        <w:rPr>
          <w:rFonts w:ascii="Arial" w:cs="Arial" w:eastAsia="Arial" w:hAnsi="Arial"/>
          <w:sz w:val="16"/>
          <w:szCs w:val="16"/>
          <w:color w:val="auto"/>
        </w:rPr>
        <w:t>In March 2018, the Company received U.S. FDA 510(k) clearance to expand the ARTAS</w:t>
      </w:r>
      <w:r>
        <w:rPr>
          <w:rFonts w:ascii="Arial" w:cs="Arial" w:eastAsia="Arial" w:hAnsi="Arial"/>
          <w:sz w:val="13"/>
          <w:szCs w:val="13"/>
          <w:color w:val="auto"/>
        </w:rPr>
        <w:t>®</w:t>
      </w:r>
      <w:r>
        <w:rPr>
          <w:rFonts w:ascii="Arial" w:cs="Arial" w:eastAsia="Arial" w:hAnsi="Arial"/>
          <w:sz w:val="16"/>
          <w:szCs w:val="16"/>
          <w:color w:val="auto"/>
        </w:rPr>
        <w:t xml:space="preserve"> System technology to include an implantation functionality, referred to as ARTAS</w:t>
      </w:r>
      <w:r>
        <w:rPr>
          <w:rFonts w:ascii="Arial" w:cs="Arial" w:eastAsia="Arial" w:hAnsi="Arial"/>
          <w:sz w:val="13"/>
          <w:szCs w:val="13"/>
          <w:color w:val="auto"/>
        </w:rPr>
        <w:t>®</w:t>
      </w:r>
      <w:r>
        <w:rPr>
          <w:rFonts w:ascii="Arial" w:cs="Arial" w:eastAsia="Arial" w:hAnsi="Arial"/>
          <w:sz w:val="16"/>
          <w:szCs w:val="16"/>
          <w:color w:val="auto"/>
        </w:rPr>
        <w:t xml:space="preserve"> iX. Based on manufacturing changes associated with the ARTAS</w:t>
      </w:r>
      <w:r>
        <w:rPr>
          <w:rFonts w:ascii="Arial" w:cs="Arial" w:eastAsia="Arial" w:hAnsi="Arial"/>
          <w:sz w:val="13"/>
          <w:szCs w:val="13"/>
          <w:color w:val="auto"/>
        </w:rPr>
        <w:t>®</w:t>
      </w:r>
      <w:r>
        <w:rPr>
          <w:rFonts w:ascii="Arial" w:cs="Arial" w:eastAsia="Arial" w:hAnsi="Arial"/>
          <w:sz w:val="16"/>
          <w:szCs w:val="16"/>
          <w:color w:val="auto"/>
        </w:rPr>
        <w:t xml:space="preserve"> iX System, the Company determined that certain components procured or expected to be procured by Evolve, will be in excess of expected demand or usage based on the advance notice the Company provided to Evolve under the term of the agreement mentioned above. Although the Company will be taking steps to minimize the adverse impact on the Company’s business, based on information available as of September 30, 2018, the Company’s management recorded a loss contingency accrual of $384 which is reported in “Cost of revenue” in the condensed consolidated statements of operations for the nine-months ended September 30, 2018 and included in “Other accrued liabilities” on the condensed consolidated balance sheets as of September</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t>30, 2018. During the three-months ended September 30, 2018, the Company reduced the loss contingency estimate by $300 based on recent facts and circumstances available during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1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terminates on May 9, 2020. In February 2012, the Company amended its license agreement with Rassman. In exchange for a one-time $400 payment to Rassman, the Company now has a fully paid royalty-free perpetual license to a patent subject to this license agreement.</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The agreement terminates on July 27, 2024.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From time to time the Company is involved in litigation arising out of claims in the normal course of business. Based on the information presently available, management believes that there are no claims or actions pending or threatened against us, the ultimate resolution of which will have a material effect on our financial position, liquidity or results of operations, although the results of litigation are inherently uncertain.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the Company as defendants, and certain of its current and former executive officers and directors, certain of its venture capital investors and the underwriters in the Company’s IPO. The Yzeiraj complaint names the Company as defendants and certain of its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the Company’s Registration Statement filed with the SEC on September 1, 2017 and the Prospectus filed with the SEC on October 13, 2017 in connection with the Company’s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August 8, 2018, the Company, along with certain of its current and former executive officers and directors, filed a motion to dismiss the Wong complaint based on the forum selection clause designating the federal district courts as the exclusive forum for claims arising under the Securities Act contained in the Company’s Amended and Restated Certificate of Incorporation, and which asked the court in the alternative to stay the Wong action. Also, on August 8, 2018, the venture capital investor and underwriters’ defendants in the Wong action filed demurrers to the Wong complaint, and the Company, along with certain of its current and former executive officers and directors, joined in the venture capital investor defendants’ demurrer. A hearing on the Company’s motion to dismiss and the demurrers to the Wong complaint was held on October 24, 2018. The Company is unable to predict the date on which the Superior Court will issue any decision at this time.</w:t>
      </w:r>
    </w:p>
    <w:p>
      <w:pPr>
        <w:spacing w:after="0" w:line="17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The U.S. Northern District Court has set an initial hearing for January 24,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these lawsuits are without merit and management intends to vigorously defend against these claims.</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760" w:top="557"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left="520" w:right="20"/>
        <w:spacing w:after="0" w:line="254" w:lineRule="auto"/>
        <w:rPr>
          <w:sz w:val="20"/>
          <w:szCs w:val="20"/>
          <w:color w:val="auto"/>
        </w:rPr>
      </w:pPr>
      <w:r>
        <w:rPr>
          <w:rFonts w:ascii="Arial" w:cs="Arial" w:eastAsia="Arial" w:hAnsi="Arial"/>
          <w:sz w:val="18"/>
          <w:szCs w:val="18"/>
          <w:color w:val="auto"/>
        </w:rPr>
        <w:t>In May 2018, the Company entered into a Loan and Security Agreement (the Solar Agreement) with Solar Capital Ltd. (Solar) and certain other lenders thereunder (together with Solar, the Lenders), and Solar, as the Collateral Agent. The Solar Agreement consists of a four-year term loan for an aggregate principal amount of $20,000 (the Borrowings), for working capital, to fund the Company’s general business requirements and to repay indebtedness of the Company to Oxford Finance LLC (the Oxford Agreement). The Company used $10,085 of the loan proceeds to repay the outstanding principal of $8,667, a final payment fee of $1,300 plus accrued interest and prepayment fees of $118 under the Oxford Agreement. The Borrowings under the Solar Agreement bear interest through maturity at a rate equal to the U.S. Dollar LIBOR rate plus 7.95% per annum (the Interest Rate). The outstanding balance on the loan was $20,000 and accrued interest totaled $168 as of September 30, 2018. The Interest Rate was 10.1% at September 30, 2018.</w:t>
      </w:r>
    </w:p>
    <w:p>
      <w:pPr>
        <w:spacing w:after="0" w:line="192" w:lineRule="exact"/>
        <w:rPr>
          <w:sz w:val="20"/>
          <w:szCs w:val="20"/>
          <w:color w:val="auto"/>
        </w:rPr>
      </w:pPr>
    </w:p>
    <w:p>
      <w:pPr>
        <w:ind w:left="520" w:right="80"/>
        <w:spacing w:after="0" w:line="279" w:lineRule="auto"/>
        <w:rPr>
          <w:sz w:val="20"/>
          <w:szCs w:val="20"/>
          <w:color w:val="auto"/>
        </w:rPr>
      </w:pPr>
      <w:r>
        <w:rPr>
          <w:rFonts w:ascii="Arial" w:cs="Arial" w:eastAsia="Arial" w:hAnsi="Arial"/>
          <w:sz w:val="17"/>
          <w:szCs w:val="17"/>
          <w:color w:val="auto"/>
        </w:rPr>
        <w:t>Pursuant to the terms of the Solar Agreement, the Company shall make interest only payments until December 1, 2019 (the Interest Only Period). The Interest Only Period may be extended up to three additional months, if the Company achieves certain revenue and capital fundraising thresholds. Following cessation of the Interest Only Period, the Company shall make equal monthly payments on the outstanding principal balance of the Borrowings and any unpaid and accrued interest such that the Borrowings shall be fully repaid on May 1, 2022.</w:t>
      </w:r>
    </w:p>
    <w:p>
      <w:pPr>
        <w:spacing w:after="0" w:line="171" w:lineRule="exact"/>
        <w:rPr>
          <w:sz w:val="20"/>
          <w:szCs w:val="20"/>
          <w:color w:val="auto"/>
        </w:rPr>
      </w:pPr>
    </w:p>
    <w:p>
      <w:pPr>
        <w:ind w:left="520"/>
        <w:spacing w:after="0" w:line="290" w:lineRule="auto"/>
        <w:rPr>
          <w:sz w:val="20"/>
          <w:szCs w:val="20"/>
          <w:color w:val="auto"/>
        </w:rPr>
      </w:pPr>
      <w:r>
        <w:rPr>
          <w:rFonts w:ascii="Arial" w:cs="Arial" w:eastAsia="Arial" w:hAnsi="Arial"/>
          <w:sz w:val="16"/>
          <w:szCs w:val="16"/>
          <w:color w:val="auto"/>
        </w:rPr>
        <w:t>In addition, pursuant to the Solar Agreement, the Company issued the Lenders warrants (the Warrants) to purchase an aggregate of 161,725 shares of the Company’s common stock, $0.0001 par value per share, at an exercise price of $3.71 per share. The Warrants were immediately exercisable upon issuance, and excluding certain mergers or acquisitions, will expire on the ten-year anniversary of the date of issuance. The fair value of the Warrants issued was determined to be $404 using a Black-Scholes valuation model with the following assumptions: common stock price at issuance of $3.71 per share; exercise price of $3.71; risk-free interest rate of 2.97% based upon observed risk-free interest rates; expected volatility of 55.50% based on the Company’s implied volatility; expected term of ten years, which is the contractual life of the Warrants; and a dividend yield of 0%. The fair value of the Warrants was recorded as a debt discount within notes payable and an increase to additional paid-in capital on the Company’s balance sheet. The debt discount is being amortized as interest expense over the term of the Solar Agreement, using the effective interest method.</w:t>
      </w:r>
    </w:p>
    <w:p>
      <w:pPr>
        <w:spacing w:after="0" w:line="166" w:lineRule="exact"/>
        <w:rPr>
          <w:sz w:val="20"/>
          <w:szCs w:val="20"/>
          <w:color w:val="auto"/>
        </w:rPr>
      </w:pPr>
    </w:p>
    <w:p>
      <w:pPr>
        <w:ind w:left="520" w:right="100"/>
        <w:spacing w:after="0" w:line="279" w:lineRule="auto"/>
        <w:rPr>
          <w:sz w:val="20"/>
          <w:szCs w:val="20"/>
          <w:color w:val="auto"/>
        </w:rPr>
      </w:pPr>
      <w:r>
        <w:rPr>
          <w:rFonts w:ascii="Arial" w:cs="Arial" w:eastAsia="Arial" w:hAnsi="Arial"/>
          <w:sz w:val="17"/>
          <w:szCs w:val="17"/>
          <w:color w:val="auto"/>
        </w:rPr>
        <w:t>The third-party transaction costs (not paid directly to the lenders) related to the debt of $404 are accounted for as a debt discount and classified within notes payable on the Company’s balance sheet and amortized as interest expense over the term of the loan using the effective interest method. Unamortized debt discounts related to the Oxford Agreement and all fees paid directly to Solar and Oxford totaling $505 in connection with the debt financing in May 2018 were written off to “Other income (expense), net” in the consolidated statements of operations.</w:t>
      </w:r>
    </w:p>
    <w:p>
      <w:pPr>
        <w:spacing w:after="0" w:line="171" w:lineRule="exact"/>
        <w:rPr>
          <w:sz w:val="20"/>
          <w:szCs w:val="20"/>
          <w:color w:val="auto"/>
        </w:rPr>
      </w:pPr>
    </w:p>
    <w:p>
      <w:pPr>
        <w:ind w:left="520"/>
        <w:spacing w:after="0" w:line="287" w:lineRule="auto"/>
        <w:rPr>
          <w:sz w:val="20"/>
          <w:szCs w:val="20"/>
          <w:color w:val="auto"/>
        </w:rPr>
      </w:pPr>
      <w:r>
        <w:rPr>
          <w:rFonts w:ascii="Arial" w:cs="Arial" w:eastAsia="Arial" w:hAnsi="Arial"/>
          <w:sz w:val="16"/>
          <w:szCs w:val="16"/>
          <w:color w:val="auto"/>
        </w:rPr>
        <w:t>The obligations under the Solar Agreement are secured by a lien on substantially all the Company’s property, excluding intellectual property. The Solar Agreement contains certain affirmative covenants, negative covenants and events of default, including, covenants and restrictions that among other things, require the Company and its subsidiary to satisfy certain financial covenants including covenants requiring the Company to satisfy certain revenue and liquidity thresholds, and restricts the ability of the Company and its subsidiary’s ability to, incur liens, incur additional indebtedness, make loans and investments, engage in mergers and acquisitions, engage in asset sales or sale and leaseback transactions, and declare dividends or redeem or repurchase capital stock. A failure to comply with these covenants could permit the Lenders under the Solar Agreement to declare the Borrowings, together with accrued but unpaid interest and certain Prepayment Fees, to be immediately due and payable. On November 2, 2018, the Solar Agreement was amended to modify the compliance requirement for certain revenue and liquidity threshold. As part of this amendment, the Company paid a fee of $50 to the Lenders and cancelled 161,725 Warrants (originally issued in May 2018, as mentioned above) and issued 161,725 new warrants of the Company’s common stock, $0.0001 par value per share, at an exercise price of $1.76 per share. All other terms of the Warrants were unchanged. As of September 30, 2018, the Company was in compliance with all covenants under the Solar Agreement, as amended.</w:t>
      </w:r>
    </w:p>
    <w:p>
      <w:pPr>
        <w:spacing w:after="0" w:line="173" w:lineRule="exact"/>
        <w:rPr>
          <w:sz w:val="20"/>
          <w:szCs w:val="20"/>
          <w:color w:val="auto"/>
        </w:rPr>
      </w:pPr>
    </w:p>
    <w:p>
      <w:pPr>
        <w:ind w:left="520" w:right="180"/>
        <w:spacing w:after="0" w:line="279" w:lineRule="auto"/>
        <w:rPr>
          <w:sz w:val="20"/>
          <w:szCs w:val="20"/>
          <w:color w:val="auto"/>
        </w:rPr>
      </w:pPr>
      <w:r>
        <w:rPr>
          <w:rFonts w:ascii="Arial" w:cs="Arial" w:eastAsia="Arial" w:hAnsi="Arial"/>
          <w:sz w:val="17"/>
          <w:szCs w:val="17"/>
          <w:color w:val="auto"/>
        </w:rPr>
        <w:t>The Company is also required to make mandatory prepayments of the Borrowings, subject to specified exceptions, upon defaulting on any payments of principal or interest on the Borrowings, the occurrence of certain specified defaults of the covenants in the Solar Agreement, the occurrence of a material adverse change in the business, operations or conditions of the Company and specified other events (each, an Event of Default). Upon the occurrence and continuation of an Event of Default, the Borrowings shall accrue at the Interest Rate plus 4.0%.</w:t>
      </w:r>
    </w:p>
    <w:p>
      <w:pPr>
        <w:spacing w:after="0" w:line="171" w:lineRule="exact"/>
        <w:rPr>
          <w:sz w:val="20"/>
          <w:szCs w:val="20"/>
          <w:color w:val="auto"/>
        </w:rPr>
      </w:pPr>
    </w:p>
    <w:p>
      <w:pPr>
        <w:ind w:left="520" w:right="420"/>
        <w:spacing w:after="0" w:line="264" w:lineRule="auto"/>
        <w:rPr>
          <w:sz w:val="20"/>
          <w:szCs w:val="20"/>
          <w:color w:val="auto"/>
        </w:rPr>
      </w:pPr>
      <w:r>
        <w:rPr>
          <w:rFonts w:ascii="Arial" w:cs="Arial" w:eastAsia="Arial" w:hAnsi="Arial"/>
          <w:sz w:val="18"/>
          <w:szCs w:val="18"/>
          <w:color w:val="auto"/>
        </w:rPr>
        <w:t>If all or any of the Borrowings are prepaid or required to be prepaid under the Solar Agreement, then the Company shall pay, in addition to such prepayment, a prepayment premium (the Prepayment Premium) equal to (i) with respect to any such prepayment paid on or prior to May 1, 2019, 3.0% of the principal amount of the Borrowings being prepaid, (ii) with respect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left="520" w:right="140"/>
        <w:spacing w:after="0" w:line="312" w:lineRule="auto"/>
        <w:rPr>
          <w:sz w:val="20"/>
          <w:szCs w:val="20"/>
          <w:color w:val="auto"/>
        </w:rPr>
      </w:pPr>
      <w:r>
        <w:rPr>
          <w:rFonts w:ascii="Arial" w:cs="Arial" w:eastAsia="Arial" w:hAnsi="Arial"/>
          <w:sz w:val="16"/>
          <w:szCs w:val="16"/>
          <w:color w:val="auto"/>
        </w:rPr>
        <w:t>any prepayments paid after May 1, 2019 but on or prior to May 1, 2020, 2.0% of the principal amount of the Borrowings being prepaid and (iii) with respect to any prepayments paid after May 1, 2020 but on or prior to May 1, 2021, 1.0% of the principal amount of the Borrowings being prepaid. Notwithstanding the foregoing, if the Lenders each participate in a refinancing of the Borrowings, then the Prepayment Premium shall be 0%.</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on the outstanding borrowings as of September 30, 2018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1"/>
        </w:trPr>
        <w:tc>
          <w:tcPr>
            <w:tcW w:w="5440" w:type="dxa"/>
            <w:vAlign w:val="bottom"/>
          </w:tcPr>
          <w:p>
            <w:pPr>
              <w:spacing w:after="0"/>
              <w:rPr>
                <w:sz w:val="14"/>
                <w:szCs w:val="14"/>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September 30, 2018</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 (remaining 3 months)</w:t>
            </w:r>
          </w:p>
        </w:tc>
        <w:tc>
          <w:tcPr>
            <w:tcW w:w="30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20,830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(1,454)</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Non-current portion</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RESERVED FOR ISSUANCE</w:t>
      </w:r>
    </w:p>
    <w:p>
      <w:pPr>
        <w:spacing w:after="0" w:line="121" w:lineRule="exact"/>
        <w:rPr>
          <w:sz w:val="20"/>
          <w:szCs w:val="20"/>
          <w:color w:val="auto"/>
        </w:rPr>
      </w:pPr>
    </w:p>
    <w:p>
      <w:pPr>
        <w:jc w:val="both"/>
        <w:ind w:left="520" w:right="260"/>
        <w:spacing w:after="0" w:line="264"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a number of shares sufficient to affect the conversion of all outstanding shares of convertible preferred stock, of which, there are none, plus options granted and available for grant under the incentive plans.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468,181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Outstanding and issued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2,026,889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1,930,752</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Shares reserved for future option grants </w:t>
            </w:r>
            <w:r>
              <w:rPr>
                <w:rFonts w:ascii="Arial" w:cs="Arial" w:eastAsia="Arial" w:hAnsi="Arial"/>
                <w:sz w:val="15"/>
                <w:szCs w:val="15"/>
                <w:color w:val="auto"/>
              </w:rPr>
              <w:t>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2,800,358</w:t>
            </w:r>
          </w:p>
        </w:tc>
        <w:tc>
          <w:tcPr>
            <w:tcW w:w="2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2,162,037</w:t>
            </w:r>
          </w:p>
        </w:tc>
        <w:tc>
          <w:tcPr>
            <w:tcW w:w="60" w:type="dxa"/>
            <w:vAlign w:val="bottom"/>
            <w:shd w:val="clear" w:color="auto" w:fill="CFF0FC"/>
          </w:tcPr>
          <w:p>
            <w:pPr>
              <w:spacing w:after="0"/>
              <w:rPr>
                <w:sz w:val="19"/>
                <w:szCs w:val="19"/>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 common stock reserved for issuance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5,295,428</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4,399,245</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140" w:hanging="519"/>
        <w:spacing w:after="0" w:line="279" w:lineRule="auto"/>
        <w:tabs>
          <w:tab w:leader="none" w:pos="1040" w:val="left"/>
        </w:tabs>
        <w:numPr>
          <w:ilvl w:val="1"/>
          <w:numId w:val="8"/>
        </w:numPr>
        <w:rPr>
          <w:rFonts w:ascii="Arial" w:cs="Arial" w:eastAsia="Arial" w:hAnsi="Arial"/>
          <w:sz w:val="14"/>
          <w:szCs w:val="14"/>
          <w:color w:val="auto"/>
        </w:rPr>
      </w:pPr>
      <w:r>
        <w:rPr>
          <w:rFonts w:ascii="Arial" w:cs="Arial" w:eastAsia="Arial" w:hAnsi="Arial"/>
          <w:sz w:val="17"/>
          <w:szCs w:val="17"/>
          <w:color w:val="auto"/>
        </w:rPr>
        <w:t>The Company incorrectly understated its shares reserved for future option grants by 1,890,547 in its annual report on Form 10-K for the year ended December 31, 2017. The Company disclosed 271,490 shares reserved for future option grants at December 31, 2017, instead of 2,162,037 shares reserved for future option grants (as shown in the table above). The error in disclosure had no impact on previously reported consolidated financial statements as of and for the year ended December 31, 2017.</w:t>
      </w:r>
    </w:p>
    <w:p>
      <w:pPr>
        <w:spacing w:after="0" w:line="275" w:lineRule="exact"/>
        <w:rPr>
          <w:rFonts w:ascii="Arial" w:cs="Arial" w:eastAsia="Arial" w:hAnsi="Arial"/>
          <w:sz w:val="14"/>
          <w:szCs w:val="14"/>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and 2015 Plans</w:t>
      </w:r>
    </w:p>
    <w:p>
      <w:pPr>
        <w:spacing w:after="0" w:line="104" w:lineRule="exact"/>
        <w:rPr>
          <w:sz w:val="20"/>
          <w:szCs w:val="20"/>
          <w:color w:val="auto"/>
        </w:rPr>
      </w:pPr>
    </w:p>
    <w:p>
      <w:pPr>
        <w:ind w:left="520"/>
        <w:spacing w:after="0" w:line="237" w:lineRule="auto"/>
        <w:rPr>
          <w:sz w:val="20"/>
          <w:szCs w:val="20"/>
          <w:color w:val="auto"/>
        </w:rPr>
      </w:pPr>
      <w:r>
        <w:rPr>
          <w:rFonts w:ascii="Arial" w:cs="Arial" w:eastAsia="Arial" w:hAnsi="Arial"/>
          <w:sz w:val="17"/>
          <w:szCs w:val="17"/>
          <w:color w:val="auto"/>
        </w:rPr>
        <w:t>The Company granted incentive stock options (ISOs) and non-statutory stock options (NSOs) pursuant to its 2005 Stock Option Plan (the 2005 Plan) until the Board of Directors approved the 2015 Stock Option Plan (the 2015 Plan), and all remaining shares available for future award under the 2005 Plan were transferred to the 2015 Plan and the 2005 Plan was terminated. The Company granted ISOs and NSOs pursuant to its 2015 Plan until the 2017 Equity Incentive Plan (the 2017 Plan) was approved by the Board of Directors and became effective on October 11, 2017. As a result of the 2017 Plan becoming effective, all remaining shares available for future award under the 2015 Plan were transferred to the 2017 Plan, the 2015 Plan was terminated, and no further grants will be made under the Company’s 2005 Plan and the 2015 Plan. Any outstanding stock awards granted under the 2005 Plan and the 2015 Plan will remain outstanding, subject to the terms of the Company’s 2005 Plan and 2015 Plan and the applicable stock award agreements, until such outstanding stock awards that are stock options are exercised or until they terminate or expire by their terms, or until such stock awards are fully settled, terminated or forfeited.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Plan</w:t>
      </w:r>
    </w:p>
    <w:p>
      <w:pPr>
        <w:spacing w:after="0" w:line="117" w:lineRule="exact"/>
        <w:rPr>
          <w:sz w:val="20"/>
          <w:szCs w:val="20"/>
          <w:color w:val="auto"/>
        </w:rPr>
      </w:pPr>
    </w:p>
    <w:p>
      <w:pPr>
        <w:ind w:left="520" w:right="200"/>
        <w:spacing w:after="0" w:line="264" w:lineRule="auto"/>
        <w:rPr>
          <w:sz w:val="20"/>
          <w:szCs w:val="20"/>
          <w:color w:val="auto"/>
        </w:rPr>
      </w:pPr>
      <w:r>
        <w:rPr>
          <w:rFonts w:ascii="Arial" w:cs="Arial" w:eastAsia="Arial" w:hAnsi="Arial"/>
          <w:sz w:val="18"/>
          <w:szCs w:val="18"/>
          <w:color w:val="auto"/>
        </w:rPr>
        <w:t>The Company’s 2017 Plan provides for the grant of ISOs,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 w:name="page17"/>
    <w:bookmarkEnd w:id="16"/>
    <w:p>
      <w:pPr>
        <w:ind w:left="520" w:right="140"/>
        <w:spacing w:after="0" w:line="277" w:lineRule="auto"/>
        <w:rPr>
          <w:sz w:val="20"/>
          <w:szCs w:val="20"/>
          <w:color w:val="auto"/>
        </w:rPr>
      </w:pPr>
      <w:r>
        <w:rPr>
          <w:rFonts w:ascii="Arial" w:cs="Arial" w:eastAsia="Arial" w:hAnsi="Arial"/>
          <w:sz w:val="18"/>
          <w:szCs w:val="18"/>
          <w:color w:val="auto"/>
        </w:rPr>
        <w:t>The Company recognized stock-based compensation expense for its employees and non-employees in the accompanying consolidated statements of operations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116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7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estimated grant-date fair value of all of the Company’s stock-based awards was calculated using the Black-Scholes-Merton option pricing model, based on the following assumptions: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5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15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980" w:type="dxa"/>
            <w:vAlign w:val="bottom"/>
            <w:tcBorders>
              <w:top w:val="single" w:sz="8" w:color="auto"/>
            </w:tcBorders>
          </w:tcPr>
          <w:p>
            <w:pPr>
              <w:jc w:val="center"/>
              <w:ind w:left="276"/>
              <w:spacing w:after="0" w:line="155" w:lineRule="exact"/>
              <w:rPr>
                <w:sz w:val="20"/>
                <w:szCs w:val="20"/>
                <w:color w:val="auto"/>
              </w:rPr>
            </w:pPr>
            <w:r>
              <w:rPr>
                <w:rFonts w:ascii="Arial" w:cs="Arial" w:eastAsia="Arial" w:hAnsi="Arial"/>
                <w:sz w:val="14"/>
                <w:szCs w:val="14"/>
                <w:b w:val="1"/>
                <w:bCs w:val="1"/>
                <w:color w:val="auto"/>
                <w:w w:val="96"/>
              </w:rPr>
              <w:t>2018</w:t>
            </w:r>
          </w:p>
        </w:tc>
        <w:tc>
          <w:tcPr>
            <w:tcW w:w="1940" w:type="dxa"/>
            <w:vAlign w:val="bottom"/>
            <w:tcBorders>
              <w:top w:val="single" w:sz="8" w:color="auto"/>
            </w:tcBorders>
            <w:gridSpan w:val="3"/>
          </w:tcPr>
          <w:p>
            <w:pPr>
              <w:jc w:val="right"/>
              <w:ind w:right="410"/>
              <w:spacing w:after="0" w:line="155" w:lineRule="exact"/>
              <w:rPr>
                <w:sz w:val="20"/>
                <w:szCs w:val="20"/>
                <w:color w:val="auto"/>
              </w:rPr>
            </w:pPr>
            <w:r>
              <w:rPr>
                <w:rFonts w:ascii="Arial" w:cs="Arial" w:eastAsia="Arial" w:hAnsi="Arial"/>
                <w:sz w:val="14"/>
                <w:szCs w:val="14"/>
                <w:b w:val="1"/>
                <w:bCs w:val="1"/>
                <w:color w:val="auto"/>
              </w:rPr>
              <w:t>2017 *</w:t>
            </w:r>
          </w:p>
        </w:tc>
        <w:tc>
          <w:tcPr>
            <w:tcW w:w="2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459"/>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47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980" w:type="dxa"/>
            <w:vAlign w:val="bottom"/>
            <w:tcBorders>
              <w:top w:val="single" w:sz="8" w:color="auto"/>
            </w:tcBorders>
            <w:shd w:val="clear" w:color="auto" w:fill="CFF0FC"/>
          </w:tcPr>
          <w:p>
            <w:pPr>
              <w:jc w:val="center"/>
              <w:ind w:left="276"/>
              <w:spacing w:after="0"/>
              <w:rPr>
                <w:sz w:val="20"/>
                <w:szCs w:val="20"/>
                <w:color w:val="auto"/>
              </w:rPr>
            </w:pPr>
            <w:r>
              <w:rPr>
                <w:rFonts w:ascii="Arial" w:cs="Arial" w:eastAsia="Arial" w:hAnsi="Arial"/>
                <w:sz w:val="18"/>
                <w:szCs w:val="18"/>
                <w:color w:val="auto"/>
                <w:w w:val="87"/>
              </w:rPr>
              <w:t>6.0</w:t>
            </w:r>
          </w:p>
        </w:tc>
        <w:tc>
          <w:tcPr>
            <w:tcW w:w="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0"/>
              </w:rPr>
              <w:t>5.37 - 6.10</w:t>
            </w:r>
          </w:p>
        </w:tc>
        <w:tc>
          <w:tcPr>
            <w:tcW w:w="2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0"/>
              </w:rPr>
              <w:t>4.95 - 7.50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center"/>
              <w:ind w:left="276"/>
              <w:spacing w:after="0"/>
              <w:rPr>
                <w:sz w:val="20"/>
                <w:szCs w:val="20"/>
                <w:color w:val="auto"/>
              </w:rPr>
            </w:pPr>
            <w:r>
              <w:rPr>
                <w:rFonts w:ascii="Arial" w:cs="Arial" w:eastAsia="Arial" w:hAnsi="Arial"/>
                <w:sz w:val="18"/>
                <w:szCs w:val="18"/>
                <w:color w:val="auto"/>
                <w:w w:val="90"/>
              </w:rPr>
              <w:t>2.82%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2.40</w:t>
            </w:r>
          </w:p>
        </w:tc>
        <w:tc>
          <w:tcPr>
            <w:tcW w:w="840" w:type="dxa"/>
            <w:vAlign w:val="bottom"/>
          </w:tcPr>
          <w:p>
            <w:pPr>
              <w:ind w:left="40"/>
              <w:spacing w:after="0"/>
              <w:rPr>
                <w:sz w:val="20"/>
                <w:szCs w:val="20"/>
                <w:color w:val="auto"/>
              </w:rPr>
            </w:pPr>
            <w:r>
              <w:rPr>
                <w:rFonts w:ascii="Arial" w:cs="Arial" w:eastAsia="Arial" w:hAnsi="Arial"/>
                <w:sz w:val="18"/>
                <w:szCs w:val="18"/>
                <w:color w:val="auto"/>
              </w:rPr>
              <w:t>- 2.82%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840" w:type="dxa"/>
            <w:vAlign w:val="bottom"/>
          </w:tcPr>
          <w:p>
            <w:pPr>
              <w:ind w:left="40"/>
              <w:spacing w:after="0"/>
              <w:rPr>
                <w:sz w:val="20"/>
                <w:szCs w:val="20"/>
                <w:color w:val="auto"/>
              </w:rPr>
            </w:pPr>
            <w:r>
              <w:rPr>
                <w:rFonts w:ascii="Arial" w:cs="Arial" w:eastAsia="Arial" w:hAnsi="Arial"/>
                <w:sz w:val="18"/>
                <w:szCs w:val="18"/>
                <w:color w:val="auto"/>
              </w:rPr>
              <w:t>- 2.13%</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CFF0FC"/>
          </w:tcPr>
          <w:p>
            <w:pPr>
              <w:jc w:val="center"/>
              <w:ind w:left="276"/>
              <w:spacing w:after="0"/>
              <w:rPr>
                <w:sz w:val="20"/>
                <w:szCs w:val="20"/>
                <w:color w:val="auto"/>
              </w:rPr>
            </w:pPr>
            <w:r>
              <w:rPr>
                <w:rFonts w:ascii="Arial" w:cs="Arial" w:eastAsia="Arial" w:hAnsi="Arial"/>
                <w:sz w:val="18"/>
                <w:szCs w:val="18"/>
                <w:color w:val="auto"/>
                <w:w w:val="88"/>
              </w:rPr>
              <w:t>53.87%</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- 55.49%</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- 53.58%</w:t>
            </w: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jc w:val="center"/>
              <w:ind w:left="256"/>
              <w:spacing w:after="0"/>
              <w:rPr>
                <w:sz w:val="20"/>
                <w:szCs w:val="20"/>
                <w:color w:val="auto"/>
              </w:rPr>
            </w:pPr>
            <w:r>
              <w:rPr>
                <w:rFonts w:ascii="Arial" w:cs="Arial" w:eastAsia="Arial" w:hAnsi="Arial"/>
                <w:sz w:val="18"/>
                <w:szCs w:val="18"/>
                <w:color w:val="auto"/>
                <w:w w:val="92"/>
              </w:rPr>
              <w:t>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40" w:type="dxa"/>
            <w:vAlign w:val="bottom"/>
          </w:tcPr>
          <w:p>
            <w:pPr>
              <w:jc w:val="center"/>
              <w:ind w:right="479"/>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center"/>
              <w:ind w:right="474"/>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stock options were issued during the three months ended September 30,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4"/>
              </w:rPr>
              <w:t>Weighted-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410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41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2"/>
              </w:rPr>
              <w:t>per Share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1.90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7.9</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539,207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3.77</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(235,730)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1.66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(207,340)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2.02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September 30, 2018</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2,026,889</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2.39</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8.0</w:t>
            </w:r>
          </w:p>
        </w:tc>
        <w:tc>
          <w:tcPr>
            <w:tcW w:w="42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Vested and expected to vest — September 30, 2018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1,906,322</w:t>
            </w:r>
          </w:p>
        </w:tc>
        <w:tc>
          <w:tcPr>
            <w:tcW w:w="120" w:type="dxa"/>
            <w:vAlign w:val="bottom"/>
            <w:tcBorders>
              <w:bottom w:val="single" w:sz="8" w:color="CFF0FC"/>
            </w:tcBorders>
          </w:tcPr>
          <w:p>
            <w:pPr>
              <w:spacing w:after="0"/>
              <w:rPr>
                <w:sz w:val="23"/>
                <w:szCs w:val="23"/>
                <w:color w:val="auto"/>
              </w:rPr>
            </w:pPr>
          </w:p>
        </w:tc>
        <w:tc>
          <w:tcPr>
            <w:tcW w:w="1080" w:type="dxa"/>
            <w:vAlign w:val="bottom"/>
            <w:tcBorders>
              <w:bottom w:val="single" w:sz="8" w:color="CFF0FC"/>
            </w:tcBorders>
            <w:gridSpan w:val="2"/>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1"/>
              </w:rPr>
              <w:t>2.36</w:t>
            </w:r>
          </w:p>
        </w:tc>
        <w:tc>
          <w:tcPr>
            <w:tcW w:w="200" w:type="dxa"/>
            <w:vAlign w:val="bottom"/>
            <w:tcBorders>
              <w:bottom w:val="single" w:sz="8" w:color="CFF0FC"/>
            </w:tcBorders>
          </w:tcPr>
          <w:p>
            <w:pPr>
              <w:spacing w:after="0"/>
              <w:rPr>
                <w:sz w:val="23"/>
                <w:szCs w:val="23"/>
                <w:color w:val="auto"/>
              </w:rPr>
            </w:pPr>
          </w:p>
        </w:tc>
        <w:tc>
          <w:tcPr>
            <w:tcW w:w="108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5"/>
              </w:rPr>
              <w:t>7.9</w:t>
            </w:r>
          </w:p>
        </w:tc>
        <w:tc>
          <w:tcPr>
            <w:tcW w:w="420" w:type="dxa"/>
            <w:vAlign w:val="bottom"/>
            <w:tcBorders>
              <w:bottom w:val="single" w:sz="8" w:color="CFF0FC"/>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FF0FC"/>
            </w:tcBorders>
          </w:tcPr>
          <w:p>
            <w:pPr>
              <w:spacing w:after="0"/>
              <w:rPr>
                <w:sz w:val="23"/>
                <w:szCs w:val="23"/>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 September 30, 2018</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945,639</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1.83</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7.1</w:t>
            </w:r>
          </w:p>
        </w:tc>
        <w:tc>
          <w:tcPr>
            <w:tcW w:w="4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options granted was $2.01 per share for nine months ended September 30, 2018.</w:t>
      </w:r>
    </w:p>
    <w:p>
      <w:pPr>
        <w:spacing w:after="0" w:line="225"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The total intrinsic value of options exercised was $92.0 and $413.0 for the three and nine months September 30, 2018, and $0 for three and nine months ended September 30, 2017, respectively.</w:t>
      </w:r>
    </w:p>
    <w:p>
      <w:pPr>
        <w:spacing w:after="0" w:line="17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Unamortized stock-based compensation was $1,300 as of September 30, 2018, which is expected to be recognized over a weighted-average period of approximately 3.50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ind w:left="520"/>
        <w:spacing w:after="0" w:line="227" w:lineRule="auto"/>
        <w:rPr>
          <w:sz w:val="20"/>
          <w:szCs w:val="20"/>
          <w:color w:val="auto"/>
        </w:rPr>
      </w:pPr>
      <w:r>
        <w:rPr>
          <w:rFonts w:ascii="Arial" w:cs="Arial" w:eastAsia="Arial" w:hAnsi="Arial"/>
          <w:sz w:val="18"/>
          <w:szCs w:val="18"/>
          <w:color w:val="auto"/>
        </w:rPr>
        <w:t>The Company generated a loss for the three and nine months ended September 30, 2018 and incurred $8 and $32 of tax expense for the three and nine months ended September 30, 2018, respectively. The Company’s effective tax rate is (0.12)% and (0.18)% for income tax for the three and nine months ended September 30, 2018 and the Company expects that its effective tax rate for the full year 2018 will be (0.42)%. Based on available evidence, including cumulative losses since inception and expected future losses, the Company has determined that it is more likely than not that the Company’s U.S. federal, U.S. state and Korea deferred tax assets will not be realized and therefore a valuation allowance has been provided on these net deferred tax assets.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7" w:name="page18"/>
    <w:bookmarkEnd w:id="17"/>
    <w:p>
      <w:pPr>
        <w:ind w:left="520"/>
        <w:spacing w:after="0" w:line="228" w:lineRule="auto"/>
        <w:rPr>
          <w:sz w:val="20"/>
          <w:szCs w:val="20"/>
          <w:color w:val="auto"/>
        </w:rPr>
      </w:pPr>
      <w:r>
        <w:rPr>
          <w:rFonts w:ascii="Arial" w:cs="Arial" w:eastAsia="Arial" w:hAnsi="Arial"/>
          <w:sz w:val="18"/>
          <w:szCs w:val="18"/>
          <w:color w:val="auto"/>
        </w:rPr>
        <w:t>The Company has substantial net operating loss carry forwards available to offset future taxable income for U.S. federal and state income tax purposes. The Company’s ability to utilize its net operating losses may be limited due to changes in its ownership as defined by Section 382 of the Internal Revenue Code (the Code). Under the provisions of Sections 382 and 383 of the Code, a change of control, as defined in the Code, may impose an annual limitation on the amount of the Company’s net operating loss and tax credit carryforwards, and other tax attributes that can be used to reduce future tax liabilities.</w:t>
      </w:r>
    </w:p>
    <w:p>
      <w:pPr>
        <w:spacing w:after="0" w:line="178" w:lineRule="exact"/>
        <w:rPr>
          <w:sz w:val="20"/>
          <w:szCs w:val="20"/>
          <w:color w:val="auto"/>
        </w:rPr>
      </w:pPr>
    </w:p>
    <w:p>
      <w:pPr>
        <w:ind w:left="520" w:right="100"/>
        <w:spacing w:after="0" w:line="235" w:lineRule="auto"/>
        <w:rPr>
          <w:sz w:val="20"/>
          <w:szCs w:val="20"/>
          <w:color w:val="auto"/>
        </w:rPr>
      </w:pPr>
      <w:r>
        <w:rPr>
          <w:rFonts w:ascii="Arial" w:cs="Arial" w:eastAsia="Arial" w:hAnsi="Arial"/>
          <w:sz w:val="18"/>
          <w:szCs w:val="18"/>
          <w:color w:val="auto"/>
        </w:rPr>
        <w:t>The Company files tax returns for U.S. federal and state tax returns along with tax returns in the United Kingdom, Hong Kong, Spain and South Korea. The Company is not currently subject to any income tax examinations. Since the Company’s inception, the Company had incurred losses from its U.S. operations, which generally allows all tax years to remain open.</w:t>
      </w:r>
    </w:p>
    <w:p>
      <w:pPr>
        <w:spacing w:after="0" w:line="175" w:lineRule="exact"/>
        <w:rPr>
          <w:sz w:val="20"/>
          <w:szCs w:val="20"/>
          <w:color w:val="auto"/>
        </w:rPr>
      </w:pPr>
    </w:p>
    <w:p>
      <w:pPr>
        <w:ind w:left="520" w:right="120"/>
        <w:spacing w:after="0" w:line="231" w:lineRule="auto"/>
        <w:rPr>
          <w:sz w:val="20"/>
          <w:szCs w:val="20"/>
          <w:color w:val="auto"/>
        </w:rPr>
      </w:pPr>
      <w:r>
        <w:rPr>
          <w:rFonts w:ascii="Arial" w:cs="Arial" w:eastAsia="Arial" w:hAnsi="Arial"/>
          <w:sz w:val="18"/>
          <w:szCs w:val="18"/>
          <w:color w:val="auto"/>
        </w:rPr>
        <w:t>Beginning in first quarter of 2018, the Company is subject to new provisions of the tax law, including provisions related to Global Low Taxed Intangible Income (GILTI), Foreign Derived Intangible Income deductions (FDII), and other changes. However, due to the Company’s losses and full valuation allowance in the U.S., these were determined to have no material impact to the Estimated Annual Effective Tax Rate due to the full Valuation Allowance in the U.S.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82828"/>
        </w:rPr>
        <w:t>Uncertain Tax Positions</w:t>
      </w:r>
    </w:p>
    <w:p>
      <w:pPr>
        <w:spacing w:after="0" w:line="104" w:lineRule="exact"/>
        <w:rPr>
          <w:sz w:val="20"/>
          <w:szCs w:val="20"/>
          <w:color w:val="auto"/>
        </w:rPr>
      </w:pPr>
    </w:p>
    <w:p>
      <w:pPr>
        <w:ind w:left="520" w:right="100"/>
        <w:spacing w:after="0" w:line="228" w:lineRule="auto"/>
        <w:rPr>
          <w:sz w:val="20"/>
          <w:szCs w:val="20"/>
          <w:color w:val="auto"/>
        </w:rPr>
      </w:pPr>
      <w:r>
        <w:rPr>
          <w:rFonts w:ascii="Arial" w:cs="Arial" w:eastAsia="Arial" w:hAnsi="Arial"/>
          <w:sz w:val="18"/>
          <w:szCs w:val="18"/>
          <w:color w:val="auto"/>
        </w:rPr>
        <w:t>Effective January 1, 2009, the Company adopted ASC 740-10, which requires that the Company recognize the financial statement effects of a tax position when it becomes more likely than not, based upon the technical merits, that the position will be sustained upon examination. The gross amount of unrecognized tax benefits as of September 30, 2018 is approximately $1,420 and related to the reserve on R&amp;D credits, none of which will affect the effective tax rate if recognized due to the valuation allowance. The Company does not expect any material changes in the next 12 months in unrecognized tax benefits.</w:t>
      </w:r>
    </w:p>
    <w:p>
      <w:pPr>
        <w:spacing w:after="0" w:line="178" w:lineRule="exact"/>
        <w:rPr>
          <w:sz w:val="20"/>
          <w:szCs w:val="20"/>
          <w:color w:val="auto"/>
        </w:rPr>
      </w:pPr>
    </w:p>
    <w:p>
      <w:pPr>
        <w:ind w:left="520" w:right="420"/>
        <w:spacing w:after="0" w:line="276" w:lineRule="auto"/>
        <w:rPr>
          <w:sz w:val="20"/>
          <w:szCs w:val="20"/>
          <w:color w:val="auto"/>
        </w:rPr>
      </w:pPr>
      <w:r>
        <w:rPr>
          <w:rFonts w:ascii="Arial" w:cs="Arial" w:eastAsia="Arial" w:hAnsi="Arial"/>
          <w:sz w:val="16"/>
          <w:szCs w:val="16"/>
          <w:color w:val="auto"/>
        </w:rPr>
        <w:t>The Company recognizes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The Company currently has no interest and penalties related to uncertain tax positions.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The Company has determined that it operates in a single operating segment and has one reportable segment, as its Chief Executive Officer, reviews financial information presented on a consolidated basis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revenue by geographic area by customer location: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Europe and Middle East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4,333</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15,298</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2018, and December 31, 2017, all long-lived assets were located within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16" w:lineRule="exact"/>
        <w:rPr>
          <w:sz w:val="20"/>
          <w:szCs w:val="20"/>
          <w:color w:val="auto"/>
        </w:rPr>
      </w:pPr>
    </w:p>
    <w:p>
      <w:pPr>
        <w:ind w:left="520" w:right="120"/>
        <w:spacing w:after="0" w:line="231" w:lineRule="auto"/>
        <w:rPr>
          <w:sz w:val="20"/>
          <w:szCs w:val="20"/>
          <w:color w:val="auto"/>
        </w:rPr>
      </w:pPr>
      <w:r>
        <w:rPr>
          <w:rFonts w:ascii="Arial" w:cs="Arial" w:eastAsia="Arial" w:hAnsi="Arial"/>
          <w:sz w:val="18"/>
          <w:szCs w:val="18"/>
          <w:color w:val="auto"/>
        </w:rPr>
        <w:t>The Company’s Board of Directors appointed Keith Sullivan, a current Board member of the Company, as interim Chief Commercial Officer, effective November 1, 2018, and for a period up to one year. Under the terms of the arrangement, Mr. Sullivan was granted 360,000 restricted stock awards, which shall vest in quarterly installments equal to 25% of the shares starting with the first vest date on January 15, 2019 so long as Mr. Sullivan is providing services.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included elsewhere in this Quarterly Report on Form 10-Q and with our audited financial statements and notes thereto in the Company’s Annual Report filed on Form 10-K for the year ended December 31, 2017, filed with the Securities and Exchange Commission (“SEC”) and other filings we have made with the SEC.</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These statements are often identified by the use of words such as “may,” “will,” “expect,” “believe,” “anticipate,” “intend,” “could,” “estimate,” or “continue,” and similar expressions or variations. These statements are based on the beliefs and assumptions of our management based on information currently available to management.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identified herein, and those discussed in the section titled “Risk Factors,” set forth in Part II, Item 1A of this Form 10-Q and in our other SEC filings, including the Prospectus. You should review the risk factors for a more complete understanding of the risks associated with an investment in our securities. We disclaim any obligation to update any forward-looking statements to reflect events or circumstances after the date of such statements. Therefore, you should not rely on these forward-looking statements as representing our views as of any date subsequent to the date of this Quarterly Report on Form 10-Q. Our fiscal year end is December 31, and references throughout this Quarterly Report on Form 10-Q to a given fiscal year are to the twelve months ended on that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medical technology company developing and commercializing a robotic device, the ARTAS</w:t>
      </w:r>
      <w:r>
        <w:rPr>
          <w:rFonts w:ascii="Arial" w:cs="Arial" w:eastAsia="Arial" w:hAnsi="Arial"/>
          <w:sz w:val="14"/>
          <w:szCs w:val="14"/>
          <w:color w:val="auto"/>
        </w:rPr>
        <w:t>®</w:t>
      </w:r>
      <w:r>
        <w:rPr>
          <w:rFonts w:ascii="Arial" w:cs="Arial" w:eastAsia="Arial" w:hAnsi="Arial"/>
          <w:sz w:val="17"/>
          <w:szCs w:val="17"/>
          <w:color w:val="auto"/>
        </w:rPr>
        <w:t xml:space="preserve"> System, which assists physicians in performing many of the repetitive tasks that are a part of a follicular unit extraction, or FUE surgery, a type of hair restoration procedure. We believe the ARTAS</w:t>
      </w:r>
      <w:r>
        <w:rPr>
          <w:rFonts w:ascii="Arial" w:cs="Arial" w:eastAsia="Arial" w:hAnsi="Arial"/>
          <w:sz w:val="14"/>
          <w:szCs w:val="14"/>
          <w:color w:val="auto"/>
        </w:rPr>
        <w:t>®</w:t>
      </w:r>
      <w:r>
        <w:rPr>
          <w:rFonts w:ascii="Arial" w:cs="Arial" w:eastAsia="Arial" w:hAnsi="Arial"/>
          <w:sz w:val="17"/>
          <w:szCs w:val="17"/>
          <w:color w:val="auto"/>
        </w:rPr>
        <w:t xml:space="preserve"> System is the first and only physician assisted robotic system that can identify and dissect hair follicular units directly from the scalp, create recipient implant sites and robotically implant the hair follicles into the implant sites. In addition to the ARTAS</w:t>
      </w:r>
      <w:r>
        <w:rPr>
          <w:rFonts w:ascii="Arial" w:cs="Arial" w:eastAsia="Arial" w:hAnsi="Arial"/>
          <w:sz w:val="14"/>
          <w:szCs w:val="14"/>
          <w:color w:val="auto"/>
        </w:rPr>
        <w:t>®</w:t>
      </w:r>
      <w:r>
        <w:rPr>
          <w:rFonts w:ascii="Arial" w:cs="Arial" w:eastAsia="Arial" w:hAnsi="Arial"/>
          <w:sz w:val="17"/>
          <w:szCs w:val="17"/>
          <w:color w:val="auto"/>
        </w:rPr>
        <w:t xml:space="preserve">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Arial" w:cs="Arial" w:eastAsia="Arial" w:hAnsi="Arial"/>
          <w:sz w:val="14"/>
          <w:szCs w:val="14"/>
          <w:color w:val="auto"/>
        </w:rPr>
        <w:t>®</w:t>
      </w:r>
      <w:r>
        <w:rPr>
          <w:rFonts w:ascii="Arial" w:cs="Arial" w:eastAsia="Arial" w:hAnsi="Arial"/>
          <w:sz w:val="17"/>
          <w:szCs w:val="17"/>
          <w:color w:val="auto"/>
        </w:rPr>
        <w:t xml:space="preserve"> System in the U.S., and we have sold the ARTAS</w:t>
      </w:r>
      <w:r>
        <w:rPr>
          <w:rFonts w:ascii="Arial" w:cs="Arial" w:eastAsia="Arial" w:hAnsi="Arial"/>
          <w:sz w:val="14"/>
          <w:szCs w:val="14"/>
          <w:color w:val="auto"/>
        </w:rPr>
        <w:t>®</w:t>
      </w:r>
      <w:r>
        <w:rPr>
          <w:rFonts w:ascii="Arial" w:cs="Arial" w:eastAsia="Arial" w:hAnsi="Arial"/>
          <w:sz w:val="17"/>
          <w:szCs w:val="17"/>
          <w:color w:val="auto"/>
        </w:rPr>
        <w:t xml:space="preserve"> System into 37 other countries. In March 2018, we received 510(k) clearance from the FDA to expand the ARTAS</w:t>
      </w:r>
      <w:r>
        <w:rPr>
          <w:rFonts w:ascii="Arial" w:cs="Arial" w:eastAsia="Arial" w:hAnsi="Arial"/>
          <w:sz w:val="14"/>
          <w:szCs w:val="14"/>
          <w:color w:val="auto"/>
        </w:rPr>
        <w:t>®</w:t>
      </w:r>
      <w:r>
        <w:rPr>
          <w:rFonts w:ascii="Arial" w:cs="Arial" w:eastAsia="Arial" w:hAnsi="Arial"/>
          <w:sz w:val="17"/>
          <w:szCs w:val="17"/>
          <w:color w:val="auto"/>
        </w:rPr>
        <w:t xml:space="preserve"> technology to include implantation. In the third quarter of 2018, we commercially launched the next generation ARTAS</w:t>
      </w:r>
      <w:r>
        <w:rPr>
          <w:rFonts w:ascii="Arial" w:cs="Arial" w:eastAsia="Arial" w:hAnsi="Arial"/>
          <w:sz w:val="14"/>
          <w:szCs w:val="14"/>
          <w:color w:val="auto"/>
        </w:rPr>
        <w:t>®</w:t>
      </w:r>
      <w:r>
        <w:rPr>
          <w:rFonts w:ascii="Arial" w:cs="Arial" w:eastAsia="Arial" w:hAnsi="Arial"/>
          <w:sz w:val="17"/>
          <w:szCs w:val="17"/>
          <w:color w:val="auto"/>
        </w:rPr>
        <w:t xml:space="preserve"> System, called ARTAS</w:t>
      </w:r>
      <w:r>
        <w:rPr>
          <w:rFonts w:ascii="Arial" w:cs="Arial" w:eastAsia="Arial" w:hAnsi="Arial"/>
          <w:sz w:val="14"/>
          <w:szCs w:val="14"/>
          <w:color w:val="auto"/>
        </w:rPr>
        <w:t>®</w:t>
      </w:r>
      <w:r>
        <w:rPr>
          <w:rFonts w:ascii="Arial" w:cs="Arial" w:eastAsia="Arial" w:hAnsi="Arial"/>
          <w:sz w:val="17"/>
          <w:szCs w:val="17"/>
          <w:color w:val="auto"/>
        </w:rPr>
        <w:t xml:space="preserve"> iX System, which incorporates the implantation functionality as well as other functionalities. As of September 30, 2018, the ARTAS</w:t>
      </w:r>
      <w:r>
        <w:rPr>
          <w:rFonts w:ascii="Arial" w:cs="Arial" w:eastAsia="Arial" w:hAnsi="Arial"/>
          <w:sz w:val="14"/>
          <w:szCs w:val="14"/>
          <w:color w:val="auto"/>
        </w:rPr>
        <w:t>®</w:t>
      </w:r>
      <w:r>
        <w:rPr>
          <w:rFonts w:ascii="Arial" w:cs="Arial" w:eastAsia="Arial" w:hAnsi="Arial"/>
          <w:sz w:val="17"/>
          <w:szCs w:val="17"/>
          <w:color w:val="auto"/>
        </w:rPr>
        <w:t xml:space="preserve"> System and ARTAS Hair Studio application are protected by over 80 patents in the U.S. and over 110 international patents.</w:t>
      </w:r>
    </w:p>
    <w:p>
      <w:pPr>
        <w:spacing w:after="0" w:line="17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On October 11, 2017, our Registration Statement on Form S-1 (File No. 333-220303) relating to our initial public offering (“IPO”) of its common stock was declared effective by the SEC. Pursuant to such Registration Statement, we sold an aggregate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May 10, 2018, we entered into a Loan and Security Agreement (the Solar Agreement) with Solar Capital Ltd. (Solar) and certain other lenders thereunder (together with Solar, the Lenders). Pursuant to the terms of the Solar Agreement, we borrowed $20.0 million with an interest rate at U.S. Dollar LIBOR plus 7.95% per annum (the Borrowings). All amounts borrowed under the Solar Agreement are secured by liens over all personal property of the Company, excluding intellectual property. Monthly payments on any amounts drawn shall consist of the interest only payments for the first 18 months, followed by payments of principal and accrued interest monthly thereafter until the four-year anniversary of the date of the Solar Agreement. In connection with the Solar Agreement, we granted the Lenders warrants to purchase an aggregate of 161,725 shares of our common stock exercisable at a price of $3.71 per share. On November 2, 2018, the Solar Agreement was amended to modify the compliance requirement for certain revenue and liquidity threshold. As part of this amendment, we paid a fee of $50 to the Lenders and cancelled 161,725 Warrants (originally issued in May 2018, as mentioned above) and issued 161,725 new warrants of the Company’s common stock, $0.0001 par value per share, at an exercise price of $1.76 per share. All other terms of the Warrants were unchanged.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used approximately $10.1 million of the net proceeds from the Solar Agreement loan to repay the entire outstanding principal balance and accrued interest under our existing loan agreement with Oxford Finance, LLC (Oxford) and terminated our loan agreement with Oxford.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2018, we closed our public follow-on offering of 10,000,000 shares of our common stock, plus 1,500,000 shares of common stock from the subsequent exercise of the over-allotment option granted to the underwriters. The public offering price of the shares sold was $1.50 per share. We received aggregate proceeds of approximately $15.6 million from our follow-on offering and the subsequent exercise of the over-allotment option, after deducting underwriting discounts and commissions, and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right="340"/>
        <w:spacing w:after="0" w:line="277" w:lineRule="auto"/>
        <w:rPr>
          <w:sz w:val="20"/>
          <w:szCs w:val="20"/>
          <w:color w:val="auto"/>
        </w:rPr>
      </w:pPr>
      <w:r>
        <w:rPr>
          <w:rFonts w:ascii="Arial" w:cs="Arial" w:eastAsia="Arial" w:hAnsi="Arial"/>
          <w:sz w:val="18"/>
          <w:szCs w:val="18"/>
          <w:color w:val="auto"/>
        </w:rPr>
        <w:t>costs totaling $1.6 million. We intend to use the net proceeds from this offering to fund expanded commercialization activities and the launch of our ARTAS</w:t>
      </w:r>
      <w:r>
        <w:rPr>
          <w:rFonts w:ascii="Arial" w:cs="Arial" w:eastAsia="Arial" w:hAnsi="Arial"/>
          <w:sz w:val="15"/>
          <w:szCs w:val="15"/>
          <w:color w:val="auto"/>
        </w:rPr>
        <w:t>®</w:t>
      </w:r>
      <w:r>
        <w:rPr>
          <w:rFonts w:ascii="Arial" w:cs="Arial" w:eastAsia="Arial" w:hAnsi="Arial"/>
          <w:sz w:val="18"/>
          <w:szCs w:val="18"/>
          <w:color w:val="auto"/>
        </w:rPr>
        <w:t xml:space="preserve"> iX System and for working capital and general corporate purposes.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funded our operations to date primarily from the issuance and sale of our common stock in our IPO as well as our follow-on offering, private placements of our equity securities and, to a lesser extent, through debt financings, exercises of our common stock warrants and payments from our customers. As of September 30, 2018, we had cash and cash equivalents of $23.6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and that we expect will impact, our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the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System</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growth of our business depends on our ability to gain broader acceptance of the ARTAS</w:t>
      </w:r>
      <w:r>
        <w:rPr>
          <w:rFonts w:ascii="Arial" w:cs="Arial" w:eastAsia="Arial" w:hAnsi="Arial"/>
          <w:sz w:val="15"/>
          <w:szCs w:val="15"/>
          <w:color w:val="auto"/>
        </w:rPr>
        <w:t>®</w:t>
      </w:r>
      <w:r>
        <w:rPr>
          <w:rFonts w:ascii="Arial" w:cs="Arial" w:eastAsia="Arial" w:hAnsi="Arial"/>
          <w:sz w:val="18"/>
          <w:szCs w:val="18"/>
          <w:color w:val="auto"/>
        </w:rPr>
        <w:t xml:space="preserve"> System and, in particular, the latest iteration of our ARTAS System, ARTAS</w:t>
      </w:r>
      <w:r>
        <w:rPr>
          <w:rFonts w:ascii="Arial" w:cs="Arial" w:eastAsia="Arial" w:hAnsi="Arial"/>
          <w:sz w:val="15"/>
          <w:szCs w:val="15"/>
          <w:color w:val="auto"/>
        </w:rPr>
        <w:t>®</w:t>
      </w:r>
      <w:r>
        <w:rPr>
          <w:rFonts w:ascii="Arial" w:cs="Arial" w:eastAsia="Arial" w:hAnsi="Arial"/>
          <w:sz w:val="18"/>
          <w:szCs w:val="18"/>
          <w:color w:val="auto"/>
        </w:rPr>
        <w:t xml:space="preserve"> iX, as well as the ARTAS procedure by successfully marketing and distributing the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If we are unable to successfully commercialize our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Investment in our Sales and Marketing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made certain strategic changes to and investments in our U.S. sales and global marketing organizations, which included terminating certain personnel and hiring new personnel and realigning our reporting and leadership structure in the sales organization. For example, throughout 2018 we are increasing the size of our U.S. sales force by hiring sales professionals with experience selling capital equipment and equipment to physicians in the aesthetic market. In addition, we are investing significantly in our sales and marketing efforts related to the launch of the ARTAS</w:t>
      </w:r>
      <w:r>
        <w:rPr>
          <w:rFonts w:ascii="Arial" w:cs="Arial" w:eastAsia="Arial" w:hAnsi="Arial"/>
          <w:sz w:val="15"/>
          <w:szCs w:val="15"/>
          <w:color w:val="auto"/>
        </w:rPr>
        <w:t>®</w:t>
      </w:r>
      <w:r>
        <w:rPr>
          <w:rFonts w:ascii="Arial" w:cs="Arial" w:eastAsia="Arial" w:hAnsi="Arial"/>
          <w:sz w:val="18"/>
          <w:szCs w:val="18"/>
          <w:color w:val="auto"/>
        </w:rPr>
        <w:t xml:space="preserve"> iX System. Strategically, we have been focused on our branding and have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increased revenue in 2018 because of increased unit sales, these sales initiatives have also increased our sales and marketing expenses. Furthermore, we anticipate as we continue to advance the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iX System, our sales and marketing expenses will continue to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Composition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by category:</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8,419</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Procedure-based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Service related fees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from the sale and service of ARTAS</w:t>
      </w:r>
      <w:r>
        <w:rPr>
          <w:rFonts w:ascii="Arial" w:cs="Arial" w:eastAsia="Arial" w:hAnsi="Arial"/>
          <w:sz w:val="15"/>
          <w:szCs w:val="15"/>
          <w:color w:val="auto"/>
        </w:rPr>
        <w:t>®</w:t>
      </w:r>
      <w:r>
        <w:rPr>
          <w:rFonts w:ascii="Arial" w:cs="Arial" w:eastAsia="Arial" w:hAnsi="Arial"/>
          <w:sz w:val="18"/>
          <w:szCs w:val="18"/>
          <w:color w:val="auto"/>
        </w:rPr>
        <w:t xml:space="preserve"> Systems and procedure-based fees.</w:t>
      </w:r>
    </w:p>
    <w:p>
      <w:pPr>
        <w:spacing w:after="0" w:line="117" w:lineRule="exact"/>
        <w:rPr>
          <w:sz w:val="20"/>
          <w:szCs w:val="20"/>
          <w:color w:val="auto"/>
        </w:rPr>
      </w:pPr>
    </w:p>
    <w:p>
      <w:pPr>
        <w:ind w:left="1040" w:right="40" w:hanging="519"/>
        <w:spacing w:after="0" w:line="255" w:lineRule="auto"/>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 xml:space="preserve">Revenue from systems for the three months ended September 30, 2018 increased as compared to the same period in </w:t>
      </w:r>
      <w:r>
        <w:rPr>
          <w:rFonts w:ascii="Arial" w:cs="Arial" w:eastAsia="Arial" w:hAnsi="Arial"/>
          <w:sz w:val="18"/>
          <w:szCs w:val="18"/>
          <w:color w:val="000000"/>
        </w:rPr>
        <w:t>2017 due to the launch of</w:t>
      </w:r>
      <w:r>
        <w:rPr>
          <w:rFonts w:ascii="Arial" w:cs="Arial" w:eastAsia="Arial" w:hAnsi="Arial"/>
          <w:sz w:val="18"/>
          <w:szCs w:val="18"/>
          <w:color w:val="231F20"/>
        </w:rPr>
        <w:t xml:space="preserve"> </w:t>
      </w:r>
      <w:r>
        <w:rPr>
          <w:rFonts w:ascii="Arial" w:cs="Arial" w:eastAsia="Arial" w:hAnsi="Arial"/>
          <w:sz w:val="18"/>
          <w:szCs w:val="18"/>
          <w:color w:val="000000"/>
        </w:rPr>
        <w:t>the ARTAS</w:t>
      </w:r>
      <w:r>
        <w:rPr>
          <w:rFonts w:ascii="Arial" w:cs="Arial" w:eastAsia="Arial" w:hAnsi="Arial"/>
          <w:sz w:val="15"/>
          <w:szCs w:val="15"/>
          <w:color w:val="000000"/>
        </w:rPr>
        <w:t>®</w:t>
      </w:r>
      <w:r>
        <w:rPr>
          <w:rFonts w:ascii="Arial" w:cs="Arial" w:eastAsia="Arial" w:hAnsi="Arial"/>
          <w:sz w:val="18"/>
          <w:szCs w:val="18"/>
          <w:color w:val="000000"/>
        </w:rPr>
        <w:t xml:space="preserve"> iX Systems in the third quarter of 2018 in the United States. </w:t>
      </w:r>
      <w:r>
        <w:rPr>
          <w:rFonts w:ascii="Arial" w:cs="Arial" w:eastAsia="Arial" w:hAnsi="Arial"/>
          <w:sz w:val="18"/>
          <w:szCs w:val="18"/>
          <w:color w:val="231F20"/>
        </w:rPr>
        <w:t>For the nine months ended September 30, 2018, revenue from</w:t>
      </w:r>
      <w:r>
        <w:rPr>
          <w:rFonts w:ascii="Arial" w:cs="Arial" w:eastAsia="Arial" w:hAnsi="Arial"/>
          <w:sz w:val="18"/>
          <w:szCs w:val="18"/>
          <w:color w:val="000000"/>
        </w:rPr>
        <w:t xml:space="preserve"> </w:t>
      </w:r>
      <w:r>
        <w:rPr>
          <w:rFonts w:ascii="Arial" w:cs="Arial" w:eastAsia="Arial" w:hAnsi="Arial"/>
          <w:sz w:val="18"/>
          <w:szCs w:val="18"/>
          <w:color w:val="231F20"/>
        </w:rPr>
        <w:t xml:space="preserve">systems was relatively unchanged due to our ongoing implementation of our new sales strategy, which has not taken full effect given several recent key hires, including our new Vice President of Sales who joined in February 2018, and the weaker than expected performance outside of the United States. We anticipate U.S. revenue from system sold going forward to be primarily from ARTAS iX Systems, while revenue from systems sold outside of the U.S. to be primarily from the existing ARTAS Systems until the time, if and when, we receive regulatory approval for the </w:t>
      </w:r>
      <w:r>
        <w:rPr>
          <w:rFonts w:ascii="Arial" w:cs="Arial" w:eastAsia="Arial" w:hAnsi="Arial"/>
          <w:sz w:val="18"/>
          <w:szCs w:val="18"/>
          <w:color w:val="000000"/>
        </w:rPr>
        <w:t>ARTAS</w:t>
      </w:r>
      <w:r>
        <w:rPr>
          <w:rFonts w:ascii="Arial" w:cs="Arial" w:eastAsia="Arial" w:hAnsi="Arial"/>
          <w:sz w:val="15"/>
          <w:szCs w:val="15"/>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iX System</w:t>
      </w:r>
      <w:r>
        <w:rPr>
          <w:rFonts w:ascii="Arial" w:cs="Arial" w:eastAsia="Arial" w:hAnsi="Arial"/>
          <w:sz w:val="18"/>
          <w:szCs w:val="18"/>
          <w:color w:val="231F20"/>
        </w:rPr>
        <w:t>.</w:t>
      </w:r>
    </w:p>
    <w:p>
      <w:pPr>
        <w:spacing w:after="0" w:line="81" w:lineRule="exact"/>
        <w:rPr>
          <w:rFonts w:ascii="Arial" w:cs="Arial" w:eastAsia="Arial" w:hAnsi="Arial"/>
          <w:sz w:val="18"/>
          <w:szCs w:val="18"/>
          <w:color w:val="231F20"/>
        </w:rPr>
      </w:pPr>
    </w:p>
    <w:p>
      <w:pPr>
        <w:ind w:left="1040" w:right="320" w:hanging="519"/>
        <w:spacing w:after="0" w:line="277" w:lineRule="auto"/>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Revenue from procedure-based fees for the three months end September 30, 2018 decreased as compared to the same period in 2017, while revenue from procedure-based fees for the nine months ended September 30, 2018 increased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left="1040" w:right="20"/>
        <w:spacing w:after="0" w:line="297" w:lineRule="auto"/>
        <w:rPr>
          <w:sz w:val="20"/>
          <w:szCs w:val="20"/>
          <w:color w:val="auto"/>
        </w:rPr>
      </w:pPr>
      <w:r>
        <w:rPr>
          <w:rFonts w:ascii="Arial" w:cs="Arial" w:eastAsia="Arial" w:hAnsi="Arial"/>
          <w:sz w:val="16"/>
          <w:szCs w:val="16"/>
          <w:color w:val="231F20"/>
        </w:rPr>
        <w:t xml:space="preserve">compared to the same period in 2017. </w:t>
      </w:r>
      <w:r>
        <w:rPr>
          <w:rFonts w:ascii="Arial" w:cs="Arial" w:eastAsia="Arial" w:hAnsi="Arial"/>
          <w:sz w:val="16"/>
          <w:szCs w:val="16"/>
          <w:color w:val="000000"/>
        </w:rPr>
        <w:t>Revenue from procedure-based fees for the three months ended September 30, 2018, decreased at least in</w:t>
      </w:r>
      <w:r>
        <w:rPr>
          <w:rFonts w:ascii="Arial" w:cs="Arial" w:eastAsia="Arial" w:hAnsi="Arial"/>
          <w:sz w:val="16"/>
          <w:szCs w:val="16"/>
          <w:color w:val="231F20"/>
        </w:rPr>
        <w:t xml:space="preserve"> </w:t>
      </w:r>
      <w:r>
        <w:rPr>
          <w:rFonts w:ascii="Arial" w:cs="Arial" w:eastAsia="Arial" w:hAnsi="Arial"/>
          <w:sz w:val="16"/>
          <w:szCs w:val="16"/>
          <w:color w:val="000000"/>
        </w:rPr>
        <w:t xml:space="preserve">part due to the timing of prior period purchases of bulk procedures, with customers purchasing bulk procedures in prior periods and using them during in later quarterly periods </w:t>
      </w:r>
      <w:r>
        <w:rPr>
          <w:rFonts w:ascii="Arial" w:cs="Arial" w:eastAsia="Arial" w:hAnsi="Arial"/>
          <w:sz w:val="16"/>
          <w:szCs w:val="16"/>
          <w:color w:val="231F20"/>
        </w:rPr>
        <w:t>which we believe resulted in fewer procedures being purchased in the three months ended September 30,</w:t>
      </w:r>
      <w:r>
        <w:rPr>
          <w:rFonts w:ascii="Arial" w:cs="Arial" w:eastAsia="Arial" w:hAnsi="Arial"/>
          <w:sz w:val="16"/>
          <w:szCs w:val="16"/>
          <w:color w:val="000000"/>
        </w:rPr>
        <w:t xml:space="preserve"> </w:t>
      </w:r>
      <w:r>
        <w:rPr>
          <w:rFonts w:ascii="Arial" w:cs="Arial" w:eastAsia="Arial" w:hAnsi="Arial"/>
          <w:sz w:val="16"/>
          <w:szCs w:val="16"/>
          <w:color w:val="231F20"/>
        </w:rPr>
        <w:t>2018</w:t>
      </w:r>
      <w:r>
        <w:rPr>
          <w:rFonts w:ascii="Arial" w:cs="Arial" w:eastAsia="Arial" w:hAnsi="Arial"/>
          <w:sz w:val="16"/>
          <w:szCs w:val="16"/>
          <w:color w:val="000000"/>
        </w:rPr>
        <w:t>. Further, while revenue from procedure-based fees for the nine months ended September 30, 2018 increased, the total number of</w:t>
      </w:r>
      <w:r>
        <w:rPr>
          <w:rFonts w:ascii="Arial" w:cs="Arial" w:eastAsia="Arial" w:hAnsi="Arial"/>
          <w:sz w:val="16"/>
          <w:szCs w:val="16"/>
          <w:color w:val="231F20"/>
        </w:rPr>
        <w:t xml:space="preserve"> </w:t>
      </w:r>
      <w:r>
        <w:rPr>
          <w:rFonts w:ascii="Arial" w:cs="Arial" w:eastAsia="Arial" w:hAnsi="Arial"/>
          <w:sz w:val="16"/>
          <w:szCs w:val="16"/>
          <w:color w:val="000000"/>
        </w:rPr>
        <w:t>procedures performed by our customers on their patients did not change proportionally to the growth in our installed base.</w:t>
      </w:r>
    </w:p>
    <w:p>
      <w:pPr>
        <w:spacing w:after="0" w:line="50" w:lineRule="exact"/>
        <w:rPr>
          <w:sz w:val="20"/>
          <w:szCs w:val="20"/>
          <w:color w:val="auto"/>
        </w:rPr>
      </w:pPr>
    </w:p>
    <w:p>
      <w:pPr>
        <w:ind w:left="1040" w:right="200" w:hanging="51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Service-related fees did not change significantly for the three and nine months ended September 30, 2018 as compared to the same periods in 2017.</w:t>
      </w:r>
    </w:p>
    <w:p>
      <w:pPr>
        <w:spacing w:after="0" w:line="170"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231F20"/>
        </w:rPr>
        <w:t>Historically, the majority of our revenue and our revenue growth has been generated through system sales. While we would expect our procedure-based fees to increase as our installed base of ARTAS</w:t>
      </w:r>
      <w:r>
        <w:rPr>
          <w:rFonts w:ascii="Arial" w:cs="Arial" w:eastAsia="Arial" w:hAnsi="Arial"/>
          <w:sz w:val="13"/>
          <w:szCs w:val="13"/>
          <w:color w:val="000000"/>
        </w:rPr>
        <w:t>®</w:t>
      </w:r>
      <w:r>
        <w:rPr>
          <w:rFonts w:ascii="Arial" w:cs="Arial" w:eastAsia="Arial" w:hAnsi="Arial"/>
          <w:sz w:val="15"/>
          <w:szCs w:val="15"/>
          <w:color w:val="231F20"/>
        </w:rPr>
        <w:t xml:space="preserve"> and ARTAS</w:t>
      </w:r>
      <w:r>
        <w:rPr>
          <w:rFonts w:ascii="Arial" w:cs="Arial" w:eastAsia="Arial" w:hAnsi="Arial"/>
          <w:sz w:val="13"/>
          <w:szCs w:val="13"/>
          <w:color w:val="000000"/>
        </w:rPr>
        <w:t>®</w:t>
      </w:r>
      <w:r>
        <w:rPr>
          <w:rFonts w:ascii="Arial" w:cs="Arial" w:eastAsia="Arial" w:hAnsi="Arial"/>
          <w:sz w:val="15"/>
          <w:szCs w:val="15"/>
          <w:color w:val="231F20"/>
        </w:rPr>
        <w:t xml:space="preserve"> iX Systems grow worldwide, the total number of procedures has not followed the increase in our installed base of systems sold. For example, our procedure-based revenue decreased for the three months ended September 30, 2018, as compared to the same period in 2017, whereas our installed base has grown from 2017 to 2018. While procedure-based revenue has increased, on from a year-to-date perspective, more than our revenue from system sales on a combined basis, during the aforementioned periods, we believe that revenue from procedure-based fees may not grow proportionally as compared to the increase in our installed base and that it could vary from quarter-to-quarter due to a number of factors, including:</w:t>
      </w:r>
    </w:p>
    <w:p>
      <w:pPr>
        <w:spacing w:after="0" w:line="42" w:lineRule="exact"/>
        <w:rPr>
          <w:sz w:val="20"/>
          <w:szCs w:val="20"/>
          <w:color w:val="auto"/>
        </w:rPr>
      </w:pPr>
    </w:p>
    <w:p>
      <w:pPr>
        <w:ind w:left="1040" w:right="20" w:hanging="519"/>
        <w:spacing w:after="0" w:line="264" w:lineRule="auto"/>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physician uptake causing a slow ramp-up to utilizing the ARTAS</w:t>
      </w:r>
      <w:r>
        <w:rPr>
          <w:rFonts w:ascii="Arial" w:cs="Arial" w:eastAsia="Arial" w:hAnsi="Arial"/>
          <w:sz w:val="15"/>
          <w:szCs w:val="15"/>
          <w:color w:val="000000"/>
        </w:rPr>
        <w:t>®</w:t>
      </w:r>
      <w:r>
        <w:rPr>
          <w:rFonts w:ascii="Arial" w:cs="Arial" w:eastAsia="Arial" w:hAnsi="Arial"/>
          <w:sz w:val="18"/>
          <w:szCs w:val="18"/>
          <w:color w:val="231F20"/>
        </w:rPr>
        <w:t xml:space="preserve"> or ARTAS</w:t>
      </w:r>
      <w:r>
        <w:rPr>
          <w:rFonts w:ascii="Arial" w:cs="Arial" w:eastAsia="Arial" w:hAnsi="Arial"/>
          <w:sz w:val="15"/>
          <w:szCs w:val="15"/>
          <w:color w:val="000000"/>
        </w:rPr>
        <w:t>®</w:t>
      </w:r>
      <w:r>
        <w:rPr>
          <w:rFonts w:ascii="Arial" w:cs="Arial" w:eastAsia="Arial" w:hAnsi="Arial"/>
          <w:sz w:val="18"/>
          <w:szCs w:val="18"/>
          <w:color w:val="231F20"/>
        </w:rPr>
        <w:t xml:space="preserve"> iX Systems, which is particularly evident with physicians who are new to hair restoration procedures or physicians who do not operate a solely hair restoration focused practice who are commonly the profile we are targeting;</w:t>
      </w:r>
    </w:p>
    <w:p>
      <w:pPr>
        <w:spacing w:after="0" w:line="73" w:lineRule="exact"/>
        <w:rPr>
          <w:rFonts w:ascii="Arial" w:cs="Arial" w:eastAsia="Arial" w:hAnsi="Arial"/>
          <w:sz w:val="18"/>
          <w:szCs w:val="18"/>
          <w:color w:val="231F20"/>
        </w:rPr>
      </w:pPr>
    </w:p>
    <w:p>
      <w:pPr>
        <w:jc w:val="both"/>
        <w:ind w:left="1040" w:right="80" w:hanging="519"/>
        <w:spacing w:after="0" w:line="342" w:lineRule="auto"/>
        <w:tabs>
          <w:tab w:leader="none" w:pos="104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capacity limitations with the current installed base of ARTAS</w:t>
      </w:r>
      <w:r>
        <w:rPr>
          <w:rFonts w:ascii="Arial" w:cs="Arial" w:eastAsia="Arial" w:hAnsi="Arial"/>
          <w:sz w:val="13"/>
          <w:szCs w:val="13"/>
          <w:color w:val="000000"/>
        </w:rPr>
        <w:t>®</w:t>
      </w:r>
      <w:r>
        <w:rPr>
          <w:rFonts w:ascii="Arial" w:cs="Arial" w:eastAsia="Arial" w:hAnsi="Arial"/>
          <w:sz w:val="16"/>
          <w:szCs w:val="16"/>
          <w:color w:val="231F20"/>
        </w:rPr>
        <w:t xml:space="preserve"> or ARTAS</w:t>
      </w:r>
      <w:r>
        <w:rPr>
          <w:rFonts w:ascii="Arial" w:cs="Arial" w:eastAsia="Arial" w:hAnsi="Arial"/>
          <w:sz w:val="13"/>
          <w:szCs w:val="13"/>
          <w:color w:val="000000"/>
        </w:rPr>
        <w:t>®</w:t>
      </w:r>
      <w:r>
        <w:rPr>
          <w:rFonts w:ascii="Arial" w:cs="Arial" w:eastAsia="Arial" w:hAnsi="Arial"/>
          <w:sz w:val="16"/>
          <w:szCs w:val="16"/>
          <w:color w:val="231F20"/>
        </w:rPr>
        <w:t xml:space="preserve"> iX Systems, which can result in procedure-based fees not growing as quickly as system sales, as high performing practitioners are limited in the number of procedures that can be performed in any given period;</w:t>
      </w:r>
    </w:p>
    <w:p>
      <w:pPr>
        <w:spacing w:after="0" w:line="15" w:lineRule="exact"/>
        <w:rPr>
          <w:rFonts w:ascii="Arial" w:cs="Arial" w:eastAsia="Arial" w:hAnsi="Arial"/>
          <w:sz w:val="16"/>
          <w:szCs w:val="16"/>
          <w:color w:val="231F20"/>
        </w:rPr>
      </w:pPr>
    </w:p>
    <w:p>
      <w:pPr>
        <w:ind w:left="1040" w:hanging="519"/>
        <w:spacing w:after="0"/>
        <w:tabs>
          <w:tab w:leader="none" w:pos="104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limited or no utilization of the ARTAS</w:t>
      </w:r>
      <w:r>
        <w:rPr>
          <w:rFonts w:ascii="Arial" w:cs="Arial" w:eastAsia="Arial" w:hAnsi="Arial"/>
          <w:sz w:val="13"/>
          <w:szCs w:val="13"/>
          <w:color w:val="000000"/>
        </w:rPr>
        <w:t>®</w:t>
      </w:r>
      <w:r>
        <w:rPr>
          <w:rFonts w:ascii="Arial" w:cs="Arial" w:eastAsia="Arial" w:hAnsi="Arial"/>
          <w:sz w:val="16"/>
          <w:szCs w:val="16"/>
          <w:color w:val="231F20"/>
        </w:rPr>
        <w:t xml:space="preserve"> or ARTAS</w:t>
      </w:r>
      <w:r>
        <w:rPr>
          <w:rFonts w:ascii="Arial" w:cs="Arial" w:eastAsia="Arial" w:hAnsi="Arial"/>
          <w:sz w:val="13"/>
          <w:szCs w:val="13"/>
          <w:color w:val="000000"/>
        </w:rPr>
        <w:t>®</w:t>
      </w:r>
      <w:r>
        <w:rPr>
          <w:rFonts w:ascii="Arial" w:cs="Arial" w:eastAsia="Arial" w:hAnsi="Arial"/>
          <w:sz w:val="16"/>
          <w:szCs w:val="16"/>
          <w:color w:val="231F20"/>
        </w:rPr>
        <w:t xml:space="preserve"> iX Systems after purchase because of a change in physician preference or practice; and</w:t>
      </w:r>
    </w:p>
    <w:p>
      <w:pPr>
        <w:spacing w:after="0" w:line="140" w:lineRule="exact"/>
        <w:rPr>
          <w:rFonts w:ascii="Arial" w:cs="Arial" w:eastAsia="Arial" w:hAnsi="Arial"/>
          <w:sz w:val="16"/>
          <w:szCs w:val="16"/>
          <w:color w:val="231F20"/>
        </w:rPr>
      </w:pPr>
    </w:p>
    <w:p>
      <w:pPr>
        <w:ind w:left="1040" w:right="460" w:hanging="519"/>
        <w:spacing w:after="0" w:line="277" w:lineRule="auto"/>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concentration of ARTAS procedures being performed on a limited number of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000000"/>
        </w:rPr>
        <w:t>®</w:t>
      </w:r>
      <w:r>
        <w:rPr>
          <w:rFonts w:ascii="Arial" w:cs="Arial" w:eastAsia="Arial" w:hAnsi="Arial"/>
          <w:sz w:val="18"/>
          <w:szCs w:val="18"/>
          <w:color w:val="231F20"/>
        </w:rPr>
        <w:t xml:space="preserve"> iX Systems leading to volatility between periods if particular high-volume practitioners perform a smaller number of procedures in a given period.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In order to increase the number of procedures performed per ARTAS</w:t>
      </w:r>
      <w:r>
        <w:rPr>
          <w:rFonts w:ascii="Arial" w:cs="Arial" w:eastAsia="Arial" w:hAnsi="Arial"/>
          <w:sz w:val="14"/>
          <w:szCs w:val="14"/>
          <w:color w:val="000000"/>
        </w:rPr>
        <w:t>®</w:t>
      </w:r>
      <w:r>
        <w:rPr>
          <w:rFonts w:ascii="Arial" w:cs="Arial" w:eastAsia="Arial" w:hAnsi="Arial"/>
          <w:sz w:val="17"/>
          <w:szCs w:val="17"/>
          <w:color w:val="231F20"/>
        </w:rPr>
        <w:t xml:space="preserve"> or ARTAS</w:t>
      </w:r>
      <w:r>
        <w:rPr>
          <w:rFonts w:ascii="Arial" w:cs="Arial" w:eastAsia="Arial" w:hAnsi="Arial"/>
          <w:sz w:val="14"/>
          <w:szCs w:val="14"/>
          <w:color w:val="000000"/>
        </w:rPr>
        <w:t>®</w:t>
      </w:r>
      <w:r>
        <w:rPr>
          <w:rFonts w:ascii="Arial" w:cs="Arial" w:eastAsia="Arial" w:hAnsi="Arial"/>
          <w:sz w:val="17"/>
          <w:szCs w:val="17"/>
          <w:color w:val="231F20"/>
        </w:rPr>
        <w:t xml:space="preserve"> iX System, and in turn increase revenue from procedure-based fees, we have, in connection with the leadership and sales and marketing changes, initiated programs to assist certain physicians in marketing efforts, patient education and practice optimization to increase utilization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If these efforts are successful, we anticipate that the growth in procedure-based fees will increase and that quarterly fluctuations in the number of total procedures performed will be reduced.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from Markets Outside the U.S.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231F20"/>
        </w:rPr>
        <w:t>Since launching the ARTAS</w:t>
      </w:r>
      <w:r>
        <w:rPr>
          <w:rFonts w:ascii="Arial" w:cs="Arial" w:eastAsia="Arial" w:hAnsi="Arial"/>
          <w:sz w:val="13"/>
          <w:szCs w:val="13"/>
          <w:color w:val="000000"/>
        </w:rPr>
        <w:t>®</w:t>
      </w:r>
      <w:r>
        <w:rPr>
          <w:rFonts w:ascii="Arial" w:cs="Arial" w:eastAsia="Arial" w:hAnsi="Arial"/>
          <w:sz w:val="16"/>
          <w:szCs w:val="16"/>
          <w:color w:val="231F20"/>
        </w:rPr>
        <w:t xml:space="preserve"> System in 2011, we have obtained clearance to sell our products in over 60 countries. In June 2012, we obtained our CE mark to sell our product into the European Economic Area, or EEA. We have sold into 37 countries and sell directly into the U.S., Korea, Hong Kong, Singapore, Spain, Poland, Benelux, Scandinavia, </w:t>
      </w:r>
      <w:r>
        <w:rPr>
          <w:rFonts w:ascii="Arial" w:cs="Arial" w:eastAsia="Arial" w:hAnsi="Arial"/>
          <w:sz w:val="16"/>
          <w:szCs w:val="16"/>
          <w:color w:val="000000"/>
        </w:rPr>
        <w:t>Portugal, the Netherlands</w:t>
      </w:r>
      <w:r>
        <w:rPr>
          <w:rFonts w:ascii="Arial" w:cs="Arial" w:eastAsia="Arial" w:hAnsi="Arial"/>
          <w:sz w:val="16"/>
          <w:szCs w:val="16"/>
          <w:color w:val="231F20"/>
        </w:rPr>
        <w:t xml:space="preserve"> and through distributors in the other countries. We obtained clearance to sell in China in September 2016. However, we have not obtained any regulatory approvals or clearances outside of the U.S. for our implantation functionality.</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Revenue from markets outside of the U.S accounted for 43% of our total revenue in the first nine months of 2018, compared to 60% from the same period in 2017. Although we will continue to invest resources outside of the U.S., we anticipate that the strategic shift in our sales strategy towards the U.S. market will impact the revenue mix between the U.S. and non-U.S. markets. In particular, in connection with our newly launched ARTAS</w:t>
      </w:r>
      <w:r>
        <w:rPr>
          <w:rFonts w:ascii="Arial" w:cs="Arial" w:eastAsia="Arial" w:hAnsi="Arial"/>
          <w:sz w:val="15"/>
          <w:szCs w:val="15"/>
          <w:color w:val="000000"/>
        </w:rPr>
        <w:t>®</w:t>
      </w:r>
      <w:r>
        <w:rPr>
          <w:rFonts w:ascii="Arial" w:cs="Arial" w:eastAsia="Arial" w:hAnsi="Arial"/>
          <w:sz w:val="18"/>
          <w:szCs w:val="18"/>
          <w:color w:val="231F20"/>
        </w:rPr>
        <w:t xml:space="preserve"> iX System, which is only cleared for sale in the U.S., our marketing efforts are highly focused on the U.S.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unit sales declined in the first nine months of 2018 relative to the first nine months of 2017 because of decreased unit sales in Europe, Middle East and Asia Pacific regions, which was partially offset by increased procedure-based fees in these regions. We believe the decline in system sales in the Europe, Middle East and Asia Pacific regions were due in part to potential customers delaying their purchase until the ARTAS® iX System is approved or cleared for use in their region.</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While we believe our newly launched ARTAS</w:t>
      </w:r>
      <w:r>
        <w:rPr>
          <w:rFonts w:ascii="Arial" w:cs="Arial" w:eastAsia="Arial" w:hAnsi="Arial"/>
          <w:sz w:val="15"/>
          <w:szCs w:val="15"/>
          <w:color w:val="auto"/>
        </w:rPr>
        <w:t>®</w:t>
      </w:r>
      <w:r>
        <w:rPr>
          <w:rFonts w:ascii="Arial" w:cs="Arial" w:eastAsia="Arial" w:hAnsi="Arial"/>
          <w:sz w:val="18"/>
          <w:szCs w:val="18"/>
          <w:color w:val="auto"/>
        </w:rPr>
        <w:t xml:space="preserve"> iX System, which incorporates a robotic implantation functionality, could have a positive effect on system sales in the U.S., it may have a negative effect on system sales outside the U.S. as the robotic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t>implantation functionality is only approved in the U.S. and potential non-U.S. customers of the ARTAS</w:t>
      </w:r>
      <w:r>
        <w:rPr>
          <w:rFonts w:ascii="Arial" w:cs="Arial" w:eastAsia="Arial" w:hAnsi="Arial"/>
          <w:sz w:val="15"/>
          <w:szCs w:val="15"/>
          <w:color w:val="auto"/>
        </w:rPr>
        <w:t>®</w:t>
      </w:r>
      <w:r>
        <w:rPr>
          <w:rFonts w:ascii="Arial" w:cs="Arial" w:eastAsia="Arial" w:hAnsi="Arial"/>
          <w:sz w:val="18"/>
          <w:szCs w:val="18"/>
          <w:color w:val="auto"/>
        </w:rPr>
        <w:t xml:space="preserve"> iX System may delay purchases of ARTAS</w:t>
      </w:r>
      <w:r>
        <w:rPr>
          <w:rFonts w:ascii="Arial" w:cs="Arial" w:eastAsia="Arial" w:hAnsi="Arial"/>
          <w:sz w:val="15"/>
          <w:szCs w:val="15"/>
          <w:color w:val="auto"/>
        </w:rPr>
        <w:t>®</w:t>
      </w:r>
      <w:r>
        <w:rPr>
          <w:rFonts w:ascii="Arial" w:cs="Arial" w:eastAsia="Arial" w:hAnsi="Arial"/>
          <w:sz w:val="18"/>
          <w:szCs w:val="18"/>
          <w:color w:val="auto"/>
        </w:rPr>
        <w:t xml:space="preserve"> systems until the implantation functionality is available in their market.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We expect our operating expenses to increase because of increased sales and marketing activity to promote penetration in markets outside the U.S. where we already sell the ARTAS</w:t>
      </w:r>
      <w:r>
        <w:rPr>
          <w:rFonts w:ascii="Arial" w:cs="Arial" w:eastAsia="Arial" w:hAnsi="Arial"/>
          <w:sz w:val="15"/>
          <w:szCs w:val="15"/>
          <w:color w:val="000000"/>
        </w:rPr>
        <w:t>®</w:t>
      </w:r>
      <w:r>
        <w:rPr>
          <w:rFonts w:ascii="Arial" w:cs="Arial" w:eastAsia="Arial" w:hAnsi="Arial"/>
          <w:sz w:val="18"/>
          <w:szCs w:val="18"/>
          <w:color w:val="231F20"/>
        </w:rPr>
        <w:t xml:space="preserve"> System and geographic expansion into new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Comparability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We anticipate that our quarterly results of operations may fluctuate for the foreseeable future due to several factors, including the performance of our direct sales force and international distributors, the launch of our implantation functionality and the ARTAS</w:t>
      </w:r>
      <w:r>
        <w:rPr>
          <w:rFonts w:ascii="Arial" w:cs="Arial" w:eastAsia="Arial" w:hAnsi="Arial"/>
          <w:sz w:val="15"/>
          <w:szCs w:val="15"/>
          <w:color w:val="000000"/>
        </w:rPr>
        <w:t>®</w:t>
      </w:r>
      <w:r>
        <w:rPr>
          <w:rFonts w:ascii="Arial" w:cs="Arial" w:eastAsia="Arial" w:hAnsi="Arial"/>
          <w:sz w:val="18"/>
          <w:szCs w:val="18"/>
          <w:color w:val="231F20"/>
        </w:rPr>
        <w:t xml:space="preserve"> iX System, and unanticipated interruptions and expenses related to our operations. In addition, due to the long lead time to finalize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000000"/>
        </w:rPr>
        <w:t>®</w:t>
      </w:r>
      <w:r>
        <w:rPr>
          <w:rFonts w:ascii="Arial" w:cs="Arial" w:eastAsia="Arial" w:hAnsi="Arial"/>
          <w:sz w:val="18"/>
          <w:szCs w:val="18"/>
          <w:color w:val="231F20"/>
        </w:rPr>
        <w:t xml:space="preserve"> iX-Systems unit sales with our physician customers, and the significant impact each unit sale has on a period’s revenue due to the price of each unit, our quarterly revenue may not be comparable from one period to another.</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2018 and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83"/>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6"/>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5"/>
          </w:tcPr>
          <w:p>
            <w:pPr>
              <w:jc w:val="right"/>
              <w:ind w:right="500"/>
              <w:spacing w:after="0" w:line="155" w:lineRule="exact"/>
              <w:rPr>
                <w:sz w:val="20"/>
                <w:szCs w:val="20"/>
                <w:color w:val="auto"/>
              </w:rPr>
            </w:pPr>
            <w:r>
              <w:rPr>
                <w:rFonts w:ascii="Arial" w:cs="Arial" w:eastAsia="Arial" w:hAnsi="Arial"/>
                <w:sz w:val="14"/>
                <w:szCs w:val="14"/>
                <w:b w:val="1"/>
                <w:bCs w:val="1"/>
                <w:i w:val="1"/>
                <w:iCs w:val="1"/>
                <w:color w:val="auto"/>
                <w:w w:val="94"/>
              </w:rPr>
              <w:t>(dollars 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15,298</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15,441</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(143)</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(691)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2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2,411</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r>
      <w:tr>
        <w:trPr>
          <w:trHeight w:val="230"/>
        </w:trPr>
        <w:tc>
          <w:tcPr>
            <w:tcW w:w="2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Research and development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4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5,728</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(1,836)</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(18,656)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(13,476)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(5,180)</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246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5"/>
        </w:trPr>
        <w:tc>
          <w:tcPr>
            <w:tcW w:w="24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7"/>
              </w:rPr>
              <w:t>Other income (expense),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3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4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w:t>
            </w:r>
          </w:p>
        </w:tc>
      </w:tr>
      <w:tr>
        <w:trPr>
          <w:trHeight w:val="223"/>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3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4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provision for</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(7,061)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(6,571)</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(490)</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(20,712)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(16,729)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(3,983)</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20"/>
                <w:szCs w:val="20"/>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23"/>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(20,744</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(16,779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400" w:type="dxa"/>
            <w:vAlign w:val="bottom"/>
            <w:tcBorders>
              <w:top w:val="single" w:sz="8" w:color="CFF0FC"/>
              <w:bottom w:val="single" w:sz="8" w:color="CFF0FC"/>
            </w:tcBorders>
            <w:shd w:val="clear" w:color="auto" w:fill="CFF0FC"/>
          </w:tcPr>
          <w:p>
            <w:pPr>
              <w:jc w:val="right"/>
              <w:ind w:right="26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r>
      <w:tr>
        <w:trPr>
          <w:trHeight w:val="20"/>
        </w:trPr>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15% and decreased 1%, for the three and nine months ended September 30, 2018, respectively, compared to the same periods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change in revenue was primarily due to the changes in volume of system sales for the three and nine months ended September 30, 2018, as compared to the same periods in 2017. We placed 11 and 30 systems in the three and nine months ended September 30, 2018, respectively, as compared to eight and 35 systems in the three and nine months ended September 30, 2017, respectively. For the three months ended September 30, 2018, the revenue increase was partially offset by a decrease of $0.4 million from procedures-based fees and service-related fees, on a combined basis, as compared to same periods in 2017. For the nine months ended September 30, 2018, the revenue decrease was partially offset by an increase of $0.7 million from procedures-based fees and service-related fees. The fluctuations in procedures-based fees and service-related fees was due to a significant number of ARTAS procedures being purchased prior to July 1, 2018 and being performed after that date, which we believe resulted in fewer procedures being purchased in the three months ended September 30, 2018.</w:t>
      </w:r>
    </w:p>
    <w:p>
      <w:pPr>
        <w:spacing w:after="0" w:line="182"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typically fluctuates with product mix, selling prices, material costs and revenue level. Gross margin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increased by four percentage points compared to the same periods in 2017. The increase for the three months ended September 30, 2018 was primarily driven by certain cost efficiencies and a change in our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60"/>
        <w:spacing w:after="0" w:line="290" w:lineRule="auto"/>
        <w:rPr>
          <w:sz w:val="20"/>
          <w:szCs w:val="20"/>
          <w:color w:val="auto"/>
        </w:rPr>
      </w:pPr>
      <w:r>
        <w:rPr>
          <w:rFonts w:ascii="Arial" w:cs="Arial" w:eastAsia="Arial" w:hAnsi="Arial"/>
          <w:sz w:val="16"/>
          <w:szCs w:val="16"/>
          <w:color w:val="auto"/>
        </w:rPr>
        <w:t>contingency accrual, which was reported in cost of revenue, which were partially offset by higher initial manufacturing costs associated with our ARTAS iX System that was launched in the third quarter of 2018 and a lower percentage of revenue being generated from procedure-based fees which generally carry a higher gross margin profile. For the nine months ended September 30, 2018, the increase was primarily driven by cost efficiencies and a higher percentage of revenue being generated from procedure-base fees, which were partially offset by a charge related to a loss contingency accrual of $0.3 million and by higher initial costs associated with the ARTAS</w:t>
      </w:r>
      <w:r>
        <w:rPr>
          <w:rFonts w:ascii="Arial" w:cs="Arial" w:eastAsia="Arial" w:hAnsi="Arial"/>
          <w:sz w:val="13"/>
          <w:szCs w:val="13"/>
          <w:color w:val="auto"/>
        </w:rPr>
        <w:t>®</w:t>
      </w:r>
      <w:r>
        <w:rPr>
          <w:rFonts w:ascii="Arial" w:cs="Arial" w:eastAsia="Arial" w:hAnsi="Arial"/>
          <w:sz w:val="16"/>
          <w:szCs w:val="16"/>
          <w:color w:val="auto"/>
        </w:rPr>
        <w:t xml:space="preserve"> iX System. The loss contingency charge was related to certain excess inventory components procured for our ARTAS</w:t>
      </w:r>
      <w:r>
        <w:rPr>
          <w:rFonts w:ascii="Arial" w:cs="Arial" w:eastAsia="Arial" w:hAnsi="Arial"/>
          <w:sz w:val="13"/>
          <w:szCs w:val="13"/>
          <w:color w:val="auto"/>
        </w:rPr>
        <w:t>®</w:t>
      </w:r>
      <w:r>
        <w:rPr>
          <w:rFonts w:ascii="Arial" w:cs="Arial" w:eastAsia="Arial" w:hAnsi="Arial"/>
          <w:sz w:val="16"/>
          <w:szCs w:val="16"/>
          <w:color w:val="auto"/>
        </w:rPr>
        <w:t xml:space="preserve"> System by our third-party manufacturer, which we determined would be in excess of expected demand due to manufacturing changes associated with the ARTAS</w:t>
      </w:r>
      <w:r>
        <w:rPr>
          <w:rFonts w:ascii="Arial" w:cs="Arial" w:eastAsia="Arial" w:hAnsi="Arial"/>
          <w:sz w:val="13"/>
          <w:szCs w:val="13"/>
          <w:color w:val="auto"/>
        </w:rPr>
        <w:t>®</w:t>
      </w:r>
      <w:r>
        <w:rPr>
          <w:rFonts w:ascii="Arial" w:cs="Arial" w:eastAsia="Arial" w:hAnsi="Arial"/>
          <w:sz w:val="16"/>
          <w:szCs w:val="16"/>
          <w:color w:val="auto"/>
        </w:rPr>
        <w:t xml:space="preserve"> System as a result of the approval of the implantation functionality. We initially anticipate higher manufacturing, warranty, and service costs associated with the ARTAS</w:t>
      </w:r>
      <w:r>
        <w:rPr>
          <w:rFonts w:ascii="Arial" w:cs="Arial" w:eastAsia="Arial" w:hAnsi="Arial"/>
          <w:sz w:val="13"/>
          <w:szCs w:val="13"/>
          <w:color w:val="auto"/>
        </w:rPr>
        <w:t>®</w:t>
      </w:r>
      <w:r>
        <w:rPr>
          <w:rFonts w:ascii="Arial" w:cs="Arial" w:eastAsia="Arial" w:hAnsi="Arial"/>
          <w:sz w:val="16"/>
          <w:szCs w:val="16"/>
          <w:color w:val="auto"/>
        </w:rPr>
        <w:t xml:space="preserve"> iX System which will result in a lower gross margin moving forward.</w:t>
      </w:r>
    </w:p>
    <w:p>
      <w:pPr>
        <w:spacing w:after="0" w:line="166"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expenses increased 28% and 22%, for the three and nine months ended September 30, 2018,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compared to the same periods in 2017. The increase was </w:t>
      </w:r>
      <w:r>
        <w:rPr>
          <w:rFonts w:ascii="Arial" w:cs="Arial" w:eastAsia="Arial" w:hAnsi="Arial"/>
          <w:sz w:val="17"/>
          <w:szCs w:val="17"/>
          <w:color w:val="231F20"/>
        </w:rPr>
        <w:t>primarily</w:t>
      </w:r>
      <w:r>
        <w:rPr>
          <w:rFonts w:ascii="Arial" w:cs="Arial" w:eastAsia="Arial" w:hAnsi="Arial"/>
          <w:sz w:val="17"/>
          <w:szCs w:val="17"/>
          <w:color w:val="auto"/>
        </w:rPr>
        <w:t xml:space="preserve"> due to the growth in employee headcount to support our overall sales and marketing activities, including the ongoing commercialization efforts for the ARTAS</w:t>
      </w:r>
      <w:r>
        <w:rPr>
          <w:rFonts w:ascii="Arial" w:cs="Arial" w:eastAsia="Arial" w:hAnsi="Arial"/>
          <w:sz w:val="14"/>
          <w:szCs w:val="14"/>
          <w:color w:val="auto"/>
        </w:rPr>
        <w:t>®</w:t>
      </w:r>
      <w:r>
        <w:rPr>
          <w:rFonts w:ascii="Arial" w:cs="Arial" w:eastAsia="Arial" w:hAnsi="Arial"/>
          <w:sz w:val="17"/>
          <w:szCs w:val="17"/>
          <w:color w:val="auto"/>
        </w:rPr>
        <w:t xml:space="preserve"> System and ARTAS</w:t>
      </w:r>
      <w:r>
        <w:rPr>
          <w:rFonts w:ascii="Arial" w:cs="Arial" w:eastAsia="Arial" w:hAnsi="Arial"/>
          <w:sz w:val="14"/>
          <w:szCs w:val="14"/>
          <w:color w:val="auto"/>
        </w:rPr>
        <w:t>®</w:t>
      </w:r>
      <w:r>
        <w:rPr>
          <w:rFonts w:ascii="Arial" w:cs="Arial" w:eastAsia="Arial" w:hAnsi="Arial"/>
          <w:sz w:val="17"/>
          <w:szCs w:val="17"/>
          <w:color w:val="auto"/>
        </w:rPr>
        <w:t xml:space="preserve"> iX System and the timing of expenditures for certain tradeshows in first nine months of 2018, which historically were held later in the calendar year.</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16% and 13%, for the three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same periods in 2017. The increase was primarily due to incremental outside services and consulting costs associated with the development of the ARTAS</w:t>
      </w:r>
      <w:r>
        <w:rPr>
          <w:rFonts w:ascii="Arial" w:cs="Arial" w:eastAsia="Arial" w:hAnsi="Arial"/>
          <w:sz w:val="15"/>
          <w:szCs w:val="15"/>
          <w:color w:val="auto"/>
        </w:rPr>
        <w:t>®</w:t>
      </w:r>
      <w:r>
        <w:rPr>
          <w:rFonts w:ascii="Arial" w:cs="Arial" w:eastAsia="Arial" w:hAnsi="Arial"/>
          <w:sz w:val="18"/>
          <w:szCs w:val="18"/>
          <w:color w:val="auto"/>
        </w:rPr>
        <w:t xml:space="preserve"> iX System, which was commercially launched in July 2018.</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92% and 74%, for the three and nine months ended September 30, 2018,</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in 2017. The increase was primarily the result of an increase in our allowance for doubtful accounts for certain customers outside of the United States, in addition to professional service costs, consisting of accounting, consulting, legal and other professional fees incurred in connection with our status as a public company following our IPO in October 2017.</w:t>
      </w:r>
    </w:p>
    <w:p>
      <w:pPr>
        <w:spacing w:after="0" w:line="17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28% and decreased 7% for the three and nine months ended September 30, 2018, respectively,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in 2017. The increase in interest expense between the three-month periods was related to a higher average principal balance of our outstanding long-term-debt obligations as we refinanced our debt obligations with Solar in May 2018, which had a higher outstanding balance than the loan with Oxford which we repaid during this period. The change in the interest expense between the nine-month periods was not significant.</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increased by $1.5 million and decreased by $1.1 million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respectively, compared to the same periods in 2017. For the three-month period, the increase was attributable to the change in the fair value of our convertible preferred stock warrant liability of $1.5 million for the three months ended September 30, 2017, with no change being recognized in 2018. For the nine-month period, the increase mentioned for the convertible preferred stock warrant liability was partially offset by the unamortized debt issuance and debt discounts written off by us and fees paid directly to Oxford and Solar in connection with the extinguishment of the Oxford loan and the new Solar loan in May 2018.</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Provision for income tax: </w:t>
      </w:r>
      <w:r>
        <w:rPr>
          <w:rFonts w:ascii="Arial" w:cs="Arial" w:eastAsia="Arial" w:hAnsi="Arial"/>
          <w:sz w:val="17"/>
          <w:szCs w:val="17"/>
          <w:color w:val="auto"/>
        </w:rPr>
        <w:t>Our effective tax rate is (0.12%) and (0.18%) for income tax for the three and nine months ended September 30, 2018,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and we expect that our effective tax rate for the full year 2018 will be (0.42%). Based on available evidence, including cumulative losses since inception and expected future losses, we have determined that it is more likely than not that our U.S. federal, U.S. state and Korea deferred tax assets will not be realized and therefore a valuation allowance has been provided on the U.S. federal, U.S. state and Korea net deferred tax assets.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general, if we experience a greater than 50% aggregate change in ownership over a three-year period, utilization of our pre-change net operating loss, or NOL, and credit carryforwards are subject to an annual limitation under Sections 382 and 383 of the U.S. Internal Revenue Code, or the Code. Generally, U.S. states maintain similar laws or regulations as Sections 382 and 383 of the Code. The annual limitation generally is determined by multiplying the value of our stock at the time of such ownership change (subject to certain adjustments) by the applicable long-term tax-exempt rate. Such limitations may result in expiration of a portion of the NOL or tax credit carryforwards before utilization.</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file tax returns for U.S. federal and state taxes along with tax returns in the United Kingdom, Hong Kong, Spain and South Korea. We are not currently subject to any income tax examinations. Since our inception, we have incurred losses from our U.S. operations, which generally allows all tax years to remain open.</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recognize the financial statement effects of a tax position when it becomes more likely than not, based upon the technical merits, that the position will be sustained upon examination. We do not expect any material changes in the next 12 months in unrecognized tax benefits.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180"/>
        <w:spacing w:after="0" w:line="264" w:lineRule="auto"/>
        <w:rPr>
          <w:sz w:val="20"/>
          <w:szCs w:val="20"/>
          <w:color w:val="auto"/>
        </w:rPr>
      </w:pPr>
      <w:r>
        <w:rPr>
          <w:rFonts w:ascii="Arial" w:cs="Arial" w:eastAsia="Arial" w:hAnsi="Arial"/>
          <w:sz w:val="18"/>
          <w:szCs w:val="18"/>
          <w:color w:val="auto"/>
        </w:rPr>
        <w:t>We recognize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We currently have no interest and penalties related to uncertain tax positions.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date, we have incurred significant net losses and negative cash flows from operations. Our net loss was $7.1 million and $6.6 million for the three months ended September 30, 2018 and 2017, respectively, and $20.7 million and $16.8 million for the nine months ended September 30, 2018 and 2017, respectively. As of September 30, 2018, we had an accumulated deficit of $185.2 million. As of September 30, 2018, and December 31, 2017, we had cash and cash equivalents of $23.6 million and $23.5 million, respectively. As of the filing date of this Quarterly Report, we believe our current cash and cash equivalents will not be sufficient to fund our operations for the next twelve months. These factors raise substantial doubt about our ability to continue as a going concern.</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our IPO, we sold an aggregate of 3,897,910 shares of our common stock (inclusive of 322,910 shares of common stock from the exercise of the over-allotment option granted to the underwriters) at a price of $7.00 per share and we received aggregate cash proceeds of approximately $22.1 million, net of underwriting discounts and commissions, and offering costs. Additionally, in August 2018, we closed our follow-on public offering of 11,500,000 shares of our common stock with an offering price of $1.50 per share. We received aggregate proceeds of $15.6 million, net of underwriters’ discounts and commissions, and offering costs totaling $1.6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2018, we entered into the Solar Agreement. The Solar Agreement consists of a four-year term loan for an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$20.0 million, for working capital, to fund our general business requirements and to repay our indebtedness under the Oxford Agreement. We used</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$10.1 million of the loan proceeds to repay the outstanding principal of $8.7 million, a final payment fee of $1.3 million plus accrued interest and prepayment fees of $0.1 million under the Oxford Agreement. The Borrowings under the Solar Agreement bear interest through maturity at a rate equal to the U.S. Dollar LIBOR rate plus 7.95% per annum. The outstanding balance on the Solar Agreement was $20.0 million as of September 30, 2018. The Solar Agreement contains various covenants. As of September 30, 2018, we were in compliance with all required covenants under the Solar Agreement, as amended.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financed our operations principally through the issuance and sale of our common stock in our IPO, private placements of our capital stock, and to a lesser extent, secured debt financing and payments from customers. We believe that our existing cash and cash equivalents and cash expected to be generated from sales of our products will not be sufficient to fund our planned operations through the next 12 months. However, we will need additional capital to fund our future operations and we intend to obtain such capital through the sale of additional shares of capital stock or related securities.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Further, there can be no assurance that we will be able to raise additional funds on favorable terms, or at all. Our failure to raise additional capital would have a negative impact on our financial condition and our ability to execute our business plan.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the ongoing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System, we are unable to estimate the exact amount of our operating capital requirements. Our future funding requirements will depend on many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revenue we generate from our operations;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scope and timing of our investment in our commercial infrastructure and sales-force;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degree and rate of market acceptance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the ARTAS procedure;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the research and development activities we intend to undertake in order to expand the approved indications of use for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left="1040" w:hanging="519"/>
        <w:spacing w:after="0"/>
        <w:tabs>
          <w:tab w:leader="none" w:pos="10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any product liability or other lawsuits related to our products;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expenses needed to attract and retain skilled personnel;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costs associated with being a public company;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costs associated with maintaining subsidiaries in foreign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will ever be profitable or generate positive cash flow from operating activities.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8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(21,226)</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(14,376)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8,476</w:t>
            </w:r>
          </w:p>
        </w:tc>
        <w:tc>
          <w:tcPr>
            <w:tcW w:w="80" w:type="dxa"/>
            <w:vAlign w:val="bottom"/>
            <w:shd w:val="clear" w:color="auto" w:fill="CFF0FC"/>
          </w:tcPr>
          <w:p>
            <w:pPr>
              <w:spacing w:after="0"/>
              <w:rPr>
                <w:sz w:val="19"/>
                <w:szCs w:val="19"/>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w w:val="90"/>
              </w:rPr>
              <w:t>Effect of exchange rate changes on cash, cash equivalents and restricted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nine months ended September 30, 2018, cash used in operating activities of $21.2 million was attributable to a net loss of $20.7 million and a decrease from operating assets and liabilities of $2.8 million, which was partially offset by $2.3 million in non-cash charges. The non-cash charges consisted primarily of provision for bad debt of $0.8 million, depreciation and amortization of $0.5 million, amortization of debt issuance costs of $0.3 million, stock-based compensation of $0.4 million and changes in excess and obsolete inventory of $0.1 million. The net change in operating assets and liabilities was primarily attributable to an increase in accounts payable and accrued other liabilities of $2.2 million, which was offset by an increase in accounts receivable of $3.4 million due to the timing of collections from customers in the third quarter of 2018 as well as an increase in inventory of $1.6 million due to inventory build of ARTAS</w:t>
      </w:r>
      <w:r>
        <w:rPr>
          <w:rFonts w:ascii="Arial" w:cs="Arial" w:eastAsia="Arial" w:hAnsi="Arial"/>
          <w:sz w:val="15"/>
          <w:szCs w:val="15"/>
          <w:color w:val="auto"/>
        </w:rPr>
        <w:t>®</w:t>
      </w:r>
      <w:r>
        <w:rPr>
          <w:rFonts w:ascii="Arial" w:cs="Arial" w:eastAsia="Arial" w:hAnsi="Arial"/>
          <w:sz w:val="18"/>
          <w:szCs w:val="18"/>
          <w:color w:val="auto"/>
        </w:rPr>
        <w:t xml:space="preserve"> systems in 2018.</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For the nine months ended September 30, 2017, cash used in operating activities of $14.4 million was attributable to a net loss of $16.8 million, which was partially offset by $2.9 million in non-cash charges and a decrease from operating assets and liabilities of $0.5 million. The non-cash charges consisted primarily of $1.6 million related to a change in fair value of preferred stock warrants, depreciation and amortization of $0.5 million, amortization of debt issuance costs of $0.4 million, and stock-based compensation of $0.3 million. The net change in operating assets and liabilities was primarily attributable to an increase in accounts receivable of $0.7 million, in prepaid expenses and other assets of $2.3 million, and an increase in accounts payable and accrued and other liabilities of $2.5 million due to the timing of receipt and payment of vendor invoices.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2018 and 2017, cash used in investing activities related to purchases of property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2018, cash provided by financing activities was $22.3 million, consisting of net proceeds from our Solar loan of</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$19.6 million, net proceeds from our follow-on offering of $15.6 million and $0.4 million of stock option exercises, which was offset by $13.3 million for the retirement of our Oxford loan.</w:t>
      </w:r>
    </w:p>
    <w:p>
      <w:pPr>
        <w:spacing w:after="0" w:line="18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the nine months ended September 30, 2017, cash provided by financing activities was $8.5 million, consisting of $10.2 million in net proceeds received from the issuance of convertible preferred stock and $5.0 million from issuance of convertible notes, each of which converted into common stock upon the consummation of our IPO. Cash provided by financing activities was partially offset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$6.0 million of principal payments on our outstanding debt obligation with Oxford and $0.7 million of payments for financing costs related to our IPO.</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2018, which represent material expected or contractually committed future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5"/>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1 to 3 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3 to 5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obligations, including interest </w:t>
            </w:r>
            <w:r>
              <w:rPr>
                <w:rFonts w:ascii="Arial" w:cs="Arial" w:eastAsia="Arial" w:hAnsi="Arial"/>
                <w:sz w:val="16"/>
                <w:szCs w:val="16"/>
                <w:color w:val="auto"/>
              </w:rPr>
              <w:t>(1)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25,737</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13,278</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13,746</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100" w:hanging="512"/>
        <w:spacing w:after="0" w:line="286" w:lineRule="auto"/>
        <w:tabs>
          <w:tab w:leader="none" w:pos="52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Represents our loan with Solar and our anticipated repayment schedule for the loan. Pursuant to our loan agreement with Oxford, the loan will mature in May 2022. The loan with Solar accrues interest at prime plus 7.9% per annum. The outstanding principal balance on the Solar loan was $20.8 million as of September 30, 2018, which includes a final payment of $0.8 million to Solar on the maturity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1209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4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addition to the contractual obligations listed in the table above, in March 2018, we received U.S. FDA 510(k) clearance to expand the ARTAS</w:t>
      </w:r>
      <w:r>
        <w:rPr>
          <w:rFonts w:ascii="Arial" w:cs="Arial" w:eastAsia="Arial" w:hAnsi="Arial"/>
          <w:sz w:val="14"/>
          <w:szCs w:val="14"/>
          <w:color w:val="auto"/>
        </w:rPr>
        <w:t>®</w:t>
      </w:r>
      <w:r>
        <w:rPr>
          <w:rFonts w:ascii="Arial" w:cs="Arial" w:eastAsia="Arial" w:hAnsi="Arial"/>
          <w:sz w:val="17"/>
          <w:szCs w:val="17"/>
          <w:color w:val="auto"/>
        </w:rPr>
        <w:t xml:space="preserve"> System technology to include an implantation functionality. Based on manufacturing changes associated with the ARTAS</w:t>
      </w:r>
      <w:r>
        <w:rPr>
          <w:rFonts w:ascii="Arial" w:cs="Arial" w:eastAsia="Arial" w:hAnsi="Arial"/>
          <w:sz w:val="14"/>
          <w:szCs w:val="14"/>
          <w:color w:val="auto"/>
        </w:rPr>
        <w:t>®</w:t>
      </w:r>
      <w:r>
        <w:rPr>
          <w:rFonts w:ascii="Arial" w:cs="Arial" w:eastAsia="Arial" w:hAnsi="Arial"/>
          <w:sz w:val="17"/>
          <w:szCs w:val="17"/>
          <w:color w:val="auto"/>
        </w:rPr>
        <w:t xml:space="preserve"> System, we determined that certain components procured or expected to be procured by Evolve Manufacturing Technologies, Inc., our single third-party manufacturer, who assemble the ARTAS</w:t>
      </w:r>
      <w:r>
        <w:rPr>
          <w:rFonts w:ascii="Arial" w:cs="Arial" w:eastAsia="Arial" w:hAnsi="Arial"/>
          <w:sz w:val="14"/>
          <w:szCs w:val="14"/>
          <w:color w:val="auto"/>
        </w:rPr>
        <w:t>®</w:t>
      </w:r>
      <w:r>
        <w:rPr>
          <w:rFonts w:ascii="Arial" w:cs="Arial" w:eastAsia="Arial" w:hAnsi="Arial"/>
          <w:sz w:val="17"/>
          <w:szCs w:val="17"/>
          <w:color w:val="auto"/>
        </w:rPr>
        <w:t xml:space="preserve"> Systems, will be in excess of expected demand or usage. As a result, we recorded a loss contingency accrual of $0.3 million, which is reported in “Cost of revenue” in the condensed consolidated statements of operations for the nine-months ended September 30, 2018 and included in “Other accrued liabilities” on the condensed consolidated balance sheets as of September 30,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GAAP. Preparation of these statements requires management to make judgments and estimates. Some accounting policies have a significant impact on amounts reported in these financial statements. A summary of significant accounting policies and a description of accounting policies that are considered critical may be found in our 2017 Annual Report on Form 10-K for the year ended December 31, 2017, in the Notes to the Consolidated Financial Statements (Note 1) and the Critical Accounting Policies and Estimates section in Management’s Discussion and Analysis of Financial Condition and Results of Operations. There have been no changes in these significant accounting policies during the three months ended September 30,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 and currency exchange rate fluctuations.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because of changes in interest rates. Declines in interest rates, however, would reduce our future interest income.</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are exposed to interest rate risk related to our debt obligations which are subject to variable interest rates. As of September 30, 2018, a 100-basis point increase in interest rates on our debt subject to variable interest rate fluctuations would increase our interest expense $0.1 million annually.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Chief Executive Officer and Chief Financial Officer did not identify any changes in our internal control over financial reporting in connection with the evaluation required by Rule 13a-15(d) and 15d-15(d) of the Exchange Act during the quarter ended September 30, 2018, that have materially affected, or are reasonably likely to materially affect,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31F20"/>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us as defendants, and certain of our current and former executive officers and directors, certain of our venture capital investors and the underwriters in our IPO. The Yzeiraj complaint names us as defendants and certain of our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6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On August 8, 2018, we, along with certain of our current and former executive officers and directors, filed a motion to dismiss the Wong complaint based on the forum selection clause designating the federal district courts as the exclusive forum for claims arising under the Securities Act contained in our Amended and Restated Certificate of Incorporation, and which asked the court in the alternative to stay the Wong action. Also, on August 8, 2018, the venture capital investor and underwriters’ defendants in the Wong action filed demurrers to the Wong complaint, and we, along with certain of our current and former executive officers and directors, joined in the venture capital investor defendants’ demurrer. A hearing on our motion to dismiss and the demurrers to the Wong complaint was held on October 24, 2018. We are unable to predict the date on which the Superior Court will issue any decision at this time.</w:t>
      </w:r>
    </w:p>
    <w:p>
      <w:pPr>
        <w:spacing w:after="0" w:line="16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231F20"/>
        </w:rPr>
        <w:t>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The U.S. Northern District Court has set an initial hearing for January 24,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231F20"/>
        </w:rPr>
        <w:t>We believe that these lawsuits are without merit and we intend to vigorously defend against these claims.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231F20"/>
        </w:rPr>
        <w:t>Our operations and financial results are subject to various risk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including our unaudited condensed consolidated financial statements and the related notes thereto, and “Management’s Discussion and Analysis of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have a limited commercial history and have focused primarily on research and development, product design and engineering, establishing supply and manufacturing relationships, seeking regulatory clearances and approvals to market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 and selling and marketing. We have incurred losses in each year since our inception in 2002. Our net losses were approximately $20.7 million for the nine months ended September 30, 2018 and $17.8 million for the year ended December 31, 2017. As of September 30, 2018, we had an accumulated deficit of $185.2 million. We will continue to incur significant expenses for the foreseeable future as we expand our sales and marketing, research and development, and clinical and regulatory activities. We may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231F20"/>
        </w:rPr>
        <w:t>never generate sufficient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considering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correctly estimate or control our future operating expenses, which could lead to cash shortfalls.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231F20"/>
        </w:rPr>
        <w:t>Our operating expenses may fluctuate significantly in the future because of a variety of factors, many of which are outside of our control. These factors include:</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 of growing our ongoing commercialization and sales and marketing activities;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of manufacturing and maintaining sufficient inventories of our products to meet anticipated demand and inventory write-offs related to obsolete products or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of enhancing the existing functionality and development of new functionalities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costs of preparing, filing, prosecuting, defending, and enforcing patent claims and other patent related costs, including litigation costs and the results of such litigation;</w:t>
      </w:r>
    </w:p>
    <w:p>
      <w:pPr>
        <w:spacing w:after="0" w:line="62" w:lineRule="exact"/>
        <w:rPr>
          <w:rFonts w:ascii="Arial" w:cs="Arial" w:eastAsia="Arial" w:hAnsi="Arial"/>
          <w:sz w:val="18"/>
          <w:szCs w:val="18"/>
          <w:color w:val="231F20"/>
        </w:rPr>
      </w:pPr>
    </w:p>
    <w:p>
      <w:pPr>
        <w:ind w:left="1040" w:right="340" w:hanging="519"/>
        <w:spacing w:after="0" w:line="308" w:lineRule="auto"/>
        <w:tabs>
          <w:tab w:leader="none" w:pos="104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the variability of ARTAS procedures being performed between periods if particular high-volume practitioners perform a smaller number of procedures in a given period as a result of the concentration of procedures performed by certain practitioners;</w:t>
      </w:r>
    </w:p>
    <w:p>
      <w:pPr>
        <w:spacing w:after="0" w:line="38" w:lineRule="exact"/>
        <w:rPr>
          <w:rFonts w:ascii="Arial" w:cs="Arial" w:eastAsia="Arial" w:hAnsi="Arial"/>
          <w:sz w:val="17"/>
          <w:szCs w:val="17"/>
          <w:color w:val="231F20"/>
        </w:rPr>
      </w:pPr>
    </w:p>
    <w:p>
      <w:pPr>
        <w:ind w:left="1040" w:hanging="519"/>
        <w:spacing w:after="0"/>
        <w:tabs>
          <w:tab w:leader="none" w:pos="10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any product liability or other lawsuits and the costs associated with defending them or the results of such lawsuits;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associated with conducting business and maintaining subsidiaries in foreign jurisdictions;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customers in jurisdictions where the </w:t>
      </w:r>
      <w:r>
        <w:rPr>
          <w:rFonts w:ascii="Arial" w:cs="Arial" w:eastAsia="Arial" w:hAnsi="Arial"/>
          <w:sz w:val="18"/>
          <w:szCs w:val="18"/>
          <w:color w:val="231F20"/>
        </w:rPr>
        <w:t>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iX System is not approved delaying their purchase, and not purchasing an ARTAS System, until</w:t>
      </w:r>
      <w:r>
        <w:rPr>
          <w:rFonts w:ascii="Arial" w:cs="Arial" w:eastAsia="Arial" w:hAnsi="Arial"/>
          <w:sz w:val="18"/>
          <w:szCs w:val="18"/>
          <w:color w:val="auto"/>
        </w:rPr>
        <w:t xml:space="preserve"> </w:t>
      </w:r>
      <w:r>
        <w:rPr>
          <w:rFonts w:ascii="Arial" w:cs="Arial" w:eastAsia="Arial" w:hAnsi="Arial"/>
          <w:sz w:val="18"/>
          <w:szCs w:val="18"/>
          <w:color w:val="231F20"/>
        </w:rPr>
        <w:t>the ARTAS</w:t>
      </w:r>
      <w:r>
        <w:rPr>
          <w:rFonts w:ascii="Arial" w:cs="Arial" w:eastAsia="Arial" w:hAnsi="Arial"/>
          <w:sz w:val="15"/>
          <w:szCs w:val="15"/>
          <w:color w:val="231F20"/>
        </w:rPr>
        <w:t>®</w:t>
      </w:r>
      <w:r>
        <w:rPr>
          <w:rFonts w:ascii="Arial" w:cs="Arial" w:eastAsia="Arial" w:hAnsi="Arial"/>
          <w:sz w:val="18"/>
          <w:szCs w:val="18"/>
          <w:color w:val="231F20"/>
        </w:rPr>
        <w:t xml:space="preserve"> iX System is approved or cleared for use in their market;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to attract and retain personnel with the skills required for effective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associated with being a public company.</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31F20"/>
        </w:rPr>
        <w:t>Our budgeted expense levels are based in part on our expectations concerning future revenue from ARTAS</w:t>
      </w:r>
      <w:r>
        <w:rPr>
          <w:rFonts w:ascii="Arial" w:cs="Arial" w:eastAsia="Arial" w:hAnsi="Arial"/>
          <w:sz w:val="15"/>
          <w:szCs w:val="15"/>
          <w:color w:val="000000"/>
        </w:rPr>
        <w:t>®</w:t>
      </w:r>
      <w:r>
        <w:rPr>
          <w:rFonts w:ascii="Arial" w:cs="Arial" w:eastAsia="Arial" w:hAnsi="Arial"/>
          <w:sz w:val="18"/>
          <w:szCs w:val="18"/>
          <w:color w:val="231F20"/>
        </w:rPr>
        <w:t xml:space="preserve"> Systems sales, servicing and procedure-based fees. We may be unable to reduce our expenditures in a timely manner to compensate for any unexpected shortfalls in revenue. Accordingly, a significant shortfall in market acceptance or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procedures could have an immediate and material adverse impact on our business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It is difficult to forecast our future performance and our financial results may fluctuate unpredictably.</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31F20"/>
        </w:rPr>
        <w:t>Our limited commercial history and 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38"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physician demand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procedure usage may vary from quarter to quarter;</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customers in jurisdictions where the </w:t>
      </w:r>
      <w:r>
        <w:rPr>
          <w:rFonts w:ascii="Arial" w:cs="Arial" w:eastAsia="Arial" w:hAnsi="Arial"/>
          <w:sz w:val="18"/>
          <w:szCs w:val="18"/>
          <w:color w:val="231F20"/>
        </w:rPr>
        <w:t>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iX System is not approved delaying their purchase, and not purchasing a ARTAS System, until</w:t>
      </w:r>
      <w:r>
        <w:rPr>
          <w:rFonts w:ascii="Arial" w:cs="Arial" w:eastAsia="Arial" w:hAnsi="Arial"/>
          <w:sz w:val="18"/>
          <w:szCs w:val="18"/>
          <w:color w:val="auto"/>
        </w:rPr>
        <w:t xml:space="preserve"> </w:t>
      </w:r>
      <w:r>
        <w:rPr>
          <w:rFonts w:ascii="Arial" w:cs="Arial" w:eastAsia="Arial" w:hAnsi="Arial"/>
          <w:sz w:val="18"/>
          <w:szCs w:val="18"/>
          <w:color w:val="231F20"/>
        </w:rPr>
        <w:t>the ARTAS</w:t>
      </w:r>
      <w:r>
        <w:rPr>
          <w:rFonts w:ascii="Arial" w:cs="Arial" w:eastAsia="Arial" w:hAnsi="Arial"/>
          <w:sz w:val="15"/>
          <w:szCs w:val="15"/>
          <w:color w:val="231F20"/>
        </w:rPr>
        <w:t>®</w:t>
      </w:r>
      <w:r>
        <w:rPr>
          <w:rFonts w:ascii="Arial" w:cs="Arial" w:eastAsia="Arial" w:hAnsi="Arial"/>
          <w:sz w:val="18"/>
          <w:szCs w:val="18"/>
          <w:color w:val="231F20"/>
        </w:rPr>
        <w:t xml:space="preserve"> iX System is approved or cleared for use in their market</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the inability of physicians to obtain the necessary financing to purchase the ARTAS</w:t>
      </w:r>
      <w:r>
        <w:rPr>
          <w:rFonts w:ascii="Arial" w:cs="Arial" w:eastAsia="Arial" w:hAnsi="Arial"/>
          <w:sz w:val="15"/>
          <w:szCs w:val="15"/>
          <w:color w:val="000000"/>
        </w:rPr>
        <w:t>®</w:t>
      </w:r>
      <w:r>
        <w:rPr>
          <w:rFonts w:ascii="Arial" w:cs="Arial" w:eastAsia="Arial" w:hAnsi="Arial"/>
          <w:sz w:val="18"/>
          <w:szCs w:val="18"/>
          <w:color w:val="231F20"/>
        </w:rPr>
        <w:t xml:space="preserve"> System or the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changes in the length of our sales process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 of new functionalities and system updates, such as the robotic implantation functionality in the new ARTAS</w:t>
      </w:r>
      <w:r>
        <w:rPr>
          <w:rFonts w:ascii="Arial" w:cs="Arial" w:eastAsia="Arial" w:hAnsi="Arial"/>
          <w:sz w:val="14"/>
          <w:szCs w:val="14"/>
          <w:color w:val="auto"/>
        </w:rPr>
        <w:t>®</w:t>
      </w:r>
      <w:r>
        <w:rPr>
          <w:rFonts w:ascii="Arial" w:cs="Arial" w:eastAsia="Arial" w:hAnsi="Arial"/>
          <w:sz w:val="17"/>
          <w:szCs w:val="17"/>
          <w:color w:val="auto"/>
        </w:rPr>
        <w:t xml:space="preserve"> iX System;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performance of our international distributors;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positive or negative media coverage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the procedures or products of our competitors, or our industry generally;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ind w:left="1040" w:right="6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our ability to maintain our current, or obtain further, regulatory clearances or approvals such as the regulatory clearances and approvals necessary to market the ARTAS</w:t>
      </w:r>
      <w:r>
        <w:rPr>
          <w:rFonts w:ascii="Arial" w:cs="Arial" w:eastAsia="Arial" w:hAnsi="Arial"/>
          <w:sz w:val="15"/>
          <w:szCs w:val="15"/>
          <w:color w:val="000000"/>
        </w:rPr>
        <w:t>®</w:t>
      </w:r>
      <w:r>
        <w:rPr>
          <w:rFonts w:ascii="Arial" w:cs="Arial" w:eastAsia="Arial" w:hAnsi="Arial"/>
          <w:sz w:val="18"/>
          <w:szCs w:val="18"/>
          <w:color w:val="231F20"/>
        </w:rPr>
        <w:t xml:space="preserve"> iX System outside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delays in, or failure of, product and component deliveries by our third-party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seasonal or other variations in patient demand for aesthetic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introduction of new aesthetic procedures or products that compete with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changes in accounting rules that may cause restatement of our consolidated financial statements or have other adverse effects;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adverse changes in the economy that reduce patient demand for elective aesthetic procedures.</w:t>
      </w:r>
    </w:p>
    <w:p>
      <w:pPr>
        <w:spacing w:after="0" w:line="3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231F20"/>
        </w:rPr>
        <w:t>The long sales cycle, low unit volume for sales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sell a relatively small number of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at a relatively high price, with each sale of an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typically involving a significant amount of time. Because of the relatively small number of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we expect to sell in any period, each sale of a system could represent a significant percentage of our revenue for a particular period. Furthermore, due to the significant amount of time it can take to finalize the sale of a system, it is likely that a sale could be recognized in a 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particular period as an indication of future performance. If we do not sell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anticipated, our operating results will vary significantly from our expectations. In addition, selling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requires significant marketing effort and expenditure in advance of the receipt of revenue and our efforts may not result in a sale.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recurring losses from operations and negative cash flows have raised substantial doubt regarding our ability to continue as a going concern.</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 xml:space="preserve">Our independent registered public accounting firm included an explanatory paragraph in its report on our consolidated financial statements as of, and for the year ended, December 31, 2017 that our recurring losses from operations and negative cash flows raise substantial doubt about our ability to continue as a going concern. Our ability to continue as a going concern will require us to obtain additional financing to fund our operations. </w:t>
      </w:r>
      <w:r>
        <w:rPr>
          <w:rFonts w:ascii="Arial" w:cs="Arial" w:eastAsia="Arial" w:hAnsi="Arial"/>
          <w:sz w:val="18"/>
          <w:szCs w:val="18"/>
          <w:color w:val="000000"/>
        </w:rPr>
        <w:t>As of the filing date of this</w:t>
      </w:r>
      <w:r>
        <w:rPr>
          <w:rFonts w:ascii="Arial" w:cs="Arial" w:eastAsia="Arial" w:hAnsi="Arial"/>
          <w:sz w:val="18"/>
          <w:szCs w:val="18"/>
          <w:color w:val="231F20"/>
        </w:rPr>
        <w:t xml:space="preserve"> </w:t>
      </w:r>
      <w:r>
        <w:rPr>
          <w:rFonts w:ascii="Arial" w:cs="Arial" w:eastAsia="Arial" w:hAnsi="Arial"/>
          <w:sz w:val="18"/>
          <w:szCs w:val="18"/>
          <w:color w:val="000000"/>
        </w:rPr>
        <w:t xml:space="preserve">Quarterly Report, we believe our current cash and cash equivalents will not be sufficient to fund our operations for the next twelve months. </w:t>
      </w:r>
      <w:r>
        <w:rPr>
          <w:rFonts w:ascii="Arial" w:cs="Arial" w:eastAsia="Arial" w:hAnsi="Arial"/>
          <w:sz w:val="18"/>
          <w:szCs w:val="18"/>
          <w:color w:val="231F20"/>
        </w:rPr>
        <w:t>The perception of</w:t>
      </w:r>
      <w:r>
        <w:rPr>
          <w:rFonts w:ascii="Arial" w:cs="Arial" w:eastAsia="Arial" w:hAnsi="Arial"/>
          <w:sz w:val="18"/>
          <w:szCs w:val="18"/>
          <w:color w:val="000000"/>
        </w:rPr>
        <w:t xml:space="preserve"> </w:t>
      </w:r>
      <w:r>
        <w:rPr>
          <w:rFonts w:ascii="Arial" w:cs="Arial" w:eastAsia="Arial" w:hAnsi="Arial"/>
          <w:sz w:val="18"/>
          <w:szCs w:val="18"/>
          <w:color w:val="231F20"/>
        </w:rPr>
        <w:t>our ability to continue as a going concern may make it more difficult for us to obtain financing for the continuation of our operations and could result in the loss of confidence by investors, suppliers and employees.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ind w:right="140"/>
        <w:spacing w:after="0" w:line="342" w:lineRule="auto"/>
        <w:rPr>
          <w:sz w:val="20"/>
          <w:szCs w:val="20"/>
          <w:color w:val="auto"/>
        </w:rPr>
      </w:pPr>
      <w:r>
        <w:rPr>
          <w:rFonts w:ascii="Arial" w:cs="Arial" w:eastAsia="Arial" w:hAnsi="Arial"/>
          <w:sz w:val="16"/>
          <w:szCs w:val="16"/>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and seeking regulatory clearances and approvals to market future products will require substantial funds to complete. As of September 30, 2018, we had capital resources consisting of cash and cash equivalents of $23.6 million. In connection with our IPO, we raised an additional $22.1 million of proceeds, net of underwriting discounts and commissions, and offering expenses. We believe that we will continue to expend substantial resources for the foreseeable future in connection with the ongoing commercializing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increasing our sales and marketing efforts, and continuing research and development and product enhancements activities.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believe our existing cash and cash equivalents and cash expected to be generated from the sale of our products will not be sufficient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1040" w:right="5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delay or curtail our efforts to develop enhancements to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including any clinical trials that may be required to market such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delay or curtail our plans to increase and expand our sales and marketing efforts;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delay or curtail our plans to enhance our customer support and marketing activities.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We are restricted by covenants in the Solar Agreement. These covenants restrict, among other things, our ability to incur additional debt without Solar’s consent, which may limit our ability to obtain additional funds. In addition, the Solar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29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231F20"/>
        </w:rPr>
        <w:t>We are dependent upon the success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 which has a limited commercial history. If we are unsuccessful in developing the market for robotic hair restoration or the market acceptance for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 fails to grow significantly, our business and future prospects will be harmed.</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We commenced commercial sales of the ARTAS</w:t>
      </w:r>
      <w:r>
        <w:rPr>
          <w:rFonts w:ascii="Arial" w:cs="Arial" w:eastAsia="Arial" w:hAnsi="Arial"/>
          <w:sz w:val="14"/>
          <w:szCs w:val="14"/>
          <w:color w:val="000000"/>
        </w:rPr>
        <w:t>®</w:t>
      </w:r>
      <w:r>
        <w:rPr>
          <w:rFonts w:ascii="Arial" w:cs="Arial" w:eastAsia="Arial" w:hAnsi="Arial"/>
          <w:sz w:val="17"/>
          <w:szCs w:val="17"/>
          <w:color w:val="231F20"/>
        </w:rPr>
        <w:t xml:space="preserve"> System for hair follicle dissection in the U.S. in 2011 and expect that the revenue we generate from both system sales and servicing as well as recurring procedure-based fees will account for all of our revenue for the foreseeable future. Accordingly, our success depends on the acceptance among physicians and patients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the preferred system for performing hair restoration surgery.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by physicians is significantly dependent on our ability to convince physicians of the benefits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to their practices and, accordingly, develop the market for robotic-assisted hair restoration surgery. Acceptance of the ARTAS procedure by patients is equally important as patient demand will influence physicians to offer the ARTAS procedure, and the degree of market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by physicians and patients is unproven. We believe that market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will depend on many factors, including:</w:t>
      </w:r>
    </w:p>
    <w:p>
      <w:pPr>
        <w:spacing w:after="0" w:line="71" w:lineRule="exact"/>
        <w:rPr>
          <w:sz w:val="20"/>
          <w:szCs w:val="20"/>
          <w:color w:val="auto"/>
        </w:rPr>
      </w:pPr>
    </w:p>
    <w:p>
      <w:pPr>
        <w:ind w:left="1040" w:right="7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perceived advantages or disadvantages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compared to other hair restoration products and treatments;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safety and efficacy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price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our success in expanding our sales and marketing organization;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effectiveness of our marketing, advertising, and commercialization initiatives;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1" w:name="page32"/>
    <w:bookmarkEnd w:id="31"/>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our success in adding new functionalities to the ARTAS</w:t>
      </w:r>
      <w:r>
        <w:rPr>
          <w:rFonts w:ascii="Arial" w:cs="Arial" w:eastAsia="Arial" w:hAnsi="Arial"/>
          <w:sz w:val="15"/>
          <w:szCs w:val="15"/>
          <w:b w:val="1"/>
          <w:bCs w:val="1"/>
          <w:i w:val="1"/>
          <w:iCs w:val="1"/>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enhancing existing functions;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231F20"/>
        </w:rPr>
        <w:t>our ability to obtain regulatory clearance to market the ARTAS</w:t>
      </w:r>
      <w:r>
        <w:rPr>
          <w:rFonts w:ascii="Arial" w:cs="Arial" w:eastAsia="Arial" w:hAnsi="Arial"/>
          <w:sz w:val="14"/>
          <w:szCs w:val="14"/>
          <w:b w:val="1"/>
          <w:bCs w:val="1"/>
          <w:i w:val="1"/>
          <w:iCs w:val="1"/>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for additional treatment indications in the U.S.</w:t>
      </w:r>
    </w:p>
    <w:p>
      <w:pPr>
        <w:spacing w:after="0" w:line="23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31F20"/>
        </w:rPr>
        <w:t>Further, the ARTAS</w:t>
      </w:r>
      <w:r>
        <w:rPr>
          <w:rFonts w:ascii="Arial" w:cs="Arial" w:eastAsia="Arial" w:hAnsi="Arial"/>
          <w:sz w:val="13"/>
          <w:szCs w:val="13"/>
          <w:color w:val="000000"/>
        </w:rPr>
        <w:t>®</w:t>
      </w:r>
      <w:r>
        <w:rPr>
          <w:rFonts w:ascii="Arial" w:cs="Arial" w:eastAsia="Arial" w:hAnsi="Arial"/>
          <w:sz w:val="16"/>
          <w:szCs w:val="16"/>
          <w:color w:val="231F20"/>
        </w:rPr>
        <w:t xml:space="preserve"> iX System, which was launched in June 2018, includes our recently approved robotic implantation functionality. As this functionality is new, it is possible that it could include defaults, “bugs” or present other technical issues which could prompt potential physician customers to delay their purchase of the ARTAS iX System or could prompt physicians that have purchased the ARTAS iX System to either return or not utilize the system.</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231F20"/>
        </w:rPr>
        <w:t>We cannot assure you that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will achieve broad market acceptance among physicians and patients. Because we expect to derive substantially all of our revenue for the foreseeable future from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sales, servicing and procedure-based fees, any failure of this product to satisfy physician or patient demand or to achieve meaningful market acceptance will harm our business and future prospects.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there is not sufficient patient demand for ARTAS procedures, our financial results and future prospects will be harmed.</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73"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success of our sales and marketing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extent to which our physician customers recommend the ARTAS procedures to their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our success in attracting consumers who have not previously undergone hair restoration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extent to which the ARTAS procedure satisfies patient expectations;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our ability to properly train our physician customers in the use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so that their patients do not experience excessive discomfort during treatment or adverse side effects;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cost, safety, and effectiveness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versus other aesthetic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231F20"/>
        </w:rPr>
        <w:t>consumer sentiment about the benefits and risks of aesthetic procedures generally and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in particular;</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success of any direct-to-consumer marketing efforts we may initiate;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general consumer confidence, which may be impacted by economic and political conditions outside of our control.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Our financial performance will be materially harmed in the event we cannot generate significant patient demand for procedures performed with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in part upon patient satisfaction with the effectiveness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231F20"/>
        </w:rPr>
        <w:t>In order to generate repeat and referral business, patients must be satisfied with the effectiveness of the ARTAS</w:t>
      </w:r>
      <w:r>
        <w:rPr>
          <w:rFonts w:ascii="Arial" w:cs="Arial" w:eastAsia="Arial" w:hAnsi="Arial"/>
          <w:sz w:val="14"/>
          <w:szCs w:val="14"/>
          <w:color w:val="000000"/>
        </w:rPr>
        <w:t>®</w:t>
      </w:r>
      <w:r>
        <w:rPr>
          <w:rFonts w:ascii="Arial" w:cs="Arial" w:eastAsia="Arial" w:hAnsi="Arial"/>
          <w:sz w:val="17"/>
          <w:szCs w:val="17"/>
          <w:color w:val="231F20"/>
        </w:rPr>
        <w:t xml:space="preserve"> Systems. If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procedure is not done correctly, and or the patient suffers from complications and other adverse effects, the patient may not be satisfied with the benefits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Furthermore, if the transplanted hair follicles do not grow or survive the transplant, the patient will likely not view the procedure as having a satisfactory outcome. If patients are not satisfied with the aesthetic benefits of the ARTAS</w:t>
      </w:r>
      <w:r>
        <w:rPr>
          <w:rFonts w:ascii="Arial" w:cs="Arial" w:eastAsia="Arial" w:hAnsi="Arial"/>
          <w:sz w:val="14"/>
          <w:szCs w:val="14"/>
          <w:color w:val="000000"/>
        </w:rPr>
        <w:t>®</w:t>
      </w:r>
      <w:r>
        <w:rPr>
          <w:rFonts w:ascii="Arial" w:cs="Arial" w:eastAsia="Arial" w:hAnsi="Arial"/>
          <w:sz w:val="17"/>
          <w:szCs w:val="17"/>
          <w:color w:val="231F20"/>
        </w:rPr>
        <w:t xml:space="preserve"> System, ARTAS</w:t>
      </w:r>
      <w:r>
        <w:rPr>
          <w:rFonts w:ascii="Arial" w:cs="Arial" w:eastAsia="Arial" w:hAnsi="Arial"/>
          <w:sz w:val="14"/>
          <w:szCs w:val="14"/>
          <w:color w:val="231F20"/>
        </w:rPr>
        <w:t>®</w:t>
      </w:r>
      <w:r>
        <w:rPr>
          <w:rFonts w:ascii="Arial" w:cs="Arial" w:eastAsia="Arial" w:hAnsi="Arial"/>
          <w:sz w:val="17"/>
          <w:szCs w:val="17"/>
          <w:color w:val="231F20"/>
        </w:rPr>
        <w:t xml:space="preserve"> iX System or feel that it is too expensive for the results obtained, our reputation and future sales will suffer.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growing physician adoption and 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ARTAS® iX System.</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231F20"/>
        </w:rPr>
        <w:t>Our ability to increase the number of physicians willing to make a significant capital expenditure to purchase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and make it a significant part of their practices, depends on the success of our sales and marketing programs. We must be able to demonstrate that the cost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utilization and awareness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but these programs require physician commitment and involvement to succeed. If we are unable to increase physician adoption and use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our financial performance will be adversely affected.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right="700"/>
        <w:spacing w:after="0" w:line="277" w:lineRule="auto"/>
        <w:rPr>
          <w:sz w:val="20"/>
          <w:szCs w:val="20"/>
          <w:color w:val="auto"/>
        </w:rPr>
      </w:pPr>
      <w:r>
        <w:rPr>
          <w:rFonts w:ascii="Arial" w:cs="Arial" w:eastAsia="Arial" w:hAnsi="Arial"/>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The medical technology and aesthetic product markets are highly competitive and dynamic, and are characterized by rapid and substantial technological development and product innovations. We designed the ARTAS</w:t>
      </w:r>
      <w:r>
        <w:rPr>
          <w:rFonts w:ascii="Arial" w:cs="Arial" w:eastAsia="Arial" w:hAnsi="Arial"/>
          <w:sz w:val="15"/>
          <w:szCs w:val="15"/>
          <w:color w:val="000000"/>
        </w:rPr>
        <w:t>®</w:t>
      </w:r>
      <w:r>
        <w:rPr>
          <w:rFonts w:ascii="Arial" w:cs="Arial" w:eastAsia="Arial" w:hAnsi="Arial"/>
          <w:sz w:val="18"/>
          <w:szCs w:val="18"/>
          <w:color w:val="231F20"/>
        </w:rPr>
        <w:t xml:space="preserve"> System to assist physicians in performing follicular unit extraction surgery.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ARTAS procedures could be limited by other products and technologies. Competition to address hair loss comes from various sources, including:</w:t>
      </w:r>
    </w:p>
    <w:p>
      <w:pPr>
        <w:spacing w:after="0" w:line="79" w:lineRule="exact"/>
        <w:rPr>
          <w:sz w:val="20"/>
          <w:szCs w:val="20"/>
          <w:color w:val="auto"/>
        </w:rPr>
      </w:pPr>
    </w:p>
    <w:p>
      <w:pPr>
        <w:ind w:left="1040" w:right="2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therapeutic options including Rogaine, which is applied topically, and Propecia, which is ingested, both of which have been approved by the FDA;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non-surgical options, such as wigs, hair-loss concealer sprays and similar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other surgical alternatives, including hair transplantation surgery using the strip surgery method or using hand-held devices.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Surgical alternatives to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may be able to compete more effectively than the ARTAS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 procedures due to the effort involved to make such changes.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231F20"/>
        </w:rPr>
        <w:t>Many options may be able to provide satisfactory results for male hair loss, generally at a lower cost to the patient than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a result, if patients choose these competitive alternatives, our results of operation could be adversely affected.</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our results of operation could be adversely affected.</w:t>
      </w:r>
    </w:p>
    <w:p>
      <w:pPr>
        <w:spacing w:after="0" w:line="14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establish or strengthen our brand.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believe that establishing and strengthening the Restoration Robotics and ARTAS brand is critical to achieving widespread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Systems,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our ARTAS</w:t>
      </w:r>
      <w:r>
        <w:rPr>
          <w:rFonts w:ascii="Arial" w:cs="Arial" w:eastAsia="Arial" w:hAnsi="Arial"/>
          <w:sz w:val="14"/>
          <w:szCs w:val="14"/>
          <w:color w:val="000000"/>
        </w:rPr>
        <w:t>®</w:t>
      </w:r>
      <w:r>
        <w:rPr>
          <w:rFonts w:ascii="Arial" w:cs="Arial" w:eastAsia="Arial" w:hAnsi="Arial"/>
          <w:sz w:val="17"/>
          <w:szCs w:val="17"/>
          <w:color w:val="231F20"/>
        </w:rPr>
        <w:t xml:space="preserve"> Systems may not be accepted by physicians, which would adversely affect our business, results of operations and financial condition.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rely on a direct sales force to sell the ARTAS</w:t>
      </w:r>
      <w:r>
        <w:rPr>
          <w:rFonts w:ascii="Arial" w:cs="Arial" w:eastAsia="Arial" w:hAnsi="Arial"/>
          <w:sz w:val="15"/>
          <w:szCs w:val="15"/>
          <w:color w:val="000000"/>
        </w:rPr>
        <w:t>®</w:t>
      </w:r>
      <w:r>
        <w:rPr>
          <w:rFonts w:ascii="Arial" w:cs="Arial" w:eastAsia="Arial" w:hAnsi="Arial"/>
          <w:sz w:val="18"/>
          <w:szCs w:val="18"/>
          <w:color w:val="231F20"/>
        </w:rPr>
        <w:t xml:space="preserve"> Systems in the U.S. and certain markets outside the U.S. In order to meet our anticipated sales objectives, we expect to grow our direct sales and marketing organization significantly 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7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hire qualified individuals as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generate sufficient leads within our target physician group for our sales 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provide adequate training for the effective sale and marketing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retain and motivate our direct sales and marketing professionals;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effectively oversee geographically dispersed sales and marketing teams.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failure to adequately address these risks could have a material adverse effect on our ability to increase sales and use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which would cause our revenue to be lower than expected and harm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in certain markets outside of the U.S., we depend on third-party distributors.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31F20"/>
        </w:rPr>
        <w:t>We depend on third-party distributors to sell, market, and service the ARTAS</w:t>
      </w:r>
      <w:r>
        <w:rPr>
          <w:rFonts w:ascii="Arial" w:cs="Arial" w:eastAsia="Arial" w:hAnsi="Arial"/>
          <w:sz w:val="13"/>
          <w:szCs w:val="13"/>
          <w:color w:val="000000"/>
        </w:rPr>
        <w:t>®</w:t>
      </w:r>
      <w:r>
        <w:rPr>
          <w:rFonts w:ascii="Arial" w:cs="Arial" w:eastAsia="Arial" w:hAnsi="Arial"/>
          <w:sz w:val="16"/>
          <w:szCs w:val="16"/>
          <w:color w:val="231F20"/>
        </w:rPr>
        <w:t xml:space="preserve">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3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lack of day-to-day control over the activities of third-party distributors;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distributors may not commit the necessary resources to market, sell, train, support and service our systems to the level of our expectations;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distributors may emphasize the sale of third-party products over our products;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distributors may not be as selective as we would be in choosing physicians to purchase the ARTAS</w:t>
      </w:r>
      <w:r>
        <w:rPr>
          <w:rFonts w:ascii="Arial" w:cs="Arial" w:eastAsia="Arial" w:hAnsi="Arial"/>
          <w:sz w:val="15"/>
          <w:szCs w:val="15"/>
          <w:color w:val="000000"/>
        </w:rPr>
        <w:t>®</w:t>
      </w:r>
      <w:r>
        <w:rPr>
          <w:rFonts w:ascii="Arial" w:cs="Arial" w:eastAsia="Arial" w:hAnsi="Arial"/>
          <w:sz w:val="18"/>
          <w:szCs w:val="18"/>
          <w:color w:val="231F20"/>
        </w:rPr>
        <w:t xml:space="preserve"> System or as effective in training physicians in marketing and patient selection;</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distributors may violate applicable laws and regulations which may expose us to potential liability or limit our ability to sell products in certain markets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distributors may terminate their arrangements with us on limited, or no, notice or may change the terms of these arrangements in a manner unfavorable to us; and</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To successfully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in markets outside of the U.S., we must address many international business risks with which we have limited experience.</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231F20"/>
        </w:rPr>
        <w:t>Sales in markets outside of the U.S. accounted for approximately 58% of our revenue for the year ended December 31, 2017 and 43% and 60% of our revenue for the nine months ended September 30, 2018 and 2017, respectively. We believe that a significant percentage of our business will continue to come from sales in markets outside of the U.S. through increased penetration in countries where we market and sell the ARTAS</w:t>
      </w:r>
      <w:r>
        <w:rPr>
          <w:rFonts w:ascii="Arial" w:cs="Arial" w:eastAsia="Arial" w:hAnsi="Arial"/>
          <w:sz w:val="14"/>
          <w:szCs w:val="14"/>
          <w:color w:val="000000"/>
        </w:rPr>
        <w:t>®</w:t>
      </w:r>
      <w:r>
        <w:rPr>
          <w:rFonts w:ascii="Arial" w:cs="Arial" w:eastAsia="Arial" w:hAnsi="Arial"/>
          <w:sz w:val="17"/>
          <w:szCs w:val="17"/>
          <w:color w:val="231F20"/>
        </w:rPr>
        <w:t xml:space="preserve"> System, and with expansion into new international markets. However, international sales are subject to a number of risks, including:</w:t>
      </w:r>
    </w:p>
    <w:p>
      <w:pPr>
        <w:spacing w:after="0" w:line="6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difficulties in staffing and managing our international operations;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increased competition as a result of more products and procedures receiving regulatory approval or otherwise free to market in international markets;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longer accounts receivable payment cycles and difficulties in collecting accounts receivable;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4" w:name="page35"/>
    <w:bookmarkEnd w:id="34"/>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reduced or varied protection for intellectual property rights in some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export restrictions, trade regulations, and foreign tax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fluctuations in currency exchange rates;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foreign certification and regulatory clearance or approval requirements, including receiving regulatory approval and clearance for the robotic implantation functionality included in our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difficulties in developing effective marketing campaigns in unfamiliar foreign countries;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customs clearance and shipping delays;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preference for locally produced products;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burdens of complying with a wide variety of foreign laws and different legal standards;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increased financial accounting and reporting burdens and complexities.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If one or more of these risks were realized, our results of operations and financial condition could be adversely affected.</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We expect that our revenue from international markets may decrease in the near term as we have received regulatory approval or clearance for the implantation function outside of the U.S., which may result in purchasing delays in international markets as customers await the availability of that function. In addition, the number of ARTAS</w:t>
      </w:r>
      <w:r>
        <w:rPr>
          <w:rFonts w:ascii="Arial" w:cs="Arial" w:eastAsia="Arial" w:hAnsi="Arial"/>
          <w:sz w:val="14"/>
          <w:szCs w:val="14"/>
          <w:color w:val="000000"/>
        </w:rPr>
        <w:t>®</w:t>
      </w:r>
      <w:r>
        <w:rPr>
          <w:rFonts w:ascii="Arial" w:cs="Arial" w:eastAsia="Arial" w:hAnsi="Arial"/>
          <w:sz w:val="17"/>
          <w:szCs w:val="17"/>
          <w:color w:val="231F20"/>
        </w:rPr>
        <w:t xml:space="preserve"> systems previously sold to distributors that have not yet been placed with an end user has increased in recent periods, which, in combination with the launch of ARTAS</w:t>
      </w:r>
      <w:r>
        <w:rPr>
          <w:rFonts w:ascii="Arial" w:cs="Arial" w:eastAsia="Arial" w:hAnsi="Arial"/>
          <w:sz w:val="14"/>
          <w:szCs w:val="14"/>
          <w:color w:val="000000"/>
        </w:rPr>
        <w:t>®</w:t>
      </w:r>
      <w:r>
        <w:rPr>
          <w:rFonts w:ascii="Arial" w:cs="Arial" w:eastAsia="Arial" w:hAnsi="Arial"/>
          <w:sz w:val="17"/>
          <w:szCs w:val="17"/>
          <w:color w:val="231F20"/>
        </w:rPr>
        <w:t xml:space="preserve"> iX, System may further exaggerate delays in international system sales.</w:t>
      </w:r>
    </w:p>
    <w:p>
      <w:pPr>
        <w:spacing w:after="0" w:line="28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231F20"/>
        </w:rPr>
        <w:t>While traditional hair transplantation surgery has been available for many years,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has only been commercially available since 2011. As a result, we have a limited track record compared to traditional hair transplantation surgery and the safety and efficacy of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is not yet supported by long-term clinical data, which could limit sales, and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could prove to be less safe or effective than initially thought.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Hair transplantation surgery has been a treatment option for hair restoration for many years, while we only began commercializing the ARTAS</w:t>
      </w:r>
      <w:r>
        <w:rPr>
          <w:rFonts w:ascii="Arial" w:cs="Arial" w:eastAsia="Arial" w:hAnsi="Arial"/>
          <w:sz w:val="14"/>
          <w:szCs w:val="14"/>
          <w:color w:val="000000"/>
        </w:rPr>
        <w:t>®</w:t>
      </w:r>
      <w:r>
        <w:rPr>
          <w:rFonts w:ascii="Arial" w:cs="Arial" w:eastAsia="Arial" w:hAnsi="Arial"/>
          <w:sz w:val="17"/>
          <w:szCs w:val="17"/>
          <w:color w:val="231F20"/>
        </w:rPr>
        <w:t xml:space="preserve"> System in 2011. Consequently, we lack the breadth of published long-term clinical data supporting the safety and efficacy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the benefits it offers that might have been generated in connection with other hair restoration techniques. As a result, physicians may be slow to adopt the ARTAS</w:t>
      </w:r>
      <w:r>
        <w:rPr>
          <w:rFonts w:ascii="Arial" w:cs="Arial" w:eastAsia="Arial" w:hAnsi="Arial"/>
          <w:sz w:val="14"/>
          <w:szCs w:val="14"/>
          <w:color w:val="000000"/>
        </w:rPr>
        <w:t>®</w:t>
      </w:r>
      <w:r>
        <w:rPr>
          <w:rFonts w:ascii="Arial" w:cs="Arial" w:eastAsia="Arial" w:hAnsi="Arial"/>
          <w:sz w:val="17"/>
          <w:szCs w:val="17"/>
          <w:color w:val="231F20"/>
        </w:rPr>
        <w:t xml:space="preserve"> System, we may not have comparative data that our competitors have or are generating, and we may be subject to greater regulatory and product liability risks. Furthermore, future patient studies or clinical experience may indicate that treatment with the ARTAS</w:t>
      </w:r>
      <w:r>
        <w:rPr>
          <w:rFonts w:ascii="Arial" w:cs="Arial" w:eastAsia="Arial" w:hAnsi="Arial"/>
          <w:sz w:val="14"/>
          <w:szCs w:val="14"/>
          <w:color w:val="000000"/>
        </w:rPr>
        <w:t>®</w:t>
      </w:r>
      <w:r>
        <w:rPr>
          <w:rFonts w:ascii="Arial" w:cs="Arial" w:eastAsia="Arial" w:hAnsi="Arial"/>
          <w:sz w:val="17"/>
          <w:szCs w:val="17"/>
          <w:color w:val="231F20"/>
        </w:rPr>
        <w:t xml:space="preserve"> System does not improve patient outcomes compared to other hair restoration techniques. Such results would slow the adoption of the ARTAS</w:t>
      </w:r>
      <w:r>
        <w:rPr>
          <w:rFonts w:ascii="Arial" w:cs="Arial" w:eastAsia="Arial" w:hAnsi="Arial"/>
          <w:sz w:val="14"/>
          <w:szCs w:val="14"/>
          <w:color w:val="000000"/>
        </w:rPr>
        <w:t>®</w:t>
      </w:r>
      <w:r>
        <w:rPr>
          <w:rFonts w:ascii="Arial" w:cs="Arial" w:eastAsia="Arial" w:hAnsi="Arial"/>
          <w:sz w:val="17"/>
          <w:szCs w:val="17"/>
          <w:color w:val="231F20"/>
        </w:rPr>
        <w:t xml:space="preserve"> System by physicians, would significantly reduce our ability to achieve expected sales and could prevent us from achieving and maintaining profitability.</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We have limited complication or patient success rate data with respect to treatment using the ARTAS</w:t>
      </w:r>
      <w:r>
        <w:rPr>
          <w:rFonts w:ascii="Arial" w:cs="Arial" w:eastAsia="Arial" w:hAnsi="Arial"/>
          <w:sz w:val="13"/>
          <w:szCs w:val="13"/>
          <w:color w:val="000000"/>
        </w:rPr>
        <w:t>®</w:t>
      </w:r>
      <w:r>
        <w:rPr>
          <w:rFonts w:ascii="Arial" w:cs="Arial" w:eastAsia="Arial" w:hAnsi="Arial"/>
          <w:sz w:val="16"/>
          <w:szCs w:val="16"/>
          <w:color w:val="231F20"/>
        </w:rPr>
        <w:t xml:space="preserve"> System. If future patient studies or clinical testing do not support our belief that our system offers a more advantageous treatment for hair restoration, market 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w:t>
      </w:r>
      <w:r>
        <w:rPr>
          <w:rFonts w:ascii="Arial" w:cs="Arial" w:eastAsia="Arial" w:hAnsi="Arial"/>
          <w:sz w:val="13"/>
          <w:szCs w:val="13"/>
          <w:color w:val="000000"/>
        </w:rPr>
        <w:t>®</w:t>
      </w:r>
      <w:r>
        <w:rPr>
          <w:rFonts w:ascii="Arial" w:cs="Arial" w:eastAsia="Arial" w:hAnsi="Arial"/>
          <w:sz w:val="16"/>
          <w:szCs w:val="16"/>
          <w:color w:val="231F20"/>
        </w:rPr>
        <w:t xml:space="preserve"> System may be adversely affected, even if such effects are not applicable to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right="640"/>
        <w:spacing w:after="0" w:line="277" w:lineRule="auto"/>
        <w:rPr>
          <w:sz w:val="20"/>
          <w:szCs w:val="20"/>
          <w:color w:val="auto"/>
        </w:rPr>
      </w:pPr>
      <w:r>
        <w:rPr>
          <w:rFonts w:ascii="Arial" w:cs="Arial" w:eastAsia="Arial" w:hAnsi="Arial"/>
          <w:sz w:val="18"/>
          <w:szCs w:val="18"/>
          <w:color w:val="231F20"/>
        </w:rPr>
        <w:t>If we choose to, or are required to, conduct additional studies, such studies or experience could, slow the market adoption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by physicians, significantly reduce our ability to achieve expected revenue and prevent us from becoming profitable.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were the subject of purported class action lawsuits, and additional litigation may be brought against us in the future.</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In May and June 2018, a number of purported stockholder class action complaints were filed against us, the members of our board of directors (and affiliated venture funds), as well as certain of our current and former officers and the underwriters in our IPO.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money damages, other equitable relief and attorneys’ fees and costs. 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rely on a single third-party manufacturer for the manufacturing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Evolve Manufacturing Technologies, Inc., or Evolve, assembles the ARTAS</w:t>
      </w:r>
      <w:r>
        <w:rPr>
          <w:rFonts w:ascii="Arial" w:cs="Arial" w:eastAsia="Arial" w:hAnsi="Arial"/>
          <w:sz w:val="14"/>
          <w:szCs w:val="14"/>
          <w:color w:val="000000"/>
        </w:rPr>
        <w:t>®</w:t>
      </w:r>
      <w:r>
        <w:rPr>
          <w:rFonts w:ascii="Arial" w:cs="Arial" w:eastAsia="Arial" w:hAnsi="Arial"/>
          <w:sz w:val="17"/>
          <w:szCs w:val="17"/>
          <w:color w:val="231F20"/>
        </w:rPr>
        <w:t xml:space="preserve"> System, and produces reusable procedure kits, disposable procedure kits, upgrade kits and spare kits used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If the operations of Evolve are interrupted or if it is unable or unwilling to meet our delivery requirements due to capacity limitations or other constraints, we may be limited in our ability to fulfill new customer orders, to provide kits required for use with existing ARTAS</w:t>
      </w:r>
      <w:r>
        <w:rPr>
          <w:rFonts w:ascii="Arial" w:cs="Arial" w:eastAsia="Arial" w:hAnsi="Arial"/>
          <w:sz w:val="14"/>
          <w:szCs w:val="14"/>
          <w:color w:val="000000"/>
        </w:rPr>
        <w:t>®</w:t>
      </w:r>
      <w:r>
        <w:rPr>
          <w:rFonts w:ascii="Arial" w:cs="Arial" w:eastAsia="Arial" w:hAnsi="Arial"/>
          <w:sz w:val="17"/>
          <w:szCs w:val="17"/>
          <w:color w:val="231F20"/>
        </w:rPr>
        <w:t xml:space="preserve"> Systems and to repair equipment at current customer sites.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have two master agreements and a component pricing agreement with Evolve for the supply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consumable products, including reusable procedure kits, disposable procedure kits, upgrade kits and spare kits used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pursuant to both of which we make purchases on a purchase order basis. The terms of these master agreements are substantially similar. The master agreement for the sale of ARTAS</w:t>
      </w:r>
      <w:r>
        <w:rPr>
          <w:rFonts w:ascii="Arial" w:cs="Arial" w:eastAsia="Arial" w:hAnsi="Arial"/>
          <w:sz w:val="14"/>
          <w:szCs w:val="14"/>
          <w:color w:val="000000"/>
        </w:rPr>
        <w:t>®</w:t>
      </w:r>
      <w:r>
        <w:rPr>
          <w:rFonts w:ascii="Arial" w:cs="Arial" w:eastAsia="Arial" w:hAnsi="Arial"/>
          <w:sz w:val="17"/>
          <w:szCs w:val="17"/>
          <w:color w:val="231F20"/>
        </w:rPr>
        <w:t xml:space="preserve"> Systems was effective beginning on April 1, 2016 and the master agreement for the sale of kits used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We have an agreement with Evolve for the pricing of certain components at certain quantities, which requires a minimum purchase from us. Otherwise, without this agreement, Evolve is not required and may not be able or willing, to meet our future requirements at current prices, or at all. We recently amended this agreement to extend the maturity date until August 2018.</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231F20"/>
        </w:rPr>
        <w:t>Additionally, while we do have agreements with some of our component suppliers, many of our component suppliers contract directly with Evolve and we have limited control over the components they supply or the timeliness by which they supply them. Evolve may be unable to acquire components at the quantities and prices at which we need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In addition, our reliance on Evolve involves a number of other risks, including, among other things, that:</w:t>
      </w:r>
    </w:p>
    <w:p>
      <w:pPr>
        <w:spacing w:after="0" w:line="117" w:lineRule="exact"/>
        <w:rPr>
          <w:sz w:val="20"/>
          <w:szCs w:val="20"/>
          <w:color w:val="auto"/>
        </w:rPr>
      </w:pPr>
    </w:p>
    <w:p>
      <w:pPr>
        <w:ind w:left="1040" w:right="360" w:hanging="519"/>
        <w:spacing w:after="0" w:line="31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231F20"/>
        </w:rPr>
        <w:t>our products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products, cause delays in shipments of our products, or require us to recall products previously delivered to customers;</w:t>
      </w:r>
    </w:p>
    <w:p>
      <w:pPr>
        <w:spacing w:after="0" w:line="38"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we may not be able to timely respond to unanticipated changes in customer orders, and if orders do not match forecasts, we may have excess or inadequate inventory of materials and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we may be subject to price fluctuations when a supply contract is renegotiated or if our existing contract is not renewed;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Evolve may wish to discontinue manufacturing and supplying products to us for risk management reasons; and</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Evolve may encounter financial or other hardships unrelated to our demand for products, which could inhibit its ability to fulfill our orders and meet our requirements.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17"/>
          <w:szCs w:val="17"/>
          <w:color w:val="231F20"/>
        </w:rPr>
        <w:t>Furthermore, if we are required to change the manufacturer of a critical component of the ARTAS</w:t>
      </w:r>
      <w:r>
        <w:rPr>
          <w:rFonts w:ascii="Arial" w:cs="Arial" w:eastAsia="Arial" w:hAnsi="Arial"/>
          <w:sz w:val="14"/>
          <w:szCs w:val="14"/>
          <w:color w:val="000000"/>
        </w:rPr>
        <w:t>®</w:t>
      </w:r>
      <w:r>
        <w:rPr>
          <w:rFonts w:ascii="Arial" w:cs="Arial" w:eastAsia="Arial" w:hAnsi="Arial"/>
          <w:sz w:val="17"/>
          <w:szCs w:val="17"/>
          <w:color w:val="231F20"/>
        </w:rPr>
        <w:t xml:space="preserve"> System, we will be required to verify that the new manufacturer maintains facilities, procedures and operations that comply with our quality and applicable regulatory requirements, which could further impede our ability to manufacture the ARTAS</w:t>
      </w:r>
      <w:r>
        <w:rPr>
          <w:rFonts w:ascii="Arial" w:cs="Arial" w:eastAsia="Arial" w:hAnsi="Arial"/>
          <w:sz w:val="14"/>
          <w:szCs w:val="14"/>
          <w:color w:val="000000"/>
        </w:rPr>
        <w:t>®</w:t>
      </w:r>
      <w:r>
        <w:rPr>
          <w:rFonts w:ascii="Arial" w:cs="Arial" w:eastAsia="Arial" w:hAnsi="Arial"/>
          <w:sz w:val="17"/>
          <w:szCs w:val="17"/>
          <w:color w:val="231F20"/>
        </w:rPr>
        <w:t xml:space="preserve"> System in a timely manner. Transitioning to a new supplier could be time-consuming and expensive, may result in interruptions in our operations and product delivery, could affect the performance specifications of the ARTAS</w:t>
      </w:r>
      <w:r>
        <w:rPr>
          <w:rFonts w:ascii="Arial" w:cs="Arial" w:eastAsia="Arial" w:hAnsi="Arial"/>
          <w:sz w:val="14"/>
          <w:szCs w:val="14"/>
          <w:color w:val="000000"/>
        </w:rPr>
        <w:t>®</w:t>
      </w:r>
      <w:r>
        <w:rPr>
          <w:rFonts w:ascii="Arial" w:cs="Arial" w:eastAsia="Arial" w:hAnsi="Arial"/>
          <w:sz w:val="17"/>
          <w:szCs w:val="17"/>
          <w:color w:val="231F20"/>
        </w:rPr>
        <w:t xml:space="preserve"> System or could require that we modify the design of those systems. If the change in manufacturer results in a significant change to any product, a new 510(k) clearance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w:t>
      </w:r>
    </w:p>
    <w:p>
      <w:pPr>
        <w:spacing w:after="0" w:line="178"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231F20"/>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w:t>
      </w:r>
      <w:r>
        <w:rPr>
          <w:rFonts w:ascii="Arial" w:cs="Arial" w:eastAsia="Arial" w:hAnsi="Arial"/>
          <w:sz w:val="13"/>
          <w:szCs w:val="13"/>
          <w:color w:val="000000"/>
        </w:rPr>
        <w:t>®</w:t>
      </w:r>
      <w:r>
        <w:rPr>
          <w:rFonts w:ascii="Arial" w:cs="Arial" w:eastAsia="Arial" w:hAnsi="Arial"/>
          <w:sz w:val="16"/>
          <w:szCs w:val="16"/>
          <w:color w:val="231F20"/>
        </w:rPr>
        <w:t xml:space="preserve"> System, our reputation, business, financial condition and results of operations could be negatively impacted.</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If Evolve is unable to manufacture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in high-quality commercial quantities successfully and consistently to meet demand, our growth will be limited.</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31F20"/>
        </w:rPr>
        <w:t>To manufacture our ARTAS</w:t>
      </w:r>
      <w:r>
        <w:rPr>
          <w:rFonts w:ascii="Arial" w:cs="Arial" w:eastAsia="Arial" w:hAnsi="Arial"/>
          <w:sz w:val="13"/>
          <w:szCs w:val="13"/>
          <w:color w:val="000000"/>
        </w:rPr>
        <w:t>®</w:t>
      </w:r>
      <w:r>
        <w:rPr>
          <w:rFonts w:ascii="Arial" w:cs="Arial" w:eastAsia="Arial" w:hAnsi="Arial"/>
          <w:sz w:val="16"/>
          <w:szCs w:val="16"/>
          <w:color w:val="231F20"/>
        </w:rPr>
        <w:t xml:space="preserve"> System in the quantities that we believe will be required to meet anticipated market demand, Evolve will need to increase manufacturing capacity, which will involve significant challenges. In addition, the development of commercial-scale manufacturing capabilities will require us and Evolve to invest substantial additional funds and hire and retain the technical personnel who have the necessary manufacturing experience. Neither we nor our third-party manufacturer may successfully complete any required increase to existing manufacturing processes in a timely manner, or at all.</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231F20"/>
        </w:rPr>
        <w:t>If Evolve is unable to produce the ARTAS</w:t>
      </w:r>
      <w:r>
        <w:rPr>
          <w:rFonts w:ascii="Arial" w:cs="Arial" w:eastAsia="Arial" w:hAnsi="Arial"/>
          <w:sz w:val="14"/>
          <w:szCs w:val="14"/>
          <w:color w:val="000000"/>
        </w:rPr>
        <w:t>®</w:t>
      </w:r>
      <w:r>
        <w:rPr>
          <w:rFonts w:ascii="Arial" w:cs="Arial" w:eastAsia="Arial" w:hAnsi="Arial"/>
          <w:sz w:val="17"/>
          <w:szCs w:val="17"/>
          <w:color w:val="231F20"/>
        </w:rPr>
        <w:t xml:space="preserve"> System, reusable procedure kits, disposable procedure kits, upgrade kits and spare kits in sufficient quantities to meet anticipated customer demand, our revenue, business, and financial prospects would be harmed. The limited experience Evolve has in producing larger quantities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and procedures and further affect our results of operations.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If we are unable to manufacture our next generation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called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iX System in high-quality commercial quantities successfully and consistently to meet demand, our growth will be limited, and our reputation could be harmed.</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To manufacture our ARTAS</w:t>
      </w:r>
      <w:r>
        <w:rPr>
          <w:rFonts w:ascii="Arial" w:cs="Arial" w:eastAsia="Arial" w:hAnsi="Arial"/>
          <w:sz w:val="15"/>
          <w:szCs w:val="15"/>
          <w:color w:val="000000"/>
        </w:rPr>
        <w:t>®</w:t>
      </w:r>
      <w:r>
        <w:rPr>
          <w:rFonts w:ascii="Arial" w:cs="Arial" w:eastAsia="Arial" w:hAnsi="Arial"/>
          <w:sz w:val="18"/>
          <w:szCs w:val="18"/>
          <w:color w:val="231F20"/>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products (e.g. ARTAS</w:t>
      </w:r>
      <w:r>
        <w:rPr>
          <w:rFonts w:ascii="Arial" w:cs="Arial" w:eastAsia="Arial" w:hAnsi="Arial"/>
          <w:sz w:val="15"/>
          <w:szCs w:val="15"/>
          <w:color w:val="000000"/>
        </w:rPr>
        <w:t>®</w:t>
      </w:r>
      <w:r>
        <w:rPr>
          <w:rFonts w:ascii="Arial" w:cs="Arial" w:eastAsia="Arial" w:hAnsi="Arial"/>
          <w:sz w:val="18"/>
          <w:szCs w:val="18"/>
          <w:color w:val="231F20"/>
        </w:rPr>
        <w:t xml:space="preserve"> System) in-house or without the contract manufacturer involvement. We have not determined whether our ARTAS</w:t>
      </w:r>
      <w:r>
        <w:rPr>
          <w:rFonts w:ascii="Arial" w:cs="Arial" w:eastAsia="Arial" w:hAnsi="Arial"/>
          <w:sz w:val="15"/>
          <w:szCs w:val="15"/>
          <w:color w:val="000000"/>
        </w:rPr>
        <w:t>®</w:t>
      </w:r>
      <w:r>
        <w:rPr>
          <w:rFonts w:ascii="Arial" w:cs="Arial" w:eastAsia="Arial" w:hAnsi="Arial"/>
          <w:sz w:val="18"/>
          <w:szCs w:val="18"/>
          <w:color w:val="231F20"/>
        </w:rPr>
        <w:t xml:space="preserve"> iX System will be solely manufactured by us or by a third-party manufacturer. The development of commercial-scale manufacturing capabilities will require us or our contract manufacturer for ARTAS</w:t>
      </w:r>
      <w:r>
        <w:rPr>
          <w:rFonts w:ascii="Arial" w:cs="Arial" w:eastAsia="Arial" w:hAnsi="Arial"/>
          <w:sz w:val="15"/>
          <w:szCs w:val="15"/>
          <w:color w:val="000000"/>
        </w:rPr>
        <w:t>®</w:t>
      </w:r>
      <w:r>
        <w:rPr>
          <w:rFonts w:ascii="Arial" w:cs="Arial" w:eastAsia="Arial" w:hAnsi="Arial"/>
          <w:sz w:val="18"/>
          <w:szCs w:val="18"/>
          <w:color w:val="231F20"/>
        </w:rPr>
        <w:t xml:space="preserve"> iX System to invest substantial additional funds and hire and retain the technical personnel who have the necessary manufacturing experience. Neither we nor our third-party manufacturer may successfully complete any required increase to existing manufacturing processes in a timely manner, or at all.</w:t>
      </w:r>
    </w:p>
    <w:p>
      <w:pPr>
        <w:spacing w:after="0" w:line="18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231F20"/>
        </w:rPr>
        <w:t>If we or our contract manufacturer are unable to produce the ARTAS</w:t>
      </w:r>
      <w:r>
        <w:rPr>
          <w:rFonts w:ascii="Arial" w:cs="Arial" w:eastAsia="Arial" w:hAnsi="Arial"/>
          <w:sz w:val="13"/>
          <w:szCs w:val="13"/>
          <w:color w:val="000000"/>
        </w:rPr>
        <w:t>®</w:t>
      </w:r>
      <w:r>
        <w:rPr>
          <w:rFonts w:ascii="Arial" w:cs="Arial" w:eastAsia="Arial" w:hAnsi="Arial"/>
          <w:sz w:val="16"/>
          <w:szCs w:val="16"/>
          <w:color w:val="231F20"/>
        </w:rPr>
        <w:t xml:space="preserve"> iX System, reusable procedure kits, disposable procedure kits, upgrade kits and spare kits in sufficient quantities to meet anticipated customer demand, our revenue, business, financial prospects, and reputation would be harmed. The limited experience we or our third-party manufacturer in producing the ARTAS</w:t>
      </w:r>
      <w:r>
        <w:rPr>
          <w:rFonts w:ascii="Arial" w:cs="Arial" w:eastAsia="Arial" w:hAnsi="Arial"/>
          <w:sz w:val="13"/>
          <w:szCs w:val="13"/>
          <w:color w:val="000000"/>
        </w:rPr>
        <w:t>®</w:t>
      </w:r>
      <w:r>
        <w:rPr>
          <w:rFonts w:ascii="Arial" w:cs="Arial" w:eastAsia="Arial" w:hAnsi="Arial"/>
          <w:sz w:val="16"/>
          <w:szCs w:val="16"/>
          <w:color w:val="231F20"/>
        </w:rPr>
        <w:t xml:space="preserve"> iX System and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3"/>
          <w:szCs w:val="13"/>
          <w:color w:val="000000"/>
        </w:rPr>
        <w:t>®</w:t>
      </w:r>
      <w:r>
        <w:rPr>
          <w:rFonts w:ascii="Arial" w:cs="Arial" w:eastAsia="Arial" w:hAnsi="Arial"/>
          <w:sz w:val="16"/>
          <w:szCs w:val="16"/>
          <w:color w:val="231F20"/>
        </w:rPr>
        <w:t xml:space="preserve"> iX System and procedures and further affect our results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440"/>
        <w:spacing w:after="0" w:line="342" w:lineRule="auto"/>
        <w:rPr>
          <w:sz w:val="20"/>
          <w:szCs w:val="20"/>
          <w:color w:val="auto"/>
        </w:rPr>
      </w:pPr>
      <w:r>
        <w:rPr>
          <w:rFonts w:ascii="Arial" w:cs="Arial" w:eastAsia="Arial" w:hAnsi="Arial"/>
          <w:sz w:val="16"/>
          <w:szCs w:val="16"/>
          <w:b w:val="1"/>
          <w:bCs w:val="1"/>
          <w:i w:val="1"/>
          <w:iCs w:val="1"/>
          <w:color w:val="231F20"/>
        </w:rPr>
        <w:t>Evolve’s manufacturing operations are dependent upon third-party suppliers and, in some cases, sole suppliers, for the majority of our components, subassemblies and materials, making us vulnerable to supply shortages and price fluctuations, which could harm our business.</w:t>
      </w:r>
    </w:p>
    <w:p>
      <w:pPr>
        <w:spacing w:after="0" w:line="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Evolve relies on several sole source suppliers, including Stäubli Corporation, FLIR Integrated Imaging Solutions Inc. and Preproduction Plastics Inc., for certain components of the ARTAS</w:t>
      </w:r>
      <w:r>
        <w:rPr>
          <w:rFonts w:ascii="Arial" w:cs="Arial" w:eastAsia="Arial" w:hAnsi="Arial"/>
          <w:sz w:val="13"/>
          <w:szCs w:val="13"/>
          <w:color w:val="000000"/>
        </w:rPr>
        <w:t>®</w:t>
      </w:r>
      <w:r>
        <w:rPr>
          <w:rFonts w:ascii="Arial" w:cs="Arial" w:eastAsia="Arial" w:hAnsi="Arial"/>
          <w:sz w:val="16"/>
          <w:szCs w:val="16"/>
          <w:color w:val="231F20"/>
        </w:rPr>
        <w:t xml:space="preserve"> System, reusable procedure kits, disposable procedure kits, upgrade kits, and spare kits. These sole suppliers, and any of our other suppliers, may be unwilling or unable to supply components of these systems to Evolve reliably and at the levels we anticipate or are required by the market. For us to be successful, our third-party manufacturer and its suppliers must be able to provide products and components in substantial quantities, in compliance with regulatory requirements, in accordance with agreed upon specifications, at acceptable costs and on a timely basis. An interruption in our commercial operations could occur if we or Evolve encounter delays or difficulties in securing these components, and if we cannot then obtain an acceptable substitute. If we are required to transition to new third-party suppliers for certain components of the ARTAS</w:t>
      </w:r>
      <w:r>
        <w:rPr>
          <w:rFonts w:ascii="Arial" w:cs="Arial" w:eastAsia="Arial" w:hAnsi="Arial"/>
          <w:sz w:val="13"/>
          <w:szCs w:val="13"/>
          <w:color w:val="000000"/>
        </w:rPr>
        <w:t>®</w:t>
      </w:r>
      <w:r>
        <w:rPr>
          <w:rFonts w:ascii="Arial" w:cs="Arial" w:eastAsia="Arial" w:hAnsi="Arial"/>
          <w:sz w:val="16"/>
          <w:szCs w:val="16"/>
          <w:color w:val="231F20"/>
        </w:rPr>
        <w:t xml:space="preserve"> System, we believe that there are only a few such suppliers that can supply the necessary components. A supply interruption, price fluctuation or an increase in demand beyond our current suppliers’ capabilities could harm Evolve’s ability to manufacture the ARTAS</w:t>
      </w:r>
      <w:r>
        <w:rPr>
          <w:rFonts w:ascii="Arial" w:cs="Arial" w:eastAsia="Arial" w:hAnsi="Arial"/>
          <w:sz w:val="13"/>
          <w:szCs w:val="13"/>
          <w:color w:val="000000"/>
        </w:rPr>
        <w:t>®</w:t>
      </w:r>
      <w:r>
        <w:rPr>
          <w:rFonts w:ascii="Arial" w:cs="Arial" w:eastAsia="Arial" w:hAnsi="Arial"/>
          <w:sz w:val="16"/>
          <w:szCs w:val="16"/>
          <w:color w:val="231F20"/>
        </w:rPr>
        <w:t xml:space="preserve"> System until new sources of supply are identified and qualified. In addition, the use of components or materials furnished by these alternative suppliers could require us to alter our operations.</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231F20"/>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 lack of long-term supply arrangements for key components with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delay in delivery due to our suppliers prioritizing other customer orders over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damage to our reputation caused by defective components produced by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231F20"/>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fluctuation in delivery by our suppliers due to changes in demand from us or their other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231F20"/>
        </w:rPr>
        <w:t>If any of these risks materialize, costs could significantly increase and our ability to meet demand for our products could be impacted. If we are unable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in a timely manner, our ability to generate revenue would be impaired and market acceptance of our products could be adversely affected.</w:t>
      </w:r>
    </w:p>
    <w:p>
      <w:pPr>
        <w:spacing w:after="0" w:line="2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231F20"/>
        </w:rPr>
        <w:t>We forecast sales to determine requirements for components and materials used in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 reusable procedure kits, disposable procedure kits, upgrade kits and spare kits and if our forecasts are incorrect, we may experience delays in shipments or increased inventory costs.</w:t>
      </w:r>
    </w:p>
    <w:p>
      <w:pPr>
        <w:spacing w:after="0" w:line="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We keep limited finished products on hand. To manage our operations, we forecast anticipated product orders and material requirements to predict our inventory needs and enter purchase orders based on these requirements. Several components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require significant order lead time. Our limited historical commercial experience and anticipated growth may not provide us with enough data to consistently and accurately predict future demand. If our business expands and our demand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8" w:name="page39"/>
    <w:bookmarkEnd w:id="38"/>
    <w:p>
      <w:pPr>
        <w:ind w:right="540"/>
        <w:spacing w:after="0" w:line="375" w:lineRule="auto"/>
        <w:rPr>
          <w:sz w:val="20"/>
          <w:szCs w:val="20"/>
          <w:color w:val="auto"/>
        </w:rPr>
      </w:pPr>
      <w:r>
        <w:rPr>
          <w:rFonts w:ascii="Arial" w:cs="Arial" w:eastAsia="Arial" w:hAnsi="Arial"/>
          <w:sz w:val="15"/>
          <w:szCs w:val="15"/>
          <w:b w:val="1"/>
          <w:bCs w:val="1"/>
          <w:i w:val="1"/>
          <w:iCs w:val="1"/>
          <w:color w:val="231F20"/>
        </w:rPr>
        <w:t>Even though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and ARTAS® iX Systems are marketed to physicians, there exists a potential for misuse by the operator of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systems by physicians, non-physicians or individuals who are not sufficiently trained, which could harm our reputation and our business.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and our independent distributors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we do not supervise the procedures performed with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nor can we be assured that direct physician supervision of procedures occurs according to our recommendations. The potential misuse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by physicians and non- physicians may result in adverse treatment outcomes, which could harm our reputation and expose us to costly product liability litigation.</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2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231F20"/>
        </w:rPr>
        <w:t>Product liability suits could be brought against us for defective design, labeling, material, or workmanship, or misuse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or ARTAS® iX System, and could result in expensive and time-consuming litigation, payment of substantial damages, an increase in our insurance rates and substantial harm to our reputation.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If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 iX System are defectively designed, manufactured, or labeled, contains defective components, or is misused, we may become subject to substantial and costly litigation by our physician customers or their patients. Misuse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or failure to adhere to operating guidelines can cause skin damage and underlying tissue damage and, if our operating guidelines are found to be inadequate, we may be subject to liability. 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decreased demand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or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substantial monetary awards to physician customers, patients or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inability to commercialize any future products.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Our inability to obtain and maintain sufficient product liability insurance at an acceptable cost and scope of coverage to protect against potential product liability claims could inhibit commercialization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of September 30, 2018,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more than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9" w:name="page40"/>
    <w:bookmarkEnd w:id="39"/>
    <w:p>
      <w:pPr>
        <w:ind w:right="320"/>
        <w:spacing w:after="0" w:line="375" w:lineRule="auto"/>
        <w:rPr>
          <w:sz w:val="20"/>
          <w:szCs w:val="20"/>
          <w:color w:val="auto"/>
        </w:rPr>
      </w:pPr>
      <w:r>
        <w:rPr>
          <w:rFonts w:ascii="Arial" w:cs="Arial" w:eastAsia="Arial" w:hAnsi="Arial"/>
          <w:sz w:val="15"/>
          <w:szCs w:val="15"/>
          <w:b w:val="1"/>
          <w:bCs w:val="1"/>
          <w:i w:val="1"/>
          <w:iCs w:val="1"/>
          <w:color w:val="231F20"/>
        </w:rPr>
        <w:t>Our ability to market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and ARTAS® iX Systems in the U.S. is limited to hair follicle dissection in males that have black or brown straight hair, and if we want to expand our marketing claims, we will need to obtain additional FDA clearances or approvals, which may not be granted.</w:t>
      </w:r>
    </w:p>
    <w:p>
      <w:pPr>
        <w:spacing w:after="0" w:line="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31F20"/>
        </w:rPr>
        <w:t>We have FDA clearance to market the ARTAS</w:t>
      </w:r>
      <w:r>
        <w:rPr>
          <w:rFonts w:ascii="Arial" w:cs="Arial" w:eastAsia="Arial" w:hAnsi="Arial"/>
          <w:sz w:val="13"/>
          <w:szCs w:val="13"/>
          <w:color w:val="000000"/>
        </w:rPr>
        <w:t>®</w:t>
      </w:r>
      <w:r>
        <w:rPr>
          <w:rFonts w:ascii="Arial" w:cs="Arial" w:eastAsia="Arial" w:hAnsi="Arial"/>
          <w:sz w:val="16"/>
          <w:szCs w:val="16"/>
          <w:color w:val="231F20"/>
        </w:rPr>
        <w:t xml:space="preserve"> and ARTAS® iX Systems in the U.S. for dissecting hair follicles only from the scalp in men diagnosed with androgenic alopecia (AGA), also referred to as male pattern baldness, who have black or brown straight hair. This clearance restricts our ability to market or advertise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treatment for women or men who do not have black or brown straight hair, which could limit physician and patient adoption of the ARTAS</w:t>
      </w:r>
      <w:r>
        <w:rPr>
          <w:rFonts w:ascii="Arial" w:cs="Arial" w:eastAsia="Arial" w:hAnsi="Arial"/>
          <w:sz w:val="13"/>
          <w:szCs w:val="13"/>
          <w:color w:val="000000"/>
        </w:rPr>
        <w:t>®</w:t>
      </w:r>
      <w:r>
        <w:rPr>
          <w:rFonts w:ascii="Arial" w:cs="Arial" w:eastAsia="Arial" w:hAnsi="Arial"/>
          <w:sz w:val="16"/>
          <w:szCs w:val="16"/>
          <w:color w:val="231F20"/>
        </w:rPr>
        <w:t xml:space="preserve"> System. Developing and promoting new treatment indications and protocols for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are elements of our growth strategy, but we cannot predict when or if we will receive the clearances required to so implement those elements. In addition, we may be required to conduct additional clinical trials or studies to support our applications, which may be time-consuming and expensive, and may produce results that do not result in FDA clearances. If we do not obtain additional FDA clearances, our ability to promote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in the U.S. may be limited. Because we anticipate that sales in the U.S. will continue to be a significant portion of our business for the foreseeable future, ongoing restrictions on our ability to market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in the U.S. could harm our business and limit our revenue growth.</w:t>
      </w:r>
    </w:p>
    <w:p>
      <w:pPr>
        <w:spacing w:after="0" w:line="2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In order to obtain 510(k) clearance for the ARTAS</w:t>
      </w:r>
      <w:r>
        <w:rPr>
          <w:rFonts w:ascii="Arial" w:cs="Arial" w:eastAsia="Arial" w:hAnsi="Arial"/>
          <w:sz w:val="14"/>
          <w:szCs w:val="14"/>
          <w:color w:val="000000"/>
        </w:rPr>
        <w:t>®</w:t>
      </w:r>
      <w:r>
        <w:rPr>
          <w:rFonts w:ascii="Arial" w:cs="Arial" w:eastAsia="Arial" w:hAnsi="Arial"/>
          <w:sz w:val="17"/>
          <w:szCs w:val="17"/>
          <w:color w:val="231F20"/>
        </w:rPr>
        <w:t xml:space="preserve">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39"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FDA or comparable foreign regulatory authorities disagreeing as to the design or implementation of our clinical studies;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obtaining regulatory approval to commence a clinical trial;</w:t>
      </w:r>
    </w:p>
    <w:p>
      <w:pPr>
        <w:spacing w:after="0" w:line="117" w:lineRule="exact"/>
        <w:rPr>
          <w:rFonts w:ascii="Arial" w:cs="Arial" w:eastAsia="Arial" w:hAnsi="Arial"/>
          <w:sz w:val="18"/>
          <w:szCs w:val="18"/>
          <w:color w:val="231F20"/>
        </w:rPr>
      </w:pPr>
    </w:p>
    <w:p>
      <w:pPr>
        <w:ind w:left="1040" w:right="280" w:hanging="519"/>
        <w:spacing w:after="0" w:line="277" w:lineRule="auto"/>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231F20"/>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manufacturing sufficient quantities of a product for use in clinical trials;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obtaining institutional review board, or IRB, or ethics committees approval to conduct a clinical trial at each prospective site;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ind w:left="1040" w:hanging="519"/>
        <w:spacing w:after="0"/>
        <w:tabs>
          <w:tab w:leader="none" w:pos="10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recruiting and enrolling patients and maintaining their participation in clinical trials;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having clinical sites observe trial protocol or continue to participate in a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addressing any patient safety concerns that arise during the course of a clinical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addressing any conflicts with new or existing laws or regulations;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adding a sufficient number of clinical trial sites.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7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failure to conduct the clinical trial in accordance with applicable regulatory requirements or our clinical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231F20"/>
        </w:rPr>
        <w:t>inspection of the clinical trial operations or trial sites by the FDA or other regulatory authorities resulting in the imposition of a clinical hold;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inability of a clinical investigator or clinical trial site to continue to participate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failure to demonstrate a benefit from using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b w:val="1"/>
          <w:bCs w:val="1"/>
          <w:i w:val="1"/>
          <w:iCs w:val="1"/>
          <w:color w:val="231F20"/>
        </w:rPr>
        <w:t>Our business could be adversely affected if we are unable to extend the cleared uses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 or successfully pursue the development, regulatory clearance or approval and commercialization of future products.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The ARTAS</w:t>
      </w:r>
      <w:r>
        <w:rPr>
          <w:rFonts w:ascii="Arial" w:cs="Arial" w:eastAsia="Arial" w:hAnsi="Arial"/>
          <w:sz w:val="13"/>
          <w:szCs w:val="13"/>
          <w:color w:val="000000"/>
        </w:rPr>
        <w:t>®</w:t>
      </w:r>
      <w:r>
        <w:rPr>
          <w:rFonts w:ascii="Arial" w:cs="Arial" w:eastAsia="Arial" w:hAnsi="Arial"/>
          <w:sz w:val="16"/>
          <w:szCs w:val="16"/>
          <w:color w:val="231F20"/>
        </w:rPr>
        <w:t xml:space="preserve"> System for hair follicle dissection, which has been cleared for use in the U.S. only for dissecting hair follicles from the scalp in men diagnosed with AGA who have black or brown straight hair, recipient site making for the follicle transplantation sites, in our ARTAS</w:t>
      </w:r>
      <w:r>
        <w:rPr>
          <w:rFonts w:ascii="Arial" w:cs="Arial" w:eastAsia="Arial" w:hAnsi="Arial"/>
          <w:sz w:val="13"/>
          <w:szCs w:val="13"/>
          <w:color w:val="231F20"/>
        </w:rPr>
        <w:t>®</w:t>
      </w:r>
      <w:r>
        <w:rPr>
          <w:rFonts w:ascii="Arial" w:cs="Arial" w:eastAsia="Arial" w:hAnsi="Arial"/>
          <w:sz w:val="16"/>
          <w:szCs w:val="16"/>
          <w:color w:val="231F20"/>
        </w:rPr>
        <w:t xml:space="preserve"> iX System, and robotic implantation in which hair follicles are robotically transplanted, which recently has been approved for commercial marketing in the U.S., are our only products. Our business could be adversely affected if we are unable to extend the cleared uses of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or successfully pursue the development, regulatory clearance or approval and commercialization of future products. In the future, we may also become dependent on other products that we may develop or acquire. The clinical and commercial success of our products will depend on several factors, including the following:</w:t>
      </w:r>
    </w:p>
    <w:p>
      <w:pPr>
        <w:spacing w:after="0" w:line="5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ability to raise any additional required capital on acceptable terms, or at all;</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231F20"/>
        </w:rPr>
        <w:t>the prevalence, duration and severity of potential side effects or other safety issues experienced with our future approved products, if any;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timely receipt of necessary marketing approvals or clearances from the FDA and foreign regulatory authorities;</w:t>
      </w:r>
    </w:p>
    <w:p>
      <w:pPr>
        <w:spacing w:after="0" w:line="117" w:lineRule="exact"/>
        <w:rPr>
          <w:rFonts w:ascii="Arial" w:cs="Arial" w:eastAsia="Arial" w:hAnsi="Arial"/>
          <w:sz w:val="18"/>
          <w:szCs w:val="18"/>
          <w:color w:val="auto"/>
        </w:rPr>
      </w:pPr>
    </w:p>
    <w:p>
      <w:pPr>
        <w:ind w:left="1040" w:right="540" w:hanging="519"/>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15" w:lineRule="exact"/>
        <w:rPr>
          <w:rFonts w:ascii="Arial" w:cs="Arial" w:eastAsia="Arial" w:hAnsi="Arial"/>
          <w:sz w:val="16"/>
          <w:szCs w:val="16"/>
          <w:color w:val="auto"/>
        </w:rPr>
      </w:pPr>
    </w:p>
    <w:p>
      <w:pPr>
        <w:ind w:left="1040" w:right="2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acceptance by physicians and patients of the benefits, safety and efficacy of any future products, if approved or cleared, including relative to alternative and competing treatments;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ability to establish and enforce intellectual property rights in and to our products or any future indications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ability to avoid third-party patent interference, intellectual property challenges or intellectual property infringement claims.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loan and security agreement contains restrictions that limit our flexibility in operating our business.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231F20"/>
        </w:rPr>
        <w:t>In May 2018, we entered into a loan and security agreement with Solar Capital Ltd. and other lenders. We borrowed $20.0 million under the loan and security agreement with Solar, the Solar Agreement. The Solar Agreement also contains various covenants that limit our ability to engage in specified types of transactions. Subject to limited exceptions, these covenants limit our ability, without Solar’s consent, to, among other things:</w:t>
      </w:r>
    </w:p>
    <w:p>
      <w:pPr>
        <w:spacing w:after="0" w:line="5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sell, lease, transfer, exclusively license or dispose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create, incur, assume or permit to exist additional indebtedness or liens, which may limit our ability to raise additional capital;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make restricted payments, including paying dividends on, repurchasing or making distributions with respect to our capital stock;</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pay any cash dividend or make any other cash distribution or payment in respect of our capital stock more than $150,000 in aggregate per calendar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make specified investments (including loans and advances);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make changes to certain key personnel including our President and Chief Executive Officer;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merge, consolidate or liquidate;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enter into certain transactions with our affiliates.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2" w:name="page43"/>
    <w:bookmarkEnd w:id="42"/>
    <w:p>
      <w:pPr>
        <w:spacing w:after="0" w:line="257" w:lineRule="auto"/>
        <w:rPr>
          <w:sz w:val="20"/>
          <w:szCs w:val="20"/>
          <w:color w:val="auto"/>
        </w:rPr>
      </w:pPr>
      <w:r>
        <w:rPr>
          <w:rFonts w:ascii="Arial" w:cs="Arial" w:eastAsia="Arial" w:hAnsi="Arial"/>
          <w:sz w:val="18"/>
          <w:szCs w:val="18"/>
          <w:color w:val="231F20"/>
        </w:rPr>
        <w:t>In addition, the Solar Agreement contains certain covenants that require us to achieve certain revenue and liquidity thresholds. These covenants under the agreement require us to meet certain minimum liquidity and minimum revenue covenants, which, if we fail to maintain or achieve, will result in a default and require us to repay all outstanding principal amounts and accrued interest repay all amounts outstanding. In the event of a default, if we are unable to repay all outstanding amounts Solar may foreclose on the collateral granted to it to collateralize such indebtedness and will significantly affect our ability to operate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need to increase the size of our organization, and we may experience difficulties in managing growth.</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231F20"/>
        </w:rPr>
        <w:t>As of September 30, 2018, we had 108 employees, with 49 employees in sales and marketing, 18 employees in customer support, 22 employees in research and development, including clinical, regulatory and certain quality control functions, five employees in manufacturing operations and 14 employees in general management and administration. We will need to continue to expand our sales, marketing, managerial, operational, finance and administrative resources for the ongoing commercialization of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and continue our development activities of any future products.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existing management, personnel, systems and facilities may not be adequate to support our future growth. Our need to effectively execute our growth strategy requires that we:</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identify, recruit, retain, incentivize and integrate additional employees, including sales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231F20"/>
        </w:rPr>
        <w:t>manage our internal development and operational efforts effectively while carrying out our contractual obligations to third parties;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continue to improve our operational, financial and management controls, reports systems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attract and retain senior management and key personnel, we may be unable to successfully grow our business.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the expansion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to new indications, or the development of any future products. Although we have entered into employment agreements with our senior management team, these agreements do not provide for a fixed term of service.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Pursuant to the Jumpstart Our Business Startups Act of 2012, or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2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231F20"/>
        </w:rPr>
        <w:t>We incur significant costs because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31F20"/>
        </w:rPr>
        <w:t>We incur significant legal, accounting and other expenses as a public company, including costs resulting from public company reporting obligations under the Securities Exchange Act of 1934, as amended, and regulations regarding corporate governance practices. The listing requirements of The Nasdaq Global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200"/>
        <w:spacing w:after="0" w:line="302" w:lineRule="auto"/>
        <w:rPr>
          <w:sz w:val="20"/>
          <w:szCs w:val="20"/>
          <w:color w:val="auto"/>
        </w:rPr>
      </w:pPr>
      <w:r>
        <w:rPr>
          <w:rFonts w:ascii="Arial" w:cs="Arial" w:eastAsia="Arial" w:hAnsi="Arial"/>
          <w:sz w:val="16"/>
          <w:szCs w:val="16"/>
          <w:color w:val="231F20"/>
        </w:rPr>
        <w:t>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 following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September 30th, and (2) the date on which we have issued more than $1.0 billion in non-convertible debt during the prior three- year period.</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the ways in which the economic climate and financial market conditions could adversely impact our business.</w:t>
      </w:r>
    </w:p>
    <w:p>
      <w:pPr>
        <w:spacing w:after="0" w:line="2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140"/>
        <w:spacing w:after="0" w:line="293" w:lineRule="auto"/>
        <w:rPr>
          <w:sz w:val="20"/>
          <w:szCs w:val="20"/>
          <w:color w:val="auto"/>
        </w:rPr>
      </w:pPr>
      <w:r>
        <w:rPr>
          <w:rFonts w:ascii="Arial" w:cs="Arial" w:eastAsia="Arial" w:hAnsi="Arial"/>
          <w:sz w:val="16"/>
          <w:szCs w:val="16"/>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few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80"/>
        <w:spacing w:after="0" w:line="257" w:lineRule="auto"/>
        <w:rPr>
          <w:sz w:val="20"/>
          <w:szCs w:val="20"/>
          <w:color w:val="auto"/>
        </w:rPr>
      </w:pPr>
      <w:r>
        <w:rPr>
          <w:rFonts w:ascii="Arial" w:cs="Arial" w:eastAsia="Arial" w:hAnsi="Arial"/>
          <w:sz w:val="18"/>
          <w:szCs w:val="18"/>
          <w:color w:val="231F20"/>
        </w:rPr>
        <w:t>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several patent infringement actions, the outcomes of which may not be known for prolonged periods of time.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7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231F20"/>
        </w:rPr>
        <w:t>find non-infringing substitute products, which could be costly and create significant delay due to the need for FDA regulatory clearance;</w:t>
      </w:r>
    </w:p>
    <w:p>
      <w:pPr>
        <w:spacing w:after="0" w:line="12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and/or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redesign those products or processes that infringe any third-party intellectual property, which could be costly, disruptive, and/or infeasible.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Recent patent reform legislation could increase the uncertainties and costs surrounding the prosecution of our patent applications and the enforcement or defense of our issued patents. On September 16, 2011, the Leahy- 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 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Arial" w:cs="Arial" w:eastAsia="Arial" w:hAnsi="Arial"/>
          <w:sz w:val="17"/>
          <w:szCs w:val="17"/>
          <w:i w:val="1"/>
          <w:iCs w:val="1"/>
          <w:color w:val="231F20"/>
        </w:rPr>
        <w:t>Association for Molecular Pathology v. Myriad Genetics, Inc.</w:t>
      </w:r>
      <w:r>
        <w:rPr>
          <w:rFonts w:ascii="Arial" w:cs="Arial" w:eastAsia="Arial" w:hAnsi="Arial"/>
          <w:sz w:val="17"/>
          <w:szCs w:val="17"/>
          <w:color w:val="231F20"/>
        </w:rPr>
        <w:t xml:space="preserve"> (Myriad I), </w:t>
      </w:r>
      <w:r>
        <w:rPr>
          <w:rFonts w:ascii="Arial" w:cs="Arial" w:eastAsia="Arial" w:hAnsi="Arial"/>
          <w:sz w:val="17"/>
          <w:szCs w:val="17"/>
          <w:i w:val="1"/>
          <w:iCs w:val="1"/>
          <w:color w:val="231F20"/>
        </w:rPr>
        <w:t>Mayo Collaborative Services v. Prometheus Laboratories,</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Inc., </w:t>
      </w:r>
      <w:r>
        <w:rPr>
          <w:rFonts w:ascii="Arial" w:cs="Arial" w:eastAsia="Arial" w:hAnsi="Arial"/>
          <w:sz w:val="17"/>
          <w:szCs w:val="17"/>
          <w:color w:val="231F20"/>
        </w:rPr>
        <w:t>and</w:t>
      </w:r>
      <w:r>
        <w:rPr>
          <w:rFonts w:ascii="Arial" w:cs="Arial" w:eastAsia="Arial" w:hAnsi="Arial"/>
          <w:sz w:val="17"/>
          <w:szCs w:val="17"/>
          <w:i w:val="1"/>
          <w:iCs w:val="1"/>
          <w:color w:val="231F20"/>
        </w:rPr>
        <w:t xml:space="preserve"> Alice Corporation Pty. Ltd. v. CLS Bank International, </w:t>
      </w:r>
      <w:r>
        <w:rPr>
          <w:rFonts w:ascii="Arial" w:cs="Arial" w:eastAsia="Arial" w:hAnsi="Arial"/>
          <w:sz w:val="17"/>
          <w:szCs w:val="17"/>
          <w:color w:val="231F20"/>
        </w:rPr>
        <w:t>either narrowing the scope of patent protection available in certain circumstances or weakening</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rights of patent owners in certain situations.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spacing w:after="0" w:line="375" w:lineRule="auto"/>
        <w:rPr>
          <w:sz w:val="20"/>
          <w:szCs w:val="20"/>
          <w:color w:val="auto"/>
        </w:rPr>
      </w:pPr>
      <w:r>
        <w:rPr>
          <w:rFonts w:ascii="Arial" w:cs="Arial" w:eastAsia="Arial" w:hAnsi="Arial"/>
          <w:sz w:val="15"/>
          <w:szCs w:val="15"/>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 payment of fees and failure to properly legalize and submit formal documents. If we fail to maintain the patents and patent applications covering our products or procedures, we may not be able to stop a competitor from marketing products that are the same as or like our own, which would have a material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like our products, and our competitive position in the international market would be harmed.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attorneys,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8" w:name="page49"/>
    <w:bookmarkEnd w:id="48"/>
    <w:p>
      <w:pPr>
        <w:ind w:right="100"/>
        <w:spacing w:after="0" w:line="277"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 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231F20"/>
        </w:rPr>
        <w:t>Risks Related to Government Regulation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and ARTAS® iX Systems and our operations are subject to extensive government regulation and oversight both in the U.S. and abroad, and our failure to comply with applicable requirements could harm our business.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7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product safety;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premarket clearance and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record keeping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advertising and promotion;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recalls and field safety corrective actions;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product import and export.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7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Modifications to products that are approved through a PMA application generally require FDA approval. Similarly, certain modifications made to products cleared through a 510(k) may require a new 510(k) clearance.</w:t>
      </w:r>
    </w:p>
    <w:p>
      <w:pPr>
        <w:spacing w:after="0" w:line="17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231F20"/>
        </w:rPr>
        <w:t>Both the PMA approval and the 510(k)-clearance process can be expensive, lengthy and uncertain.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and the 510(k)-clearance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ind w:right="40"/>
        <w:spacing w:after="0" w:line="273" w:lineRule="auto"/>
        <w:rPr>
          <w:sz w:val="20"/>
          <w:szCs w:val="20"/>
          <w:color w:val="auto"/>
        </w:rPr>
      </w:pPr>
      <w:r>
        <w:rPr>
          <w:rFonts w:ascii="Arial" w:cs="Arial" w:eastAsia="Arial" w:hAnsi="Arial"/>
          <w:sz w:val="17"/>
          <w:szCs w:val="17"/>
          <w:color w:val="231F20"/>
        </w:rPr>
        <w:t>In the U.S., we have obtained 510(k) premarket clearance from the FDA to market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for harvesting hair follicles from the scalp in men diagnosed with AGA who have black or brown straight hair. An element of our strategy is to continue to add new functionalities and enhance existing functionalities to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We expect that certain modifications we may make to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231F20"/>
        </w:rPr>
        <w:t>The FDA can delay, limit or deny clearance or approval of a device for many reasons, including:</w:t>
      </w:r>
    </w:p>
    <w:p>
      <w:pPr>
        <w:spacing w:after="0" w:line="117" w:lineRule="exact"/>
        <w:rPr>
          <w:sz w:val="20"/>
          <w:szCs w:val="20"/>
          <w:color w:val="auto"/>
        </w:rPr>
      </w:pPr>
    </w:p>
    <w:p>
      <w:pPr>
        <w:ind w:left="1040" w:right="6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manufacturing process or facilities we use may not meet applicable requirements.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requiring that for each notice of proposed rulemaking or final regulation to be issued in fiscal year 2017, the agency must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231F20"/>
        </w:rPr>
        <w:t>Even after we have obtained the proper regulatory clearance or approval to market a product, we have ongoing responsibilities under FDA regulations. The failure to comply with applicable regulations could jeopardize our ability to sell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result in enforcement actions such as:</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termination of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recalls or seizures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delays in the introduction of products into the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refusal to grant future clearances or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withdrawals or suspensions of current clearances or approvals, resulting in prohibitions on sales of our product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in the most serious cases, criminal penalties.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Any of these sanctions could result in higher than anticipated costs or lower than anticipated sales and harm our reputation, business, financial condition and results of operations.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must maintain regulatory approval in foreign jurisdictions in which we plan to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In the European Economic Area or EEA, manufacturers of medical devices need to comply with the Essential Requirements laid down in Annex II to the EU Medical Devices Directive (Council Directive 93/42/EEC). 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2" w:name="page53"/>
    <w:bookmarkEnd w:id="52"/>
    <w:p>
      <w:pPr>
        <w:ind w:right="180"/>
        <w:spacing w:after="0" w:line="277" w:lineRule="auto"/>
        <w:rPr>
          <w:sz w:val="20"/>
          <w:szCs w:val="20"/>
          <w:color w:val="auto"/>
        </w:rPr>
      </w:pPr>
      <w:r>
        <w:rPr>
          <w:rFonts w:ascii="Arial" w:cs="Arial" w:eastAsia="Arial" w:hAnsi="Arial"/>
          <w:sz w:val="18"/>
          <w:szCs w:val="18"/>
          <w:color w:val="231F20"/>
        </w:rPr>
        <w:t>The Medical Devices Regulation will however only become applicable three years after publication. Once applicable, the new regulations will among other things:</w:t>
      </w:r>
    </w:p>
    <w:p>
      <w:pPr>
        <w:spacing w:after="0" w:line="62"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231F20"/>
        </w:rPr>
        <w:t>improve the traceability of medical devices throughout the supply chain to the end-user or patient through a unique identification number;</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These modifications may have an impact on the way we conduct our business in the EEA.</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are subject to governmental regulation and other legal obligations, particularly related to privacy, data protection and information security. Our actual or perceived failure to comply with such obligations could harm our business.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the federal Health Insurance Portability and Accountability Act of 1996, or HIPAA, and, in the European Union (EU) and shortly in the European Economic Area (EEA), Regulation 2016/679, known as the General Data Protection Regulation, or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Furthermore, these rules are constantly changing; for example, the GDPR came into effect in May this year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United States,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op-in for electronic marketing and the penalties for contravention have significantly increased with fining powers to the same levels as GDPR (i.e. the greater of 20,000,000 Euros or 4% of total global annual revenue).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b w:val="1"/>
          <w:bCs w:val="1"/>
          <w:i w:val="1"/>
          <w:iCs w:val="1"/>
          <w:color w:val="231F20"/>
        </w:rPr>
        <w:t>Modifications to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ARTAS® iX System and any future products that receive 510(k) clearances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The ARTAS</w:t>
      </w:r>
      <w:r>
        <w:rPr>
          <w:rFonts w:ascii="Arial" w:cs="Arial" w:eastAsia="Arial" w:hAnsi="Arial"/>
          <w:sz w:val="14"/>
          <w:szCs w:val="14"/>
          <w:color w:val="000000"/>
        </w:rPr>
        <w:t>®</w:t>
      </w:r>
      <w:r>
        <w:rPr>
          <w:rFonts w:ascii="Arial" w:cs="Arial" w:eastAsia="Arial" w:hAnsi="Arial"/>
          <w:sz w:val="17"/>
          <w:szCs w:val="17"/>
          <w:color w:val="231F20"/>
        </w:rPr>
        <w:t xml:space="preserve"> and ARTAS® iX Systems have received 510(k) clearances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The FDA has issued a guidance document intended to assist manufacturers in determining whether modifications to cleared devices require the submission of a new 510(k), and such guidance has come under scrutiny in recent years, the practical impact of which is unclear.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29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231F20"/>
        </w:rPr>
        <w:t>We are subject to restrictions on the indications for which we are permitted to market our products, and any violation of those restrictions, or marketing of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for off-label uses, could subject us to regulatory enforcement action.</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FDA’s 510(k) clearance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specifies the cleared indication for use of the product is dissecting hair follicles from the scalp in men diagnosed with AGA who have black or brown straight hair.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intended to assist physicians in identifying and extracting hair follicular units from the scalp during hair transplantation.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train our marketing and direct sales force to not promote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 iX System for uses outside of the FDA-cleared indications for use, known as “off-label uses.” We cannot, however, prevent a physician from using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off-label when, in the physician’s independent professional medical judgment, he or she deems it appropriate. There may be increased risk of injury to patients if physicians attempt to use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off-label. Furthermore, the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for indications other than those cleared by the FDA or approved by any foreign regulatory body may not effectively treat such conditions, which could harm our reputation in the marketplace among physicians and patients.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8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231F20"/>
        </w:rPr>
        <w:t>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or a recall of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 iX System either voluntarily or at the direction of the FDA or another governmental authority, could have a negative impact on us.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right="100"/>
        <w:spacing w:after="0" w:line="259" w:lineRule="auto"/>
        <w:rPr>
          <w:sz w:val="20"/>
          <w:szCs w:val="20"/>
          <w:color w:val="auto"/>
        </w:rPr>
      </w:pPr>
      <w:r>
        <w:rPr>
          <w:rFonts w:ascii="Arial" w:cs="Arial" w:eastAsia="Arial" w:hAnsi="Arial"/>
          <w:sz w:val="18"/>
          <w:szCs w:val="18"/>
          <w:color w:val="231F20"/>
        </w:rPr>
        <w:t>adverse event, especially if it is not reported to us as an adverse event or if it is an adverse event that is unexpected or removed in time from the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ARTAS</w:t>
      </w:r>
      <w:r>
        <w:rPr>
          <w:rFonts w:ascii="Arial" w:cs="Arial" w:eastAsia="Arial" w:hAnsi="Arial"/>
          <w:sz w:val="15"/>
          <w:szCs w:val="15"/>
          <w:color w:val="231F20"/>
        </w:rPr>
        <w:t>®</w:t>
      </w:r>
      <w:r>
        <w:rPr>
          <w:rFonts w:ascii="Arial" w:cs="Arial" w:eastAsia="Arial" w:hAnsi="Arial"/>
          <w:sz w:val="18"/>
          <w:szCs w:val="18"/>
          <w:color w:val="231F20"/>
        </w:rPr>
        <w:t xml:space="preserve"> iX System, as the case may be.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231F20"/>
        </w:rPr>
        <w:t>The FDA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could be particularly harmful to our business, financial condition and results of operations because it is our only product.</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Companies are required to maintain certain records of recalls and corrections, even if they are not reportable to the FDA. We may initiate voluntary withdrawals or corrections for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If we or our distributors do not obtain and maintain international regulatory registrations or approvals for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our ability to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outside of the U.S. will be diminished.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Sale of the ARTAS</w:t>
      </w:r>
      <w:r>
        <w:rPr>
          <w:rFonts w:ascii="Arial" w:cs="Arial" w:eastAsia="Arial" w:hAnsi="Arial"/>
          <w:sz w:val="14"/>
          <w:szCs w:val="14"/>
          <w:color w:val="000000"/>
        </w:rPr>
        <w:t>®</w:t>
      </w:r>
      <w:r>
        <w:rPr>
          <w:rFonts w:ascii="Arial" w:cs="Arial" w:eastAsia="Arial" w:hAnsi="Arial"/>
          <w:sz w:val="17"/>
          <w:szCs w:val="17"/>
          <w:color w:val="231F20"/>
        </w:rPr>
        <w:t xml:space="preserve"> System outside the U.S. are subject to foreign regulatory requirements that vary widely from country to country. In addition, the FDA regulates exports of medical devices from the U.S. While the regulations of some countries may not impose barriers to marketing and selling the ARTAS</w:t>
      </w:r>
      <w:r>
        <w:rPr>
          <w:rFonts w:ascii="Arial" w:cs="Arial" w:eastAsia="Arial" w:hAnsi="Arial"/>
          <w:sz w:val="14"/>
          <w:szCs w:val="14"/>
          <w:color w:val="000000"/>
        </w:rPr>
        <w:t>®</w:t>
      </w:r>
      <w:r>
        <w:rPr>
          <w:rFonts w:ascii="Arial" w:cs="Arial" w:eastAsia="Arial" w:hAnsi="Arial"/>
          <w:sz w:val="17"/>
          <w:szCs w:val="17"/>
          <w:color w:val="231F20"/>
        </w:rPr>
        <w:t xml:space="preserve">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the ARTAS</w:t>
      </w:r>
      <w:r>
        <w:rPr>
          <w:rFonts w:ascii="Arial" w:cs="Arial" w:eastAsia="Arial" w:hAnsi="Arial"/>
          <w:sz w:val="14"/>
          <w:szCs w:val="14"/>
          <w:color w:val="000000"/>
        </w:rPr>
        <w:t>®</w:t>
      </w:r>
      <w:r>
        <w:rPr>
          <w:rFonts w:ascii="Arial" w:cs="Arial" w:eastAsia="Arial" w:hAnsi="Arial"/>
          <w:sz w:val="17"/>
          <w:szCs w:val="17"/>
          <w:color w:val="231F20"/>
        </w:rPr>
        <w:t xml:space="preserve">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8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p>
      <w:pPr>
        <w:ind w:right="140"/>
        <w:spacing w:after="0" w:line="277" w:lineRule="auto"/>
        <w:rPr>
          <w:sz w:val="20"/>
          <w:szCs w:val="20"/>
          <w:color w:val="auto"/>
        </w:rPr>
      </w:pPr>
      <w:r>
        <w:rPr>
          <w:rFonts w:ascii="Arial" w:cs="Arial" w:eastAsia="Arial" w:hAnsi="Arial"/>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The methods used in, and the facilities used for, the manufacture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also subject to similar state regulations and various laws and regulations of foreign countries governing manufacturing.</w:t>
      </w:r>
    </w:p>
    <w:p>
      <w:pPr>
        <w:spacing w:after="0" w:line="18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231F20"/>
        </w:rPr>
        <w:t>We cannot guarantee that we or any subcontractors will take the necessary steps to comply with applicable regulations, which could cause delays in the delivery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In addition, failure to comply with applicable FDA requirements or later discovery of previously unknown problems with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or manufacturing processes could result in, among other things:</w:t>
      </w:r>
    </w:p>
    <w:p>
      <w:pPr>
        <w:spacing w:after="0" w:line="57"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fines, injunctions or 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suspension or withdrawal of approvals or clearances;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seizures or recalls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total or partial suspension of production or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administrative or judicially imposed sanctions;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FDA’s refusal to grant pending or future clearances or approvals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clinical holds;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refusal to permit the import or export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criminal prosecution to us or our employees.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While procedures utilizing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 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enacted and future legislation may increase the difficulty and cost for us to sell our products.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In the U.S. and some non-U.S. jurisdictions, there have been, and we expect there will continue to be, several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2017, and, absent further legislative action, will be reinstated starting January 1, 2018. It is uncertain the extent to which any challenges, amendments and attempts to repeal and replace the Affordable Care Act in the future may impact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6" w:name="page57"/>
    <w:bookmarkEnd w:id="56"/>
    <w:p>
      <w:pPr>
        <w:ind w:right="220"/>
        <w:spacing w:after="0" w:line="277" w:lineRule="auto"/>
        <w:rPr>
          <w:sz w:val="20"/>
          <w:szCs w:val="20"/>
          <w:color w:val="auto"/>
        </w:rPr>
      </w:pPr>
      <w:r>
        <w:rPr>
          <w:rFonts w:ascii="Arial" w:cs="Arial" w:eastAsia="Arial" w:hAnsi="Arial"/>
          <w:sz w:val="18"/>
          <w:szCs w:val="18"/>
          <w:color w:val="231F20"/>
        </w:rPr>
        <w:t>our business or financial condition. We expect that the Affordable Care Act, as well as other healthcare reform measures that may be adopted in the future, may potentially increase our costs to sell our product and decrease our profitability.</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may be volatile, and you may not be able to resell shares of our common stock at or above the price you paid.</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62"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continued growth in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ARTAS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intentions and our ability to establish collaborations and/or partnerships;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timing or likelihood of regulatory filings and approvals for the ARTAS</w:t>
      </w:r>
      <w:r>
        <w:rPr>
          <w:rFonts w:ascii="Arial" w:cs="Arial" w:eastAsia="Arial" w:hAnsi="Arial"/>
          <w:sz w:val="15"/>
          <w:szCs w:val="15"/>
          <w:color w:val="000000"/>
        </w:rPr>
        <w:t>®</w:t>
      </w:r>
      <w:r>
        <w:rPr>
          <w:rFonts w:ascii="Arial" w:cs="Arial" w:eastAsia="Arial" w:hAnsi="Arial"/>
          <w:sz w:val="18"/>
          <w:szCs w:val="18"/>
          <w:color w:val="231F20"/>
        </w:rPr>
        <w:t xml:space="preserve"> Systems for expanded indications and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expectations regarding the potential market size and the size of the patient populations for the ARTAS</w:t>
      </w:r>
      <w:r>
        <w:rPr>
          <w:rFonts w:ascii="Arial" w:cs="Arial" w:eastAsia="Arial" w:hAnsi="Arial"/>
          <w:sz w:val="15"/>
          <w:szCs w:val="15"/>
          <w:color w:val="000000"/>
        </w:rPr>
        <w:t>®</w:t>
      </w:r>
      <w:r>
        <w:rPr>
          <w:rFonts w:ascii="Arial" w:cs="Arial" w:eastAsia="Arial" w:hAnsi="Arial"/>
          <w:sz w:val="18"/>
          <w:szCs w:val="18"/>
          <w:color w:val="231F20"/>
        </w:rPr>
        <w:t xml:space="preserve">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effective pricing of the ARTAS</w:t>
      </w:r>
      <w:r>
        <w:rPr>
          <w:rFonts w:ascii="Arial" w:cs="Arial" w:eastAsia="Arial" w:hAnsi="Arial"/>
          <w:sz w:val="15"/>
          <w:szCs w:val="15"/>
          <w:color w:val="000000"/>
        </w:rPr>
        <w:t>®</w:t>
      </w:r>
      <w:r>
        <w:rPr>
          <w:rFonts w:ascii="Arial" w:cs="Arial" w:eastAsia="Arial" w:hAnsi="Arial"/>
          <w:sz w:val="18"/>
          <w:szCs w:val="18"/>
          <w:color w:val="231F20"/>
        </w:rPr>
        <w:t xml:space="preserve"> Systems, services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scope of protection we can establish and maintain for intellectual property rights covering the ARTAS</w:t>
      </w:r>
      <w:r>
        <w:rPr>
          <w:rFonts w:ascii="Arial" w:cs="Arial" w:eastAsia="Arial" w:hAnsi="Arial"/>
          <w:sz w:val="15"/>
          <w:szCs w:val="15"/>
          <w:color w:val="000000"/>
        </w:rPr>
        <w:t>®</w:t>
      </w:r>
      <w:r>
        <w:rPr>
          <w:rFonts w:ascii="Arial" w:cs="Arial" w:eastAsia="Arial" w:hAnsi="Arial"/>
          <w:sz w:val="18"/>
          <w:szCs w:val="18"/>
          <w:color w:val="231F20"/>
        </w:rPr>
        <w:t xml:space="preserve"> Systems, along with any product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financial performance;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developments and projections relating to our competitors and our industry, including competing therapies and procedures.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 xml:space="preserve">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w:t>
      </w:r>
      <w:r>
        <w:rPr>
          <w:rFonts w:ascii="Arial" w:cs="Arial" w:eastAsia="Arial" w:hAnsi="Arial"/>
          <w:sz w:val="16"/>
          <w:szCs w:val="16"/>
          <w:color w:val="000000"/>
        </w:rPr>
        <w:t>Recently, several securities class action complaints have been filed against us, certain of our current and former executive officers and</w:t>
      </w:r>
      <w:r>
        <w:rPr>
          <w:rFonts w:ascii="Arial" w:cs="Arial" w:eastAsia="Arial" w:hAnsi="Arial"/>
          <w:sz w:val="16"/>
          <w:szCs w:val="16"/>
          <w:color w:val="231F20"/>
        </w:rPr>
        <w:t xml:space="preserve"> </w:t>
      </w:r>
      <w:r>
        <w:rPr>
          <w:rFonts w:ascii="Arial" w:cs="Arial" w:eastAsia="Arial" w:hAnsi="Arial"/>
          <w:sz w:val="16"/>
          <w:szCs w:val="16"/>
          <w:color w:val="000000"/>
        </w:rPr>
        <w:t>directors, certain of our investors and certain underwriters in our IPO. These complaints allege violations of Sections 11, 12(a)(2) and 15 of the Securities Act due to allegedly false and misleading statements made in connection with our IPO. While we believe that these lawsuits are without merit and we intend to vigorously defend against these claims, we could incur substantial costs in defending these lawsuits and the attention of our management could be diverted from the operation of our business. Further, if more of our stockholders were to bring additional lawsuits on similar or unrelated grounds, we could incur substantial costs defending these additional lawsuits and the attention of our management would be further diverted from the operation of our business.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231F20"/>
        </w:rPr>
        <w:t>An active market for our common stock may not be maintained.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Prior to our IPO,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7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231F20"/>
        </w:rPr>
        <w:t>We are an “emerging growth company” and because of the reduced disclosure and governance requirements applicable to emerging growth companies, our common stock may be less attractive to investors.</w:t>
      </w:r>
    </w:p>
    <w:p>
      <w:pPr>
        <w:spacing w:after="0" w:line="54"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$700.0 million as of the prior September 30th, and (2) the date on which we have issued more than $1.0 billion in non-convertible debt during the prior three-year period.</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sell shares of our common stock in future financings, stockholders may experience immediate dilution and, as a result, our stock price may decline.</w:t>
      </w:r>
    </w:p>
    <w:p>
      <w:pPr>
        <w:spacing w:after="0" w:line="11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4"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231F20"/>
        </w:rPr>
        <w:t>Based on the number of shares outstanding as of September 30, 2018, as adjusted for the consummation of our IPO in October 2017, our executive officers, directors, holders of 5% or more of our capital stock and their respective affiliates beneficially owned approximately 37.8% of our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 carryforwards and certain other tax attributes may be limited.</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ind w:right="180"/>
        <w:spacing w:after="0" w:line="255" w:lineRule="auto"/>
        <w:rPr>
          <w:sz w:val="20"/>
          <w:szCs w:val="20"/>
          <w:color w:val="auto"/>
        </w:rPr>
      </w:pPr>
      <w:r>
        <w:rPr>
          <w:rFonts w:ascii="Arial" w:cs="Arial" w:eastAsia="Arial" w:hAnsi="Arial"/>
          <w:sz w:val="18"/>
          <w:szCs w:val="18"/>
          <w:color w:val="231F20"/>
        </w:rPr>
        <w:t>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62" w:lineRule="exact"/>
        <w:rPr>
          <w:sz w:val="20"/>
          <w:szCs w:val="20"/>
          <w:color w:val="auto"/>
        </w:rPr>
      </w:pPr>
    </w:p>
    <w:p>
      <w:pPr>
        <w:ind w:left="1040" w:right="4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40" w:hanging="519"/>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40" w:right="26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6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act, including the removal of directors; and</w:t>
      </w:r>
    </w:p>
    <w:p>
      <w:pPr>
        <w:spacing w:after="0" w:line="73"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In addition, these provisions would apply even if we were to receive an offer that some stockholders may consider beneficial.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40" w:right="26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left="1040" w:right="180"/>
        <w:spacing w:after="0" w:line="277" w:lineRule="auto"/>
        <w:rPr>
          <w:sz w:val="20"/>
          <w:szCs w:val="20"/>
          <w:color w:val="auto"/>
        </w:rPr>
      </w:pPr>
      <w:r>
        <w:rPr>
          <w:rFonts w:ascii="Arial" w:cs="Arial" w:eastAsia="Arial" w:hAnsi="Arial"/>
          <w:sz w:val="18"/>
          <w:szCs w:val="18"/>
          <w:color w:val="231F20"/>
        </w:rPr>
        <w:t>the best interests of the registrant and, with respect to any criminal proceeding, had no reasonable cause to believe such person’s conduct was unlawful;</w:t>
      </w:r>
    </w:p>
    <w:p>
      <w:pPr>
        <w:spacing w:after="0" w:line="62"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231F20"/>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jc w:val="both"/>
        <w:ind w:left="1040" w:right="340" w:hanging="519"/>
        <w:spacing w:after="0" w:line="342"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4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we may not retroactively amend our amended and restated bylaw provisions to reduce our indemnification obligations to directors, officers, employees and agents.</w:t>
      </w:r>
    </w:p>
    <w:p>
      <w:pPr>
        <w:spacing w:after="0" w:line="27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231F20"/>
        </w:rPr>
        <w:t>We do not intend to pay any cash dividends on our common stock for the foreseeable future. We intend to invest our future earnings, if any, to fund our growth. Furthermore, pursuant to the loan and the security agreement between us and Solar, we are not permitted to pay cash dividends more than $150,000 in aggregate per fiscal year without its prior written consent.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There were no unregistered securities issued and sold during the quarter ended September 30,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231F20"/>
        </w:rPr>
        <w:t>On August 16, 2018, we closed our public follow-on offering, in which we sold 11,500,000 shares of our common stock at a price to the public of $1.50 per share. The aggregate proceeds for the offering was approximately $17.2 million. The offer and sale of all the shares in the follow-on offering were registered under the Securities Act pursuant to a registration statement on Form S-1 (File No. 333-226598). After deducting underwriting discounts and commissions of approximately $1.2 million and other offering expenses of approximately $0.4 million, the net proceeds from the offering was approximately $15.6 million.</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231F20"/>
        </w:rPr>
        <w:t>There has been no material change in the planned use of proceeds from the follow-on offering as described in the final prospectus filed with the SEC on August 13, 2018 pursuant to Rule 424(b) under the Securities Act of 1933, as amended.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spacing w:after="0" w:line="293" w:lineRule="auto"/>
        <w:rPr>
          <w:sz w:val="20"/>
          <w:szCs w:val="20"/>
          <w:color w:val="auto"/>
        </w:rPr>
      </w:pPr>
      <w:r>
        <w:rPr>
          <w:rFonts w:ascii="Arial" w:cs="Arial" w:eastAsia="Arial" w:hAnsi="Arial"/>
          <w:sz w:val="16"/>
          <w:szCs w:val="16"/>
          <w:color w:val="231F20"/>
        </w:rPr>
        <w:t>On October 11, 2017, our Registration Statement on Form S-1 (File No. 333-220303) relating to the IPO of our common stock was declared effective by the SEC. Pursuant to such Registration Statement, we completed our IPO of 3,897,910 shares of our common stock (inclusive of 322,910 shares of common stock from the subsequent exercise of the underwriters’ over-allotment option) at a price of $7.00 per share. After deducing underwriting discounts and commissions of approximately $1.9 million and offering expenses of approximately $3.3 million, the net proceeds from the IPO was approximately $22.1 million. There has been no material change in the expected use of the net proceeds from our IPO, as described in our final prospectus dated October 11, 2017 and filed with the SEC on October 13, 2017 pursuant to Rule 424(b) under the Securities Act of 1933, as amended.</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There has been no material change in the expected use of the net proceeds from our initial public offering as described in our final prospectus filed with the SEC on October 13, 2017 pursuant to Rule 424(b).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231F20"/>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3700" w:type="dxa"/>
            <w:vAlign w:val="bottom"/>
            <w:tcBorders>
              <w:bottom w:val="single" w:sz="8" w:color="0000EE"/>
            </w:tcBorders>
            <w:gridSpan w:val="9"/>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Certificate of Incorporation</w:t>
              </w:r>
            </w:hyperlink>
          </w:p>
        </w:tc>
        <w:tc>
          <w:tcPr>
            <w:tcW w:w="1580" w:type="dxa"/>
            <w:vAlign w:val="bottom"/>
            <w:gridSpan w:val="7"/>
          </w:tcPr>
          <w:p>
            <w:pPr>
              <w:spacing w:after="0"/>
              <w:rPr>
                <w:sz w:val="17"/>
                <w:szCs w:val="17"/>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EE"/>
            </w:tcBorders>
            <w:gridSpan w:val="4"/>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Amended and Restated Bylaws</w:t>
              </w:r>
            </w:hyperlink>
          </w:p>
        </w:tc>
        <w:tc>
          <w:tcPr>
            <w:tcW w:w="3020" w:type="dxa"/>
            <w:vAlign w:val="bottom"/>
            <w:gridSpan w:val="12"/>
          </w:tcPr>
          <w:p>
            <w:pPr>
              <w:spacing w:after="0"/>
              <w:rPr>
                <w:sz w:val="20"/>
                <w:szCs w:val="20"/>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528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9">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80">
              <w:r>
                <w:rPr>
                  <w:rFonts w:ascii="Arial" w:cs="Arial" w:eastAsia="Arial" w:hAnsi="Arial"/>
                  <w:sz w:val="18"/>
                  <w:szCs w:val="18"/>
                  <w:color w:val="0000EE"/>
                </w:rPr>
                <w:t>3.2</w:t>
              </w:r>
            </w:hyperlink>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5280" w:type="dxa"/>
            <w:vAlign w:val="bottom"/>
            <w:gridSpan w:val="16"/>
          </w:tcPr>
          <w:p>
            <w:pPr>
              <w:spacing w:after="0"/>
              <w:rPr>
                <w:rFonts w:ascii="Arial" w:cs="Arial" w:eastAsia="Arial" w:hAnsi="Arial"/>
                <w:sz w:val="18"/>
                <w:szCs w:val="18"/>
                <w:color w:val="0000EE"/>
              </w:rPr>
            </w:pPr>
            <w:hyperlink r:id="rId81">
              <w:r>
                <w:rPr>
                  <w:rFonts w:ascii="Arial" w:cs="Arial" w:eastAsia="Arial" w:hAnsi="Arial"/>
                  <w:sz w:val="18"/>
                  <w:szCs w:val="18"/>
                  <w:color w:val="0000EE"/>
                </w:rPr>
                <w:t>Form of Common Stock Certificate</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31.1</w:t>
            </w:r>
          </w:p>
        </w:tc>
        <w:tc>
          <w:tcPr>
            <w:tcW w:w="5280" w:type="dxa"/>
            <w:vAlign w:val="bottom"/>
            <w:gridSpan w:val="16"/>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Certification of Principal Executive Officer Pursuant to Rules 13a-14(a)</w:t>
              </w:r>
            </w:hyperlink>
          </w:p>
        </w:tc>
      </w:tr>
      <w:tr>
        <w:trPr>
          <w:trHeight w:val="196"/>
        </w:trPr>
        <w:tc>
          <w:tcPr>
            <w:tcW w:w="10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31.2</w:t>
            </w:r>
          </w:p>
        </w:tc>
        <w:tc>
          <w:tcPr>
            <w:tcW w:w="51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of Principal Financial Officer Pursuant to Rules 13a-14(a)</w:t>
              </w:r>
            </w:hyperlink>
          </w:p>
        </w:tc>
        <w:tc>
          <w:tcPr>
            <w:tcW w:w="14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and 15d-14(a) under the Securities Exchange Act of 1934, as Adopted</w:t>
              </w:r>
            </w:hyperlink>
          </w:p>
        </w:tc>
        <w:tc>
          <w:tcPr>
            <w:tcW w:w="2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528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Certification of Principal Executive Officer Pursuant to 18 U.S.C.</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Section 1350, as Adopted Pursuant to Section 906 of the Sarbanes-Oxley</w:t>
              </w:r>
            </w:hyperlink>
          </w:p>
        </w:tc>
      </w:tr>
      <w:tr>
        <w:trPr>
          <w:trHeight w:val="196"/>
        </w:trPr>
        <w:tc>
          <w:tcPr>
            <w:tcW w:w="1060" w:type="dxa"/>
            <w:vAlign w:val="bottom"/>
          </w:tcPr>
          <w:p>
            <w:pPr>
              <w:spacing w:after="0"/>
              <w:rPr>
                <w:sz w:val="17"/>
                <w:szCs w:val="17"/>
                <w:color w:val="auto"/>
              </w:rPr>
            </w:pPr>
          </w:p>
        </w:tc>
        <w:tc>
          <w:tcPr>
            <w:tcW w:w="5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80" w:type="dxa"/>
            <w:vAlign w:val="bottom"/>
            <w:gridSpan w:val="1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32.2*</w:t>
            </w:r>
          </w:p>
        </w:tc>
        <w:tc>
          <w:tcPr>
            <w:tcW w:w="52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of Principal Financial Officer Pursuant to 18 U.S.C. Section</w:t>
              </w:r>
            </w:hyperlink>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1350, as Adopted Pursuant to Section 906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9"/>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13"/>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9-18-17</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0" w:lineRule="exact"/>
        <w:rPr>
          <w:sz w:val="20"/>
          <w:szCs w:val="20"/>
          <w:color w:val="auto"/>
        </w:rPr>
      </w:pPr>
    </w:p>
    <w:p>
      <w:pPr>
        <w:sectPr>
          <w:pgSz w:w="11900" w:h="16838" w:orient="portrait"/>
          <w:cols w:equalWidth="0" w:num="3">
            <w:col w:w="6340" w:space="580"/>
            <w:col w:w="2860" w:space="620"/>
            <w:col w:w="1020"/>
          </w:cols>
          <w:pgMar w:left="240" w:top="337" w:right="239" w:bottom="1440" w:gutter="0" w:footer="0" w:header="0"/>
          <w:type w:val="continuous"/>
        </w:sectPr>
      </w:pPr>
    </w:p>
    <w:p>
      <w:pPr>
        <w:ind w:left="520" w:right="20" w:hanging="512"/>
        <w:spacing w:after="0" w:line="259"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 and is not to be incorporated by reference into any filing of Restoration Robotics,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2" w:name="page63"/>
    <w:bookmarkEnd w:id="6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6460" w:val="left"/>
          <w:tab w:leader="none" w:pos="838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Ryan Rhodes</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Chief Executive Officer</w:t>
      </w:r>
    </w:p>
    <w:p>
      <w:pPr>
        <w:spacing w:after="0" w:line="251" w:lineRule="exact"/>
        <w:rPr>
          <w:sz w:val="20"/>
          <w:szCs w:val="20"/>
          <w:color w:val="auto"/>
        </w:rPr>
      </w:pPr>
    </w:p>
    <w:p>
      <w:pPr>
        <w:spacing w:after="0"/>
        <w:tabs>
          <w:tab w:leader="none" w:pos="6460" w:val="left"/>
          <w:tab w:leader="none" w:pos="840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Mark L. Hair</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337"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Rhodes,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2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Hair,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September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September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Roman"/>
      <w:start w:val="2"/>
    </w:lvl>
  </w:abstractNum>
  <w:abstractNum w:abstractNumId="3">
    <w:nsid w:val="2CA88611"/>
    <w:multiLevelType w:val="hybridMultilevel"/>
    <w:lvl w:ilvl="0">
      <w:lvlJc w:val="left"/>
      <w:lvlText w:val="%1."/>
      <w:numFmt w:val="decimal"/>
      <w:start w:val="3"/>
    </w:lvl>
  </w:abstractNum>
  <w:abstractNum w:abstractNumId="4">
    <w:nsid w:val="836C40E"/>
    <w:multiLevelType w:val="hybridMultilevel"/>
    <w:lvl w:ilvl="0">
      <w:lvlJc w:val="left"/>
      <w:lvlText w:val="%1"/>
      <w:numFmt w:val="decimal"/>
      <w:start w:val="1"/>
    </w:lvl>
    <w:lvl w:ilvl="1">
      <w:lvlJc w:val="left"/>
      <w:lvlText w:val="(%2)"/>
      <w:numFmt w:val="decimal"/>
      <w:start w:val="1"/>
    </w:lvl>
  </w:abstractNum>
  <w:abstractNum w:abstractNumId="5">
    <w:nsid w:val="2901D82"/>
    <w:multiLevelType w:val="hybridMultilevel"/>
    <w:lvl w:ilvl="0">
      <w:lvlJc w:val="left"/>
      <w:lvlText w:val="%1."/>
      <w:numFmt w:val="decimal"/>
      <w:start w:val="5"/>
    </w:lvl>
    <w:lvl w:ilvl="1">
      <w:lvlJc w:val="left"/>
      <w:lvlText w:val="%2"/>
      <w:numFmt w:val="decimal"/>
      <w:start w:val="1"/>
    </w:lvl>
  </w:abstractNum>
  <w:abstractNum w:abstractNumId="6">
    <w:nsid w:val="3A95F874"/>
    <w:multiLevelType w:val="hybridMultilevel"/>
    <w:lvl w:ilvl="0">
      <w:lvlJc w:val="left"/>
      <w:lvlText w:val="%1."/>
      <w:numFmt w:val="decimal"/>
      <w:start w:val="6"/>
    </w:lvl>
  </w:abstractNum>
  <w:abstractNum w:abstractNumId="7">
    <w:nsid w:val="8138641"/>
    <w:multiLevelType w:val="hybridMultilevel"/>
    <w:lvl w:ilvl="0">
      <w:lvlJc w:val="left"/>
      <w:lvlText w:val="%1"/>
      <w:numFmt w:val="decimal"/>
      <w:start w:val="1"/>
    </w:lvl>
    <w:lvl w:ilvl="1">
      <w:lvlJc w:val="left"/>
      <w:lvlText w:val="(%2)"/>
      <w:numFmt w:val="decimal"/>
      <w:start w:val="1"/>
    </w:lvl>
  </w:abstractNum>
  <w:abstractNum w:abstractNumId="8">
    <w:nsid w:val="1E7FF521"/>
    <w:multiLevelType w:val="hybridMultilevel"/>
    <w:lvl w:ilvl="0">
      <w:lvlJc w:val="left"/>
      <w:lvlText w:val="%1."/>
      <w:numFmt w:val="decimal"/>
      <w:start w:val="9"/>
    </w:lvl>
    <w:lvl w:ilvl="1">
      <w:lvlJc w:val="left"/>
      <w:lvlText w:val="%2"/>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79" Type="http://schemas.openxmlformats.org/officeDocument/2006/relationships/hyperlink" Target="http://www.sec.gov/Archives/edgar/data/1409269/000119312517311810/d448597dex31.htm" TargetMode="External"/><Relationship Id="rId80" Type="http://schemas.openxmlformats.org/officeDocument/2006/relationships/hyperlink" Target="http://www.sec.gov/Archives/edgar/data/1409269/000119312517311810/d448597dex32.htm" TargetMode="External"/><Relationship Id="rId81" Type="http://schemas.openxmlformats.org/officeDocument/2006/relationships/hyperlink" Target="http://www.sec.gov/Archives/edgar/data/1409269/000119312517286792/d41293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2019-12-28T18:30:53Z</dcterms:created>
  <dcterms:modified xsi:type="dcterms:W3CDTF">2019-12-28T18:30:53Z</dcterms:modified>
</cp:coreProperties>
</file>