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72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83" w:lineRule="exact"/>
        <w:rPr>
          <w:sz w:val="24"/>
          <w:szCs w:val="24"/>
          <w:color w:val="auto"/>
        </w:rPr>
      </w:pPr>
    </w:p>
    <w:p>
      <w:pPr>
        <w:ind w:left="3320" w:right="1720" w:hanging="331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Restoration Robotics,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06-1681204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128 Baytech Drive</w:t>
            </w:r>
          </w:p>
        </w:tc>
        <w:tc>
          <w:tcPr>
            <w:tcW w:w="3060" w:type="dxa"/>
            <w:vAlign w:val="bottom"/>
          </w:tcPr>
          <w:p>
            <w:pPr>
              <w:spacing w:after="0"/>
              <w:rPr>
                <w:sz w:val="24"/>
                <w:szCs w:val="24"/>
                <w:color w:val="auto"/>
              </w:rPr>
            </w:pPr>
          </w:p>
        </w:tc>
      </w:tr>
      <w:tr>
        <w:trPr>
          <w:trHeight w:val="216"/>
        </w:trPr>
        <w:tc>
          <w:tcPr>
            <w:tcW w:w="4180" w:type="dxa"/>
            <w:vAlign w:val="bottom"/>
          </w:tcPr>
          <w:p>
            <w:pPr>
              <w:jc w:val="center"/>
              <w:ind w:right="2003"/>
              <w:spacing w:after="0"/>
              <w:rPr>
                <w:sz w:val="20"/>
                <w:szCs w:val="20"/>
                <w:color w:val="auto"/>
              </w:rPr>
            </w:pPr>
            <w:r>
              <w:rPr>
                <w:rFonts w:ascii="Arial" w:cs="Arial" w:eastAsia="Arial" w:hAnsi="Arial"/>
                <w:sz w:val="18"/>
                <w:szCs w:val="18"/>
                <w:b w:val="1"/>
                <w:bCs w:val="1"/>
                <w:color w:val="auto"/>
                <w:w w:val="88"/>
              </w:rPr>
              <w:t>San Jose, CA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95134</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(408) 883-6888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34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300" w:firstLine="518"/>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2018, the registrant had 29,133,289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5"/>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7640" w:type="dxa"/>
            <w:vAlign w:val="bottom"/>
            <w:gridSpan w:val="15"/>
            <w:vMerge w:val="restart"/>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4"/>
                <w:szCs w:val="14"/>
                <w:color w:val="auto"/>
              </w:rPr>
            </w:pPr>
          </w:p>
        </w:tc>
        <w:tc>
          <w:tcPr>
            <w:tcW w:w="1720" w:type="dxa"/>
            <w:vAlign w:val="bottom"/>
            <w:tcBorders>
              <w:bottom w:val="single" w:sz="8" w:color="0000EE"/>
            </w:tcBorders>
            <w:gridSpan w:val="5"/>
            <w:vMerge w:val="continue"/>
          </w:tcPr>
          <w:p>
            <w:pPr>
              <w:spacing w:after="0"/>
              <w:rPr>
                <w:sz w:val="14"/>
                <w:szCs w:val="14"/>
                <w:color w:val="auto"/>
              </w:rPr>
            </w:pPr>
          </w:p>
        </w:tc>
        <w:tc>
          <w:tcPr>
            <w:tcW w:w="7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Condensed Consolidated Financial Statements (unaudited)</w:t>
              </w:r>
            </w:hyperlink>
          </w:p>
        </w:tc>
        <w:tc>
          <w:tcPr>
            <w:tcW w:w="484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w:t>
              </w:r>
            </w:hyperlink>
          </w:p>
        </w:tc>
        <w:tc>
          <w:tcPr>
            <w:tcW w:w="496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Convertible Preferred Stock and Stockholders’ Deficit</w:t>
              </w:r>
            </w:hyperlink>
          </w:p>
        </w:tc>
        <w:tc>
          <w:tcPr>
            <w:tcW w:w="264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Quantitative and Qualitative Disclosures About Market Risk</w:t>
              </w:r>
            </w:hyperlink>
          </w:p>
        </w:tc>
        <w:tc>
          <w:tcPr>
            <w:tcW w:w="46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Controls and Procedures</w:t>
              </w:r>
            </w:hyperlink>
          </w:p>
        </w:tc>
        <w:tc>
          <w:tcPr>
            <w:tcW w:w="74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Legal Proceedings</w:t>
              </w:r>
            </w:hyperlink>
          </w:p>
        </w:tc>
        <w:tc>
          <w:tcPr>
            <w:tcW w:w="73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14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Risk Factors</w:t>
              </w:r>
            </w:hyperlink>
          </w:p>
        </w:tc>
        <w:tc>
          <w:tcPr>
            <w:tcW w:w="796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7"/>
              </w:rPr>
            </w:pPr>
            <w:hyperlink w:anchor="page56">
              <w:r>
                <w:rPr>
                  <w:rFonts w:ascii="Arial" w:cs="Arial" w:eastAsia="Arial" w:hAnsi="Arial"/>
                  <w:sz w:val="18"/>
                  <w:szCs w:val="18"/>
                  <w:b w:val="1"/>
                  <w:bCs w:val="1"/>
                  <w:color w:val="0000EE"/>
                  <w:w w:val="87"/>
                </w:rPr>
                <w:t>Unregistered Sales of Equity Securities and Use of Proceeds</w:t>
              </w:r>
            </w:hyperlink>
          </w:p>
        </w:tc>
        <w:tc>
          <w:tcPr>
            <w:tcW w:w="478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57">
              <w:r>
                <w:rPr>
                  <w:rFonts w:ascii="Arial" w:cs="Arial" w:eastAsia="Arial" w:hAnsi="Arial"/>
                  <w:sz w:val="18"/>
                  <w:szCs w:val="18"/>
                  <w:b w:val="1"/>
                  <w:bCs w:val="1"/>
                  <w:color w:val="0000EE"/>
                  <w:w w:val="89"/>
                </w:rPr>
                <w:t>Defaults Upon Senior Securities</w:t>
              </w:r>
            </w:hyperlink>
          </w:p>
        </w:tc>
        <w:tc>
          <w:tcPr>
            <w:tcW w:w="690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Mine Safety Disclosures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57">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60"/>
              <w:spacing w:after="0"/>
              <w:rPr>
                <w:sz w:val="20"/>
                <w:szCs w:val="20"/>
                <w:color w:val="auto"/>
              </w:rPr>
            </w:pPr>
            <w:r>
              <w:rPr>
                <w:rFonts w:ascii="Arial" w:cs="Arial" w:eastAsia="Arial" w:hAnsi="Arial"/>
                <w:sz w:val="16"/>
                <w:szCs w:val="16"/>
                <w:color w:val="auto"/>
              </w:rPr>
              <w:t>Accounts receivable, net of allowance of $429 and $229 as of March 31, 2018 and December 31, 2017,</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24,463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25,880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2,296</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60"/>
              <w:spacing w:after="0"/>
              <w:rPr>
                <w:sz w:val="20"/>
                <w:szCs w:val="20"/>
                <w:color w:val="auto"/>
              </w:rPr>
            </w:pPr>
            <w:r>
              <w:rPr>
                <w:rFonts w:ascii="Arial" w:cs="Arial" w:eastAsia="Arial" w:hAnsi="Arial"/>
                <w:sz w:val="16"/>
                <w:szCs w:val="16"/>
                <w:color w:val="auto"/>
                <w:w w:val="99"/>
              </w:rPr>
              <w:t>Current portion of long-term debt, net of discount of $199 and $270 as of March 31, 2018 and December 31,</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2017</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net of discount of $6 and $29 as of March 31, 2018 and December 31, 2017</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19,792</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6)</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60" w:type="dxa"/>
            <w:vAlign w:val="bottom"/>
          </w:tcPr>
          <w:p>
            <w:pPr>
              <w:spacing w:after="0"/>
              <w:rPr>
                <w:sz w:val="20"/>
                <w:szCs w:val="20"/>
                <w:color w:val="auto"/>
              </w:rPr>
            </w:pPr>
            <w:r>
              <w:rPr>
                <w:rFonts w:ascii="Arial" w:cs="Arial" w:eastAsia="Arial" w:hAnsi="Arial"/>
                <w:sz w:val="16"/>
                <w:szCs w:val="16"/>
                <w:color w:val="auto"/>
                <w:w w:val="94"/>
              </w:rPr>
              <w:t>Convertible preferred stock, $0.0001 par value; 236,154,444 shares authorized and no shares issued and outstanding</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6"/>
                <w:szCs w:val="16"/>
                <w:color w:val="auto"/>
              </w:rPr>
              <w:t>as of March 31, 2018 and December 31, 2017</w:t>
            </w:r>
          </w:p>
        </w:tc>
        <w:tc>
          <w:tcPr>
            <w:tcW w:w="2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60" w:type="dxa"/>
            <w:vAlign w:val="bottom"/>
          </w:tcPr>
          <w:p>
            <w:pPr>
              <w:spacing w:after="0"/>
              <w:rPr>
                <w:sz w:val="20"/>
                <w:szCs w:val="20"/>
                <w:color w:val="auto"/>
              </w:rPr>
            </w:pPr>
            <w:r>
              <w:rPr>
                <w:rFonts w:ascii="Arial" w:cs="Arial" w:eastAsia="Arial" w:hAnsi="Arial"/>
                <w:sz w:val="16"/>
                <w:szCs w:val="16"/>
                <w:color w:val="auto"/>
                <w:w w:val="96"/>
              </w:rPr>
              <w:t>Common stock, $0.0001 par value; 350,490,000 shares authorized as of March 31, 2018 and December 31, 2017;</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6"/>
                <w:szCs w:val="16"/>
                <w:color w:val="auto"/>
              </w:rPr>
              <w:t>29,046,156 and 28,940,282 shares issued and outstanding as of March 31, 2018 and December 31, 2017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(171,918)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6,088</w:t>
            </w:r>
          </w:p>
        </w:tc>
        <w:tc>
          <w:tcPr>
            <w:tcW w:w="3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25,880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5,005</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4,384</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2,351</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8,860</w:t>
            </w:r>
          </w:p>
        </w:tc>
        <w:tc>
          <w:tcPr>
            <w:tcW w:w="3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(7,040)</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(358)</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 expense, net</w:t>
            </w: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expense, net</w:t>
            </w: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(378)</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Net loss before provision for income taxes</w:t>
            </w: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(7,418)</w:t>
            </w:r>
          </w:p>
        </w:tc>
        <w:tc>
          <w:tcPr>
            <w:tcW w:w="5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(5,159)</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(7,431)</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(0.26)</w:t>
            </w: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3"/>
              </w:rPr>
              <w:t>Weighted-average shares used in computing net loss per share attributable to common stockholders,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28,962,269</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16,183,178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(7,431)</w:t>
            </w: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Cumulative translation adjustment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60" w:type="dxa"/>
            <w:vAlign w:val="bottom"/>
            <w:vMerge w:val="continue"/>
          </w:tcPr>
          <w:p>
            <w:pPr>
              <w:spacing w:after="0"/>
              <w:rPr>
                <w:sz w:val="17"/>
                <w:szCs w:val="17"/>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(7,427)</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00" w:type="dxa"/>
            <w:vAlign w:val="bottom"/>
            <w:gridSpan w:val="3"/>
            <w:vMerge w:val="restart"/>
          </w:tcPr>
          <w:p>
            <w:pPr>
              <w:jc w:val="right"/>
              <w:ind w:right="26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2"/>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28,940,282</w:t>
            </w:r>
          </w:p>
        </w:tc>
        <w:tc>
          <w:tcPr>
            <w:tcW w:w="860" w:type="dxa"/>
            <w:vAlign w:val="bottom"/>
            <w:gridSpan w:val="2"/>
            <w:shd w:val="clear" w:color="auto" w:fill="CFF0FC"/>
          </w:tcPr>
          <w:p>
            <w:pPr>
              <w:jc w:val="right"/>
              <w:ind w:right="546"/>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(164,487)</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Pr>
          <w:p>
            <w:pPr>
              <w:ind w:left="260"/>
              <w:spacing w:after="0"/>
              <w:rPr>
                <w:sz w:val="20"/>
                <w:szCs w:val="20"/>
                <w:color w:val="auto"/>
              </w:rPr>
            </w:pPr>
            <w:r>
              <w:rPr>
                <w:rFonts w:ascii="Arial" w:cs="Arial" w:eastAsia="Arial" w:hAnsi="Arial"/>
                <w:sz w:val="16"/>
                <w:szCs w:val="16"/>
                <w:color w:val="auto"/>
                <w:w w:val="97"/>
              </w:rPr>
              <w:t>Issuance of common stock pursuant to stock option exercises of</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60"/>
              <w:spacing w:after="0"/>
              <w:rPr>
                <w:sz w:val="20"/>
                <w:szCs w:val="20"/>
                <w:color w:val="auto"/>
              </w:rPr>
            </w:pPr>
            <w:r>
              <w:rPr>
                <w:rFonts w:ascii="Arial" w:cs="Arial" w:eastAsia="Arial" w:hAnsi="Arial"/>
                <w:sz w:val="16"/>
                <w:szCs w:val="16"/>
                <w:color w:val="auto"/>
              </w:rPr>
              <w:t>vested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105,874</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Other comprehensive gain</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(7,431)</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Balance — March 31, 2018</w:t>
            </w: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8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29,046,156</w:t>
            </w:r>
          </w:p>
        </w:tc>
        <w:tc>
          <w:tcPr>
            <w:tcW w:w="160" w:type="dxa"/>
            <w:vAlign w:val="bottom"/>
          </w:tcPr>
          <w:p>
            <w:pPr>
              <w:spacing w:after="0"/>
              <w:rPr>
                <w:sz w:val="17"/>
                <w:szCs w:val="17"/>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178,078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24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(171,918)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(7,431)</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(5,175)</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fair value of preferred stock warrant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Provision for bad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excess and obsolete inventory</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and other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(4,955)</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Proceeds from exercised stock options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0"/>
        </w:trPr>
        <w:tc>
          <w:tcPr>
            <w:tcW w:w="7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5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(5,406)</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23,645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80" w:type="dxa"/>
            <w:vAlign w:val="bottom"/>
          </w:tcPr>
          <w:p>
            <w:pPr>
              <w:spacing w:after="0"/>
              <w:rPr>
                <w:sz w:val="20"/>
                <w:szCs w:val="20"/>
                <w:color w:val="auto"/>
              </w:rPr>
            </w:pPr>
            <w:r>
              <w:rPr>
                <w:rFonts w:ascii="Arial" w:cs="Arial" w:eastAsia="Arial" w:hAnsi="Arial"/>
                <w:sz w:val="16"/>
                <w:szCs w:val="16"/>
                <w:color w:val="auto"/>
              </w:rPr>
              <w:t>CASH, CASH EQUIVALENTS AND RESTRICTED CASH — End of period</w:t>
            </w: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16,630</w:t>
            </w:r>
          </w:p>
        </w:tc>
        <w:tc>
          <w:tcPr>
            <w:tcW w:w="160" w:type="dxa"/>
            <w:vAlign w:val="bottom"/>
          </w:tcPr>
          <w:p>
            <w:pPr>
              <w:spacing w:after="0"/>
              <w:rPr>
                <w:sz w:val="21"/>
                <w:szCs w:val="21"/>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8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spacing w:after="0"/>
              <w:rPr>
                <w:sz w:val="20"/>
                <w:szCs w:val="20"/>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property and equipment included in accounts payable</w:t>
            </w:r>
          </w:p>
        </w:tc>
        <w:tc>
          <w:tcPr>
            <w:tcW w:w="1280" w:type="dxa"/>
            <w:vAlign w:val="bottom"/>
            <w:gridSpan w:val="2"/>
            <w:shd w:val="clear" w:color="auto" w:fill="CFF0FC"/>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Restoration Robotics, Inc. is a medical technology company incorporated in the state of Delaware on November 22, 2002 and headquartered in San Jose, California. The Company develops an image-guided robotic system that enables follicular unit extraction (FUE) for use in the field of hair transplantation and markets the ARTAS® Robotic System in the United States and other countries. In these notes to the unaudited condensed consolidated financial statements, the “Company,” “Restoration Robotics,” “we,” “us,” and “our” refers to Restoration Robotics, Inc. and its subsidiaries on a consolidated basis.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IPO of 3,897,910 shares of its common stock (inclusive of 322,910 shares of common stock from the subsequent exercise of the over-allotment option granted to the underwriters) at a price of $7.00 per share for aggregate cash proceeds of approximately $22,114, after deducting underwriting discounts and commissions, and offering costs of $5,171.</w:t>
      </w:r>
    </w:p>
    <w:p>
      <w:pPr>
        <w:spacing w:after="0" w:line="188"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Immediately prior to the closing of the IPO, all outstanding shares of convertible preferred stock converted into 22,671,601 shares of common stock and all the outstanding convertible preferred stock warrants converted into common stock warrants resulting in the reclassification of our preferred stock warrant liabilities to additional paid-in capital. In addition, the principal and accrued interest on the outstanding Convertible Notes converted into 718,184 shares of common stock. The IPO closed on October 16, 2017.</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520" w:right="40"/>
        <w:spacing w:after="0" w:line="270" w:lineRule="auto"/>
        <w:rPr>
          <w:sz w:val="20"/>
          <w:szCs w:val="20"/>
          <w:color w:val="auto"/>
        </w:rPr>
      </w:pPr>
      <w:r>
        <w:rPr>
          <w:rFonts w:ascii="Arial" w:cs="Arial" w:eastAsia="Arial" w:hAnsi="Arial"/>
          <w:sz w:val="17"/>
          <w:szCs w:val="17"/>
          <w:color w:val="auto"/>
        </w:rPr>
        <w:t>On September 15, 2017, the Company effected a 1-for-10 reverse stock split of its common stock. Upon the effectiveness of the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of the outstanding common stock share numbers (including shares of common stock into which our outstanding convertible preferred stock shares are convertible), share prices, exercise prices and per share amounts have been adjusted in these consolidated statements, on a retroactive basis, to reflect this l-for-10 reverse stock split for all periods presented. The par value per share and the authorized number of shares of common stock and convertible preferred stock were not adjusted because of the reverse stock split.</w:t>
      </w:r>
    </w:p>
    <w:p>
      <w:pPr>
        <w:spacing w:after="0" w:line="286" w:lineRule="exact"/>
        <w:rPr>
          <w:sz w:val="20"/>
          <w:szCs w:val="20"/>
          <w:color w:val="auto"/>
        </w:rPr>
      </w:pPr>
    </w:p>
    <w:p>
      <w:pPr>
        <w:ind w:left="520" w:right="6520" w:hanging="512"/>
        <w:spacing w:after="0" w:line="378" w:lineRule="auto"/>
        <w:tabs>
          <w:tab w:leader="none" w:pos="18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Liquidity</w:t>
      </w:r>
    </w:p>
    <w:p>
      <w:pPr>
        <w:ind w:left="520" w:right="60"/>
        <w:spacing w:after="0" w:line="270" w:lineRule="auto"/>
        <w:rPr>
          <w:sz w:val="20"/>
          <w:szCs w:val="20"/>
          <w:color w:val="auto"/>
        </w:rPr>
      </w:pPr>
      <w:r>
        <w:rPr>
          <w:rFonts w:ascii="Arial" w:cs="Arial" w:eastAsia="Arial" w:hAnsi="Arial"/>
          <w:sz w:val="17"/>
          <w:szCs w:val="17"/>
          <w:color w:val="auto"/>
        </w:rPr>
        <w:t>These condensed consolidated financial statements are prepared on a going concern basis that contemplates the realization of assets and extinguishment of liabilities in the normal course of business. The Company has incurred net operating losses and negative cash flows from operations since inception. As of March 31, 2018, and December 31, 2017, the Company has an accumulated deficit of $171,918 and $164,487 and, as of such dates, did not have sufficient capital to fund its planned operations. Because of the Company’s recurring losses from operations and negative cash flows, the Company’s independent registered public accounting firm included an explanatory paragraph in its report on the Company’s consolidated financial statements as of, and for the year ended, December 31, 2017 that such factors raise substantial doubt about the Company’s ability to continue as a going concern. To continue its operations, the Company must achieve profitable operations and/or obtain additional financing. Until the Company generates revenue at a level to support its cost structure, the Company expects to continue to incur substantial operating losses and net cash outflows. The Company may never become profitable and even if it does attain profitable operations, it may not be able to sustain profitability or positive cash flows on a recurring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condensed consolidated balance sheet as of March 31, 2018, the condensed consolidated statements of operations and condensed consolidated statements of comprehensive loss for the three months ended March 31, 2018 and 2017 and the condensed consolidated statements of cash flows for the three months ended March 31, 2018 and 2017 and the condensed consolidated statement of stockholders’ deficit for the three months ended March 31, 2018 are unaudited. The accompanying unaudited condensed consolidated financial statements have been prepared in accordance with generally accepted counting principles in the United States (U.S. GAAP) and in the opinion of management, reflect all adjustments of a normal and recurring nature that are necessary for the fair presentation of the Company’s condensed consolidated financial statements included in this report. The condensed consolidated financial data disclosed in these notes to the condensed consolidated financial statements related to the three-month period are also unaudited. The condensed consolidated results of operations for the three months ended March 31, 2018 are not necessarily indicative of the results to be expected for the year ending December 31, 2018, or for any other future annual or interim period. The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in its Annual Report filed on Form 10-K for the year ended December 31, 2017, with the SEC on March 5, 2018.</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Restoration Robotics, Inc. and its wholly owned subsidiaries, which are organized in the United States, United Kingdom, Spain, Hong Kong and South Korea. All significant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Significant estimates and assumptions made in the accompanying condensed consolidated financial statements include, but are not limited to revenue recognition, the fair value of common stock,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Certain amounts in the prior year's condensed consolidated balance sheet have been reclassified to conform to the current period's presentation. These reclassifications had no impact on the previously reported consolidated financial statements for the year ended December 31, 2017.</w:t>
      </w:r>
    </w:p>
    <w:p>
      <w:pPr>
        <w:spacing w:after="0" w:line="1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57"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For the three months ended March 31, 2018, no customers accounted for more than 10% of the Company’s revenue. For the three months ended March 31, 2017, two customers accounted for 13% and 16% of the Company’s revenue. As of March 31, 2018, no customers accounted for more than 10% of the Company’s accounts receivable. As of December 31, 2017, two customers accounted for 10% and 11% of the Company’s accounts receivable.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520" w:right="80"/>
        <w:spacing w:after="0" w:line="28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2" w:lineRule="exact"/>
        <w:rPr>
          <w:sz w:val="20"/>
          <w:szCs w:val="20"/>
          <w:color w:val="auto"/>
        </w:rPr>
      </w:pPr>
    </w:p>
    <w:p>
      <w:pPr>
        <w:ind w:left="520" w:right="440" w:firstLine="6"/>
        <w:spacing w:after="0" w:line="255" w:lineRule="auto"/>
        <w:tabs>
          <w:tab w:leader="none" w:pos="7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17" w:lineRule="exact"/>
        <w:rPr>
          <w:sz w:val="20"/>
          <w:szCs w:val="20"/>
          <w:color w:val="auto"/>
        </w:rPr>
      </w:pPr>
    </w:p>
    <w:p>
      <w:pPr>
        <w:ind w:left="520" w:right="60"/>
        <w:spacing w:after="0" w:line="217" w:lineRule="exact"/>
        <w:rPr>
          <w:sz w:val="20"/>
          <w:szCs w:val="20"/>
          <w:color w:val="auto"/>
        </w:rPr>
      </w:pPr>
      <w:r>
        <w:rPr>
          <w:rFonts w:ascii="Arial" w:cs="Arial" w:eastAsia="Arial" w:hAnsi="Arial"/>
          <w:sz w:val="17"/>
          <w:szCs w:val="17"/>
          <w:color w:val="auto"/>
        </w:rPr>
        <w:t>In May 2014, the Financial Accounting Standards Board (FASB) issued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Early adoption is permitted. ASU 2014</w:t>
      </w:r>
      <w:r>
        <w:rPr>
          <w:rFonts w:ascii="MS PGothic" w:cs="MS PGothic" w:eastAsia="MS PGothic" w:hAnsi="MS PGothic"/>
          <w:sz w:val="17"/>
          <w:szCs w:val="17"/>
          <w:color w:val="auto"/>
        </w:rPr>
        <w:t>‑</w:t>
      </w:r>
      <w:r>
        <w:rPr>
          <w:rFonts w:ascii="Arial" w:cs="Arial" w:eastAsia="Arial" w:hAnsi="Arial"/>
          <w:sz w:val="17"/>
          <w:szCs w:val="17"/>
          <w:color w:val="auto"/>
        </w:rPr>
        <w:t>09 may be adopted either retrospectively to each prior period presented (full retrospective method) or with the cumulative effect recognized as of the date of initial application (modified retrospective method). The Company expects to adopt this standard effective January 1, 2019 using the modified retrospective adoption method. The Company’s preliminary assessment of areas to be impacted by the new standard identified possible impact to the deferral of costs to obtain a contract, which are primarily commission expense directly incurred because of sales of products and related support, and the allocation of revenue between products and support and maintenance for certain arrangements. While the Company continues to assess the potential impact of the new standard, including the areas described above, it has not yet quantified the impact the new standard may have on its consolidated financial statements.</w:t>
      </w:r>
    </w:p>
    <w:p>
      <w:pPr>
        <w:spacing w:after="0" w:line="208" w:lineRule="exact"/>
        <w:rPr>
          <w:sz w:val="20"/>
          <w:szCs w:val="20"/>
          <w:color w:val="auto"/>
        </w:rPr>
      </w:pPr>
    </w:p>
    <w:p>
      <w:pPr>
        <w:ind w:left="520" w:right="100"/>
        <w:spacing w:after="0" w:line="218"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or ASU 2016</w:t>
      </w:r>
      <w:r>
        <w:rPr>
          <w:rFonts w:ascii="MS PGothic" w:cs="MS PGothic" w:eastAsia="MS PGothic" w:hAnsi="MS PGothic"/>
          <w:sz w:val="17"/>
          <w:szCs w:val="17"/>
          <w:color w:val="auto"/>
        </w:rPr>
        <w:t>‑</w:t>
      </w:r>
      <w:r>
        <w:rPr>
          <w:rFonts w:ascii="Arial" w:cs="Arial" w:eastAsia="Arial" w:hAnsi="Arial"/>
          <w:sz w:val="17"/>
          <w:szCs w:val="17"/>
          <w:color w:val="auto"/>
        </w:rPr>
        <w:t>02, which requires lessees to record most leases on their balance sheets but recognize the expenses on their income statements in a manner similar to current practice. Under ASU 2016</w:t>
      </w:r>
      <w:r>
        <w:rPr>
          <w:rFonts w:ascii="MS PGothic" w:cs="MS PGothic" w:eastAsia="MS PGothic" w:hAnsi="MS PGothic"/>
          <w:sz w:val="17"/>
          <w:szCs w:val="17"/>
          <w:color w:val="auto"/>
        </w:rPr>
        <w:t>‑</w:t>
      </w:r>
      <w:r>
        <w:rPr>
          <w:rFonts w:ascii="Arial" w:cs="Arial" w:eastAsia="Arial" w:hAnsi="Arial"/>
          <w:sz w:val="17"/>
          <w:szCs w:val="17"/>
          <w:color w:val="auto"/>
        </w:rPr>
        <w:t>02, a lessee would recognize a lease liability for the obligation to make lease payments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for the right to use the underlying asset for the lease term. For public entities, this standard is effective for annual reporting periods beginning after December 15, 2018, including interim periods within that reporting period. For all other entities, this standard is effective for annual reporting periods beginning after December 15, 2019, and interim periods within annual periods beginning after December 15, 2020. Early adoption is permitted. The Company is currently evaluating the impact and materiality that this standard will have on its condensed consolidated financial statements. However, the Company does expect an increase in its consolidated assets and liabilities upon adoption of this standard.</w:t>
      </w:r>
    </w:p>
    <w:p>
      <w:pPr>
        <w:spacing w:after="0" w:line="309" w:lineRule="exact"/>
        <w:rPr>
          <w:sz w:val="20"/>
          <w:szCs w:val="20"/>
          <w:color w:val="auto"/>
        </w:rPr>
      </w:pPr>
    </w:p>
    <w:p>
      <w:pPr>
        <w:ind w:left="520" w:right="9280" w:hanging="512"/>
        <w:spacing w:after="0" w:line="400" w:lineRule="auto"/>
        <w:tabs>
          <w:tab w:leader="none" w:pos="18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spacing w:after="0" w:line="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common stock equivalents and are only included in the calculation of diluted net loss per share when their effect is 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ind w:left="520" w:right="640"/>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net loss per share attributable to common stockholders for the periods presented because including them would have been antidilutive:</w:t>
      </w:r>
    </w:p>
    <w:p>
      <w:pPr>
        <w:spacing w:after="0" w:line="176"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As of</w:t>
      </w:r>
    </w:p>
    <w:p>
      <w:pPr>
        <w:jc w:val="center"/>
        <w:ind w:left="54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1,950,853</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1,814,546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21,142,375</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for preferred stock</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385,141</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306,456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potential dilutive shares</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23,342,062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Cash and cash equivalents, restricted cash, accounts receivable, accounts payable, and accrued liabilities approximate fair market value because of the short-term nature of those instruments. The Company’s lease obligation, term loan and Convertible Notes have fair values that approximate their carrying value.</w:t>
      </w:r>
    </w:p>
    <w:p>
      <w:pPr>
        <w:spacing w:after="0" w:line="181" w:lineRule="exact"/>
        <w:rPr>
          <w:sz w:val="20"/>
          <w:szCs w:val="20"/>
          <w:color w:val="auto"/>
        </w:rPr>
      </w:pPr>
    </w:p>
    <w:p>
      <w:pPr>
        <w:ind w:left="520"/>
        <w:spacing w:after="0" w:line="276" w:lineRule="auto"/>
        <w:rPr>
          <w:sz w:val="20"/>
          <w:szCs w:val="20"/>
          <w:color w:val="auto"/>
        </w:rPr>
      </w:pPr>
      <w:r>
        <w:rPr>
          <w:rFonts w:ascii="Arial" w:cs="Arial" w:eastAsia="Arial" w:hAnsi="Arial"/>
          <w:sz w:val="17"/>
          <w:szCs w:val="17"/>
          <w:color w:val="auto"/>
        </w:rPr>
        <w:t>U.S. GAAP establishes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condensed consolidated financial statements and items disclosed at fair value in the notes to the condensed consolidated financial statements.</w:t>
      </w:r>
    </w:p>
    <w:p>
      <w:pPr>
        <w:spacing w:after="0" w:line="173" w:lineRule="exact"/>
        <w:rPr>
          <w:sz w:val="20"/>
          <w:szCs w:val="20"/>
          <w:color w:val="auto"/>
        </w:rPr>
      </w:pPr>
    </w:p>
    <w:p>
      <w:pPr>
        <w:ind w:left="520" w:right="400"/>
        <w:spacing w:after="0" w:line="312" w:lineRule="auto"/>
        <w:rPr>
          <w:sz w:val="20"/>
          <w:szCs w:val="20"/>
          <w:color w:val="auto"/>
        </w:rPr>
      </w:pPr>
      <w:r>
        <w:rPr>
          <w:rFonts w:ascii="Arial" w:cs="Arial" w:eastAsia="Arial" w:hAnsi="Arial"/>
          <w:sz w:val="16"/>
          <w:szCs w:val="16"/>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39" w:lineRule="exact"/>
        <w:rPr>
          <w:sz w:val="20"/>
          <w:szCs w:val="20"/>
          <w:color w:val="auto"/>
        </w:rPr>
      </w:pPr>
    </w:p>
    <w:p>
      <w:pPr>
        <w:ind w:left="1040" w:right="360"/>
        <w:spacing w:after="0" w:line="34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are available in active markets for identical assets or liabilities as of the report date. A quoted price for an identical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in an active market provides the most reliable fair value measurement because it is directly observable to the market.</w:t>
      </w:r>
    </w:p>
    <w:p>
      <w:pPr>
        <w:spacing w:after="0" w:line="16" w:lineRule="exact"/>
        <w:rPr>
          <w:sz w:val="20"/>
          <w:szCs w:val="20"/>
          <w:color w:val="auto"/>
        </w:rPr>
      </w:pPr>
    </w:p>
    <w:p>
      <w:pPr>
        <w:ind w:left="104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which are either directly or indirectly observable as of the report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these securities includes investments for which quoted prices are available but traded less frequently and investments that are fair valued using other securities, the parameters of which can be directly observed.</w:t>
      </w:r>
    </w:p>
    <w:p>
      <w:pPr>
        <w:spacing w:after="0" w:line="73" w:lineRule="exact"/>
        <w:rPr>
          <w:sz w:val="20"/>
          <w:szCs w:val="20"/>
          <w:color w:val="auto"/>
        </w:rPr>
      </w:pPr>
    </w:p>
    <w:p>
      <w:pPr>
        <w:ind w:left="1040" w:right="60"/>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Securities that have little to no pricing observability as of the report date. These securities are measured using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fair value, where the inputs into the determination of fair value are not observable and require significant management judgment or estimation.</w:t>
      </w:r>
    </w:p>
    <w:p>
      <w:pPr>
        <w:spacing w:after="0" w:line="181"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tables summarize the levels of fair value measurements of the Company’s cash equivalents: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6"/>
          </w:tcPr>
          <w:p>
            <w:pPr>
              <w:jc w:val="right"/>
              <w:ind w:right="145"/>
              <w:spacing w:after="0"/>
              <w:rPr>
                <w:sz w:val="20"/>
                <w:szCs w:val="20"/>
                <w:color w:val="auto"/>
              </w:rPr>
            </w:pPr>
            <w:r>
              <w:rPr>
                <w:rFonts w:ascii="Arial" w:cs="Arial" w:eastAsia="Arial" w:hAnsi="Arial"/>
                <w:sz w:val="14"/>
                <w:szCs w:val="14"/>
                <w:b w:val="1"/>
                <w:bCs w:val="1"/>
                <w:color w:val="auto"/>
              </w:rPr>
              <w:t>Fair Value Measurements as of March 31, 2018</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Cash Equivalents:</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14,339</w:t>
            </w:r>
          </w:p>
        </w:tc>
        <w:tc>
          <w:tcPr>
            <w:tcW w:w="6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Restricted cash:</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7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right"/>
              <w:ind w:right="25"/>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using Identical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Cash Equivalents: (1)</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18,728</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Restricted cash:</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account</w:t>
            </w:r>
          </w:p>
        </w:tc>
        <w:tc>
          <w:tcPr>
            <w:tcW w:w="1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18,828</w:t>
            </w:r>
          </w:p>
        </w:tc>
        <w:tc>
          <w:tcPr>
            <w:tcW w:w="22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80" w:right="760" w:firstLine="2"/>
        <w:spacing w:after="0" w:line="259" w:lineRule="auto"/>
        <w:tabs>
          <w:tab w:leader="none" w:pos="83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incorrectly overstated its cash equivalents by $4,817 in its annual report on Form 10-K for the year ended December 31, 2017. Cash equivalents were $18,728, while cash was $4,817. The error in disclosure had no impact on previously reported cash and cash equivalents in the consolidated balance sheet as of December 31, 2017 or consolidated statement of operations for the year ended December 31, 2017.</w:t>
      </w:r>
    </w:p>
    <w:p>
      <w:pPr>
        <w:spacing w:after="0" w:line="33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inventory</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 of the following:</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7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7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17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(3,784)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vMerge w:val="restart"/>
          </w:tcPr>
          <w:p>
            <w:pPr>
              <w:jc w:val="right"/>
              <w:ind w:right="127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2" w:name="page13"/>
    <w:bookmarkEnd w:id="12"/>
    <w:p>
      <w:pPr>
        <w:ind w:left="512"/>
        <w:spacing w:after="0"/>
        <w:rPr>
          <w:sz w:val="20"/>
          <w:szCs w:val="20"/>
          <w:color w:val="auto"/>
        </w:rPr>
      </w:pPr>
      <w:r>
        <w:rPr>
          <w:rFonts w:ascii="Arial" w:cs="Arial" w:eastAsia="Arial" w:hAnsi="Arial"/>
          <w:sz w:val="18"/>
          <w:szCs w:val="18"/>
          <w:color w:val="auto"/>
        </w:rPr>
        <w:t>Depreciation and amortization expense was $132 and $142 for three months ended March 31, 2018 and 2017, respectively.</w:t>
      </w:r>
    </w:p>
    <w:p>
      <w:pPr>
        <w:spacing w:after="0" w:line="370" w:lineRule="exact"/>
        <w:rPr>
          <w:sz w:val="20"/>
          <w:szCs w:val="20"/>
          <w:color w:val="auto"/>
        </w:rPr>
      </w:pPr>
    </w:p>
    <w:p>
      <w:pPr>
        <w:ind w:left="512" w:right="7740" w:hanging="512"/>
        <w:spacing w:after="0" w:line="378" w:lineRule="auto"/>
        <w:tabs>
          <w:tab w:leader="none" w:pos="17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The Company has various operating leases including 23,000 square feet of office space in San Jose, California, which expires in April 2022.</w:t>
      </w:r>
    </w:p>
    <w:p>
      <w:pPr>
        <w:spacing w:after="0" w:line="237"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Aggregate future minimum lease payments required under the Company’s operating leases as of March 31, 2018 are as follows:</w:t>
      </w:r>
    </w:p>
    <w:p>
      <w:pPr>
        <w:spacing w:after="0" w:line="222" w:lineRule="exact"/>
        <w:rPr>
          <w:sz w:val="20"/>
          <w:szCs w:val="20"/>
          <w:color w:val="auto"/>
        </w:rPr>
      </w:pPr>
    </w:p>
    <w:tbl>
      <w:tblPr>
        <w:tblLayout w:type="fixed"/>
        <w:tblInd w:w="2292"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(remaining 9 months)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2019</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2021</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Total rent expense was $103 and $105 for three months ended March 31, 2018 and 2017.</w:t>
      </w:r>
    </w:p>
    <w:p>
      <w:pPr>
        <w:spacing w:after="0" w:line="333"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512" w:right="80"/>
        <w:spacing w:after="0" w:line="291" w:lineRule="auto"/>
        <w:rPr>
          <w:sz w:val="20"/>
          <w:szCs w:val="20"/>
          <w:color w:val="auto"/>
        </w:rPr>
      </w:pPr>
      <w:r>
        <w:rPr>
          <w:rFonts w:ascii="Arial" w:cs="Arial" w:eastAsia="Arial" w:hAnsi="Arial"/>
          <w:sz w:val="16"/>
          <w:szCs w:val="16"/>
          <w:color w:val="auto"/>
        </w:rPr>
        <w:t>The Company has two master agreements and a component pricing agreement with Evolve Manufacturing Technologies, Inc. (Evolve) for the supply of the ARTAS System and consumable products. The terms of these master agreements are substantially similar. The master agreement for the sale of ARTAS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totaling $2,200 as of March 31, 2018.</w:t>
      </w:r>
    </w:p>
    <w:p>
      <w:pPr>
        <w:spacing w:after="0" w:line="167" w:lineRule="exact"/>
        <w:rPr>
          <w:sz w:val="20"/>
          <w:szCs w:val="20"/>
          <w:color w:val="auto"/>
        </w:rPr>
      </w:pPr>
    </w:p>
    <w:p>
      <w:pPr>
        <w:ind w:left="512"/>
        <w:spacing w:after="0" w:line="273" w:lineRule="auto"/>
        <w:rPr>
          <w:sz w:val="20"/>
          <w:szCs w:val="20"/>
          <w:color w:val="auto"/>
        </w:rPr>
      </w:pPr>
      <w:r>
        <w:rPr>
          <w:rFonts w:ascii="Arial" w:cs="Arial" w:eastAsia="Arial" w:hAnsi="Arial"/>
          <w:sz w:val="17"/>
          <w:szCs w:val="17"/>
          <w:color w:val="auto"/>
        </w:rPr>
        <w:t>In March 2018, the Company received U.S. FDA 510(k) clearance to expand the ARTAS System technology to include an implantation functionality. Based on manufacturing changes associated with the ARTAS system, the Company determined that certain components procured or expected to be procured by Evolve, will be in excess of expected demand or usage. Although the Company will be taking steps to minimize the adverse impact on the Company’s business, based on information available as of March 31, 2018, the Company’s management recorded a loss contingency accrual of $715 which is reported in “Cost of revenue” in the condensed consolidated statements of operations for the three-month ended March 31, 2018 and included in “Other accrued liabilities” on the condensed consolidated balance sheets as of March 31, 2018.</w:t>
      </w:r>
    </w:p>
    <w:p>
      <w:pPr>
        <w:spacing w:after="0" w:line="287"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17" w:lineRule="exact"/>
        <w:rPr>
          <w:sz w:val="20"/>
          <w:szCs w:val="20"/>
          <w:color w:val="auto"/>
        </w:rPr>
      </w:pPr>
    </w:p>
    <w:p>
      <w:pPr>
        <w:ind w:left="512" w:right="240"/>
        <w:spacing w:after="0" w:line="297" w:lineRule="auto"/>
        <w:rPr>
          <w:sz w:val="20"/>
          <w:szCs w:val="20"/>
          <w:color w:val="auto"/>
        </w:rPr>
      </w:pPr>
      <w:r>
        <w:rPr>
          <w:rFonts w:ascii="Arial" w:cs="Arial" w:eastAsia="Arial" w:hAnsi="Arial"/>
          <w:sz w:val="16"/>
          <w:szCs w:val="16"/>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license to a patent subject to this license agreement. Royalties for the three months ended March 31, 2018 and 2017 were $0.</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3" w:name="page14"/>
    <w:bookmarkEnd w:id="13"/>
    <w:p>
      <w:pPr>
        <w:ind w:left="520" w:right="40"/>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left="520"/>
        <w:spacing w:after="0" w:line="310" w:lineRule="auto"/>
        <w:rPr>
          <w:sz w:val="20"/>
          <w:szCs w:val="20"/>
          <w:color w:val="auto"/>
        </w:rPr>
      </w:pPr>
      <w:r>
        <w:rPr>
          <w:rFonts w:ascii="Arial" w:cs="Arial" w:eastAsia="Arial" w:hAnsi="Arial"/>
          <w:sz w:val="15"/>
          <w:szCs w:val="15"/>
          <w:color w:val="auto"/>
        </w:rPr>
        <w:t>In May 2015, the Company entered into a loan and security agreement with Oxford Finance, LLC (Oxford) (the Oxford Agreement). Under the terms of the loan and security agreement, the Company borrowed $20,000 with an interest rate at the greater of (i) 8.5% per annum or (ii) U.S. Dollar LIBOR rate plus 8.0% per annum, which is collateralized by all personal property of the Company, excluding intellectual property, and issued 10-year warrants to purchase 110,486 shares of Series C Preferred Stock at $7.15 per share. No warrants were exercised in the first quarter of 2018. The estimated fair value of the warrants at issuance was recorded as a discount on the loan and amortized into interest expense over the expected life of the loan. In connection with the loan agreement, the Company recorded $246 of credit facility fees and $153 of debt issuance cost as of January 31, 2015. The credit facility fees and debt issuance costs are a discount on the debt and are being amortized to interest expense over the term of the loan using the effective-interest method. The loan will mature in July 2019, at which time the Company must repay the outstanding principal balance which includes a final payment of $1,300. The outstanding balance on the loan was $11,300 and accrued interest totaled $83 as of March 31, 2018. The interest rate was 10.3% at March 31, 2018.</w:t>
      </w:r>
    </w:p>
    <w:p>
      <w:pPr>
        <w:spacing w:after="0" w:line="156" w:lineRule="exact"/>
        <w:rPr>
          <w:sz w:val="20"/>
          <w:szCs w:val="20"/>
          <w:color w:val="auto"/>
        </w:rPr>
      </w:pPr>
    </w:p>
    <w:p>
      <w:pPr>
        <w:ind w:left="520" w:right="140"/>
        <w:spacing w:after="0" w:line="257" w:lineRule="auto"/>
        <w:rPr>
          <w:sz w:val="20"/>
          <w:szCs w:val="20"/>
          <w:color w:val="auto"/>
        </w:rPr>
      </w:pPr>
      <w:r>
        <w:rPr>
          <w:rFonts w:ascii="Arial" w:cs="Arial" w:eastAsia="Arial" w:hAnsi="Arial"/>
          <w:sz w:val="18"/>
          <w:szCs w:val="18"/>
          <w:color w:val="auto"/>
        </w:rPr>
        <w:t>Borrowings under the Oxford Agreement are collateralized by all personal property of the Company, excluding intellectual property. The Agreement includes customary restrictive covenants that impose operating and financial restrictions on the Company, including restrictions on our ability to take actions that could be in the Company’s best interests. These restrictive covenants include operating covenants restricting, among other things, the Company’s ability to incur additional indebtedness, effect certain acquisitions or make other fundamental changes. The Company was in compliance with all of the covenants as of March 31, 2018 and December 31, 2017.</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on the outstanding borrowings as of March 31, 2018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2018</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 (remaining 9 months)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debt discount</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(7,801)</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Non-current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The entire outstanding principal balance plus accrued interest was paid off by the Company on May 10, 2018 in connection with the Company’s debt financing transactions in May 2018. Refer to Note 12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RESERVED FOR ISSUANCE</w:t>
      </w:r>
    </w:p>
    <w:p>
      <w:pPr>
        <w:spacing w:after="0" w:line="121" w:lineRule="exact"/>
        <w:rPr>
          <w:sz w:val="20"/>
          <w:szCs w:val="20"/>
          <w:color w:val="auto"/>
        </w:rPr>
      </w:pPr>
    </w:p>
    <w:p>
      <w:pPr>
        <w:jc w:val="both"/>
        <w:ind w:left="520" w:right="280"/>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affect the conversion of all outstanding shares of convertible preferred stock, of which, there are none, plus options granted and available for grant under the incentive plans.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306,456</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306,456</w:t>
            </w: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Outstanding and issued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1,950,953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1,930,752</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Shares reserved for future option grants </w:t>
            </w:r>
            <w:r>
              <w:rPr>
                <w:rFonts w:ascii="Arial" w:cs="Arial" w:eastAsia="Arial" w:hAnsi="Arial"/>
                <w:sz w:val="15"/>
                <w:szCs w:val="15"/>
                <w:color w:val="auto"/>
              </w:rPr>
              <w:t>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3,086,049</w:t>
            </w:r>
          </w:p>
        </w:tc>
        <w:tc>
          <w:tcPr>
            <w:tcW w:w="2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2,162,037</w:t>
            </w:r>
          </w:p>
        </w:tc>
        <w:tc>
          <w:tcPr>
            <w:tcW w:w="8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 common stock reserved for issuance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5,343,458</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4,399,245</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20" w:hanging="519"/>
        <w:spacing w:after="0" w:line="264" w:lineRule="auto"/>
        <w:tabs>
          <w:tab w:leader="none" w:pos="104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Company incorrectly understated its shares reserved for future option grants by 1,890,547 in its annual report on Form 10-K for the year ended December 31, 2017. The Company disclosed 271,490 shares reserved for future option grants at December 31, 2017, instead of 2,162,037 shares reserved for future option grants (as shown in the table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left="1040"/>
        <w:spacing w:after="0"/>
        <w:rPr>
          <w:sz w:val="20"/>
          <w:szCs w:val="20"/>
          <w:color w:val="auto"/>
        </w:rPr>
      </w:pPr>
      <w:r>
        <w:rPr>
          <w:rFonts w:ascii="Arial" w:cs="Arial" w:eastAsia="Arial" w:hAnsi="Arial"/>
          <w:sz w:val="16"/>
          <w:szCs w:val="16"/>
          <w:color w:val="auto"/>
        </w:rPr>
        <w:t>The error in disclosure had no impact on previously reported consolidated financial statements as of and for the year ended December 31, 2017.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and 2015 Plan</w:t>
      </w:r>
    </w:p>
    <w:p>
      <w:pPr>
        <w:spacing w:after="0" w:line="117"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The Company granted incentive stock options (ISOs) and non-statutory stock options (NSOs) pursuant to its 2005 Stock Option Plan (the 2005 Plan) until the Board of Directors approved the 2015 Stock Option Plan (the 2015 Plan), and all remaining shares available for future award under the 2005 Plan were transferred to the 2015 Plan and the 2005 Plan was terminated. The Company granted ISOs and NSOs pursuant to its 2015 Plan until the 2017 Equity Incentive Plan (the 2017 Plan) was approved by the Board of Directors and became effective on October 11, 2017. As a result of the 2017 Plan becoming effective, all remaining shares available for future award under the 2015 Plan were transferred to the 2017 Plan, the 2015 Plan was terminated, and no further grants will be made under the Company’s 2005 Plan and the 2015 Plan. Any outstanding stock awards granted under the 2005 Plan and the 2015 Plan will remain outstanding, subject to the terms of the Company’s 2005 Plan and 2015 Plan and the applicable stock award agreements, until such outstanding stock awards that are stock options are exercised or until they terminate or expire by their terms, or until such stock awards are fully settled, terminated or forfeited.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ind w:left="520" w:right="240"/>
        <w:spacing w:after="0" w:line="264" w:lineRule="auto"/>
        <w:rPr>
          <w:sz w:val="20"/>
          <w:szCs w:val="20"/>
          <w:color w:val="auto"/>
        </w:rPr>
      </w:pPr>
      <w:r>
        <w:rPr>
          <w:rFonts w:ascii="Arial" w:cs="Arial" w:eastAsia="Arial" w:hAnsi="Arial"/>
          <w:sz w:val="18"/>
          <w:szCs w:val="18"/>
          <w:color w:val="auto"/>
        </w:rPr>
        <w:t>The Company’s 2017 Plan provides for the grant of ISOs,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w:t>
      </w:r>
    </w:p>
    <w:p>
      <w:pPr>
        <w:spacing w:after="0" w:line="208"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Company recognized stock-based compensation expense for its employees and non-employees in the accompanying consolidated statements of operations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20" w:type="dxa"/>
            <w:vAlign w:val="bottom"/>
            <w:tcBorders>
              <w:bottom w:val="single" w:sz="8" w:color="CFF0FC"/>
            </w:tcBorders>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2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2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The estimated grant-date fair value of all of the Company’s stock-based awards was calculated using the Black-Scholes-Merton option pricing model, based on the following assumptions: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26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r>
      <w:tr>
        <w:trPr>
          <w:trHeight w:val="171"/>
        </w:trPr>
        <w:tc>
          <w:tcPr>
            <w:tcW w:w="708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34"/>
              <w:spacing w:after="0" w:line="155" w:lineRule="exact"/>
              <w:rPr>
                <w:sz w:val="20"/>
                <w:szCs w:val="20"/>
                <w:color w:val="auto"/>
              </w:rPr>
            </w:pPr>
            <w:r>
              <w:rPr>
                <w:rFonts w:ascii="Arial" w:cs="Arial" w:eastAsia="Arial" w:hAnsi="Arial"/>
                <w:sz w:val="14"/>
                <w:szCs w:val="14"/>
                <w:b w:val="1"/>
                <w:bCs w:val="1"/>
                <w:color w:val="auto"/>
                <w:w w:val="89"/>
              </w:rPr>
              <w:t>2017</w:t>
            </w: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420" w:type="dxa"/>
            <w:vAlign w:val="bottom"/>
            <w:shd w:val="clear" w:color="auto" w:fill="CFF0FC"/>
          </w:tcPr>
          <w:p>
            <w:pPr>
              <w:jc w:val="right"/>
              <w:ind w:right="478"/>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right="534"/>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center"/>
              <w:ind w:right="534"/>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55.5%</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right="534"/>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center"/>
              <w:ind w:right="534"/>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5620" w:right="5120" w:hanging="5038"/>
        <w:spacing w:after="0" w:line="838" w:lineRule="auto"/>
        <w:tabs>
          <w:tab w:leader="none" w:pos="7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stock options were issued during the three months ended March 31, 2017.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2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2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233,600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(105,874)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(107,525)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March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1,950,953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 March 31, 2018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1,742,479</w:t>
            </w:r>
          </w:p>
        </w:tc>
        <w:tc>
          <w:tcPr>
            <w:tcW w:w="14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FF0FC"/>
            </w:tcBorders>
          </w:tcPr>
          <w:p>
            <w:pPr>
              <w:spacing w:after="0"/>
              <w:rPr>
                <w:sz w:val="23"/>
                <w:szCs w:val="23"/>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FF0FC"/>
            </w:tcBorders>
          </w:tcPr>
          <w:p>
            <w:pPr>
              <w:spacing w:after="0"/>
              <w:rPr>
                <w:sz w:val="23"/>
                <w:szCs w:val="23"/>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 March 31, 2018</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941,344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The weighted-average grant date fair value of options granted was $2.75 per share for three months ended March 31, 2018. There were no options granted for the three months ended March 31,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intrinsic value of options exercised was $14.8 and $0 for three months ended March 31, 2018 and 2017, respectively.</w:t>
      </w:r>
    </w:p>
    <w:p>
      <w:pPr>
        <w:spacing w:after="0" w:line="225"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Unamortized stock-based compensation was $1.200 as of March 31, 2018, which is expected to be recognized over a weighted-average period of approximately 3.10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The Company generated a loss for the three months ended March 31, 2018 and incurred $13.0 of tax expense for the three months ended March 31, 2018. The Company’s effective tax rate is (0.17)% for income tax for the three months ended March 31, 2018 and the Company expects that its effective tax rate for the full year 2018 will be (0.17)%. Based on available evidence, including cumulative losses since inception and expected future losses, the Company has determined that it is more likely than not that the Company’s U.S. federal, U.S. state and Korea deferred tax assets will not be realized and therefore a valuation allowance has been provided on these net deferred tax assets.</w:t>
      </w:r>
    </w:p>
    <w:p>
      <w:pPr>
        <w:spacing w:after="0" w:line="173"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Company has substantial net operating loss carry forwards available to offset future taxable income for U.S. federal and state income tax purposes. The Company’s ability to utilize its net operating losses may be limited due to changes in its ownership as defined by Section 382 of the Internal Revenue Code (the Code). Under the provisions of Sections 382 and 383 of the Code, a change of control, as defined in the Code, may impose an annual limitation on the amount of the Company’s net operating loss and tax credit carryforwards, and other tax attributes that can be used to reduce future tax liabilities.</w:t>
      </w:r>
    </w:p>
    <w:p>
      <w:pPr>
        <w:spacing w:after="0" w:line="188"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The Company files tax returns for U.S. federal and state tax returns along with tax returns in the United Kingdom, Hong Kong, Spain and South Korea. The Company is not currently subject to any income tax examinations. Since the Company’s inception, the Company had incurred losses from its U.S. operations, which generally allows all tax years to remain open.</w:t>
      </w:r>
    </w:p>
    <w:p>
      <w:pPr>
        <w:spacing w:after="0" w:line="181"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Beginning in first quarter of 2018, the Company is subject to new provisions of the tax law, including provisions related to Global Low Taxed Intangible Income (GILTI), Foreign Derived Intangible Income deductions (FDII), and other changes. However, due to the Company’s losses and full valuation allowance in the U.S., these were determined to have no material impact to the Estimated Annual Effective Tax Rate due to the full Valuation Allowance in the U.S.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82828"/>
        </w:rPr>
        <w:t>Uncertain Tax Positions</w:t>
      </w:r>
    </w:p>
    <w:p>
      <w:pPr>
        <w:spacing w:after="0" w:line="117"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Effective January 1, 2009, the Company adopted ASC 740-10, which requires that the Company recognize the financial statement effects of a tax position when it becomes more likely than not, based upon the technical merits, that the position will be sustained upon examination. The gross amount of unrecognized tax benefits as of March 31, 2018 is approximately $1,400 and related to the reserve on R&amp;D credits, none of which will affect the effective tax rate if recognized due to the valuation allowance. The Company does not expect any material changes in the next 12 months in unrecognized tax benefits.</w:t>
      </w:r>
    </w:p>
    <w:p>
      <w:pPr>
        <w:spacing w:after="0" w:line="188" w:lineRule="exact"/>
        <w:rPr>
          <w:sz w:val="20"/>
          <w:szCs w:val="20"/>
          <w:color w:val="auto"/>
        </w:rPr>
      </w:pPr>
    </w:p>
    <w:p>
      <w:pPr>
        <w:ind w:left="520" w:right="420"/>
        <w:spacing w:after="0" w:line="312" w:lineRule="auto"/>
        <w:rPr>
          <w:sz w:val="20"/>
          <w:szCs w:val="20"/>
          <w:color w:val="auto"/>
        </w:rPr>
      </w:pPr>
      <w:r>
        <w:rPr>
          <w:rFonts w:ascii="Arial" w:cs="Arial" w:eastAsia="Arial" w:hAnsi="Arial"/>
          <w:sz w:val="16"/>
          <w:szCs w:val="16"/>
          <w:color w:val="auto"/>
        </w:rPr>
        <w:t>The Company recognizes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The Company currently has no interest and penalties related to uncertain tax positions.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Company has determined that it operates in a single operating segment and has one reportable segment, as its Chief Executive Officer,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revenue by geographic area by customer location: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26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Europe and Middle East</w:t>
            </w:r>
          </w:p>
        </w:tc>
        <w:tc>
          <w:tcPr>
            <w:tcW w:w="2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6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26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6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2018, and December 31, 2017, all long-lived assets were located within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On May 10, 2018, the Company entered into a Loan and Security Agreement with Solar Capital Ltd. and certain other lenders (collectively, the “Lenders”) thereunder (the “Solar Agreement”). Under the terms of the Solar Agreement, the Company borrowed $20,000 with an interest rate at U.S. Dollar LIBOR plus 7.95% per annum. All amounts borrowed pursuant to the Solar Agreement are secured by liens on all personal property of the Company, excluding intellectual property. Monthly payments on any amounts drawn shall consist of the interest only payments for the first 18 months, followed by payments of principal and accrued interest on a monthly basis thereafter until April 2022, which is the four year anniversary of the date of the Solar Agreement. In connection with the Solar Agreement, the Company issued to the Lenders warrants to purchase an aggregate of 161,725 shares of its common stock exercisable at a price of $3.71 per share.</w:t>
      </w:r>
    </w:p>
    <w:p>
      <w:pPr>
        <w:spacing w:after="0" w:line="178"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The Company used approximately $10,100 of the net proceeds to repay the entire outstanding principal balance and accrued interest under its existing loan agreement with Oxford Finance LLC and terminated the loan agreement with Oxford.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and with our audited financial statements and notes thereto in the Company’s Annual Report filed on Form 10-K for the year ended December 31, 2017, filed with the Securities and Exchange Commission (SEC) and other filings we have made with the SEC.</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identified herein, and those discussed in the section titled “Risk Factors,” set forth in Part II, Item 1A of this Form 10-Q and in our other SEC filings, including the Prospectus. You should review the risk factors for a more complete understanding of the risks associated with an investment in our securities. We disclaim any obligation to update any forward-looking statements to reflect events or circumstances after the date of such statements. Therefore, you should not rely on these forward-looking statements as representing our views as of any date subsequent to the date of this Quarterly Report on Form 10-Q. Our fiscal year end is December 31, and references throughout this Quarterly Report on Form 10-Q to a given fiscal year are to the twelve months ended on that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medical technology company developing and commercializing a robotic device, the ARTAS</w:t>
      </w:r>
      <w:r>
        <w:rPr>
          <w:rFonts w:ascii="Arial" w:cs="Arial" w:eastAsia="Arial" w:hAnsi="Arial"/>
          <w:sz w:val="14"/>
          <w:szCs w:val="14"/>
          <w:color w:val="auto"/>
        </w:rPr>
        <w:t>®</w:t>
      </w:r>
      <w:r>
        <w:rPr>
          <w:rFonts w:ascii="Arial" w:cs="Arial" w:eastAsia="Arial" w:hAnsi="Arial"/>
          <w:sz w:val="17"/>
          <w:szCs w:val="17"/>
          <w:color w:val="auto"/>
        </w:rPr>
        <w:t xml:space="preserve"> System, which assists physicians in performing many of the repetitive tasks that are a part of a follicular unit extraction, or FUE surgery, a type of hair restoration procedure. We believe the ARTAS</w:t>
      </w:r>
      <w:r>
        <w:rPr>
          <w:rFonts w:ascii="Arial" w:cs="Arial" w:eastAsia="Arial" w:hAnsi="Arial"/>
          <w:sz w:val="14"/>
          <w:szCs w:val="14"/>
          <w:color w:val="auto"/>
        </w:rPr>
        <w:t>®</w:t>
      </w:r>
      <w:r>
        <w:rPr>
          <w:rFonts w:ascii="Arial" w:cs="Arial" w:eastAsia="Arial" w:hAnsi="Arial"/>
          <w:sz w:val="17"/>
          <w:szCs w:val="17"/>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Arial" w:cs="Arial" w:eastAsia="Arial" w:hAnsi="Arial"/>
          <w:sz w:val="14"/>
          <w:szCs w:val="14"/>
          <w:color w:val="auto"/>
        </w:rPr>
        <w:t>®</w:t>
      </w:r>
      <w:r>
        <w:rPr>
          <w:rFonts w:ascii="Arial" w:cs="Arial" w:eastAsia="Arial" w:hAnsi="Arial"/>
          <w:sz w:val="17"/>
          <w:szCs w:val="17"/>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4"/>
          <w:szCs w:val="14"/>
          <w:color w:val="auto"/>
        </w:rPr>
        <w:t>®</w:t>
      </w:r>
      <w:r>
        <w:rPr>
          <w:rFonts w:ascii="Arial" w:cs="Arial" w:eastAsia="Arial" w:hAnsi="Arial"/>
          <w:sz w:val="17"/>
          <w:szCs w:val="17"/>
          <w:color w:val="auto"/>
        </w:rPr>
        <w:t xml:space="preserve"> System in the U.S., and we have sold the ARTAS</w:t>
      </w:r>
      <w:r>
        <w:rPr>
          <w:rFonts w:ascii="Arial" w:cs="Arial" w:eastAsia="Arial" w:hAnsi="Arial"/>
          <w:sz w:val="14"/>
          <w:szCs w:val="14"/>
          <w:color w:val="auto"/>
        </w:rPr>
        <w:t>®</w:t>
      </w:r>
      <w:r>
        <w:rPr>
          <w:rFonts w:ascii="Arial" w:cs="Arial" w:eastAsia="Arial" w:hAnsi="Arial"/>
          <w:sz w:val="17"/>
          <w:szCs w:val="17"/>
          <w:color w:val="auto"/>
        </w:rPr>
        <w:t xml:space="preserve"> System into 29 other countries. In March 2018, we received 510(k) clearance from the FDA to expand the ARTAS</w:t>
      </w:r>
      <w:r>
        <w:rPr>
          <w:rFonts w:ascii="Arial" w:cs="Arial" w:eastAsia="Arial" w:hAnsi="Arial"/>
          <w:sz w:val="14"/>
          <w:szCs w:val="14"/>
          <w:color w:val="auto"/>
        </w:rPr>
        <w:t>®</w:t>
      </w:r>
      <w:r>
        <w:rPr>
          <w:rFonts w:ascii="Arial" w:cs="Arial" w:eastAsia="Arial" w:hAnsi="Arial"/>
          <w:sz w:val="17"/>
          <w:szCs w:val="17"/>
          <w:color w:val="auto"/>
        </w:rPr>
        <w:t xml:space="preserve"> technology to include implantation and plan to begin offering this additional functionality before the end of 2018. As of March 31, 2018, we have sold 97 ARTAS Systems in the U.S. and 164 internationally. As of March 31, 2018, the ARTAS</w:t>
      </w:r>
      <w:r>
        <w:rPr>
          <w:rFonts w:ascii="Arial" w:cs="Arial" w:eastAsia="Arial" w:hAnsi="Arial"/>
          <w:sz w:val="14"/>
          <w:szCs w:val="14"/>
          <w:color w:val="auto"/>
        </w:rPr>
        <w:t>®</w:t>
      </w:r>
      <w:r>
        <w:rPr>
          <w:rFonts w:ascii="Arial" w:cs="Arial" w:eastAsia="Arial" w:hAnsi="Arial"/>
          <w:sz w:val="17"/>
          <w:szCs w:val="17"/>
          <w:color w:val="auto"/>
        </w:rPr>
        <w:t xml:space="preserve"> System and ARTAS Hair Studio application are protected by over 80 patents in the U.S. and over 110 international patents.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October 11, 2017, our Registration Statement on Form S-1 (File No. 333-220303) relating to our initial public offering (IPO) of its common stock was declared effective by the Securities and Exchange Commission (SEC). Pursuant to such Registration Statement, we sold an aggregate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private placements of our equity securities and, to a lesser extent, through debt financings, exercises of our common stock warrants and payments from our customers. As of March 31, 2018, we had cash and cash equivalents of $16.5 million.</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May 10, 2018, we entered into a Loan and Security Agreement with Solar Capital Ltd. and certain other Lenders thereunder, or the Solar Agreement. Pursuant to the terms of the Solar Agreement, we borrowed $20.0 million with an interest rate at U.S. Dollar LIBOR plus 7.95% per annum. All amounts borrowed under the Solar Agreement are secured by liens over all personal property of the Company, excluding intellectual property. Monthly payments on any amounts drawn shall consist of the interest only payments for the first 18 months, followed by payments of principal and accrued interest monthly thereafter until the four-year anniversary of the date of the Solar Agreement. In connection with the Solar Agreement, we granted the Lenders warrants to purchase an aggregate of 161,725 shares of our common stock exercisable at a price of $3.71 per share.</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used approximately $10.1 million of the net proceeds to repay the entire outstanding principal balance and accrued interest under our existing loan agreement with Oxford Finance, LLC and terminated our loan agreement with Oxford.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Adoption of the ARTAS System</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growth of our business depends on our ability to gain broader acceptance of the ARTAS System and the ARTAS procedure by successfully marketing and distributing the ARTAS System and the ARTAS procedure. If we are unable to successfully commercialize our ARTAS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new leadership team,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are increasing the size of our U.S. sales force by hiring sales professionals with extensive experience selling capital equipment and equipment to physicians in the aesthetic market. 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While we increased revenue in 2017 because of increased unit sales, these sales initiatives have also increased our sales and marketing expenses. Furthermore, we anticipate as we continue to advance the commercialization of the ARTAS System, our sales and marketing expenses will continue to increase in the near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by category:</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44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20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2,005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2,880</w:t>
            </w:r>
          </w:p>
        </w:tc>
        <w:tc>
          <w:tcPr>
            <w:tcW w:w="8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Procedure-based</w:t>
            </w:r>
          </w:p>
        </w:tc>
        <w:tc>
          <w:tcPr>
            <w:tcW w:w="2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2,473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2,091</w:t>
            </w:r>
          </w:p>
        </w:tc>
        <w:tc>
          <w:tcPr>
            <w:tcW w:w="8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Service related fees</w:t>
            </w:r>
          </w:p>
        </w:tc>
        <w:tc>
          <w:tcPr>
            <w:tcW w:w="20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FF0FC"/>
          </w:tcPr>
          <w:p>
            <w:pPr>
              <w:spacing w:after="0"/>
              <w:rPr>
                <w:sz w:val="19"/>
                <w:szCs w:val="19"/>
                <w:color w:val="auto"/>
              </w:rPr>
            </w:pPr>
          </w:p>
        </w:tc>
      </w:tr>
      <w:tr>
        <w:trPr>
          <w:trHeight w:val="223"/>
        </w:trPr>
        <w:tc>
          <w:tcPr>
            <w:tcW w:w="34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04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5,005</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5,475</w:t>
            </w: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 Systems and procedure-based fees.</w:t>
      </w:r>
    </w:p>
    <w:p>
      <w:pPr>
        <w:spacing w:after="0" w:line="117" w:lineRule="exact"/>
        <w:rPr>
          <w:sz w:val="20"/>
          <w:szCs w:val="20"/>
          <w:color w:val="auto"/>
        </w:rPr>
      </w:pPr>
    </w:p>
    <w:p>
      <w:pPr>
        <w:ind w:left="1040" w:right="60" w:hanging="519"/>
        <w:spacing w:after="0" w:line="273" w:lineRule="auto"/>
        <w:tabs>
          <w:tab w:leader="none" w:pos="104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 xml:space="preserve">Revenue from systems for the three months ended March 31, 2018 decreased as compared to the same period in </w:t>
      </w:r>
      <w:r>
        <w:rPr>
          <w:rFonts w:ascii="Arial" w:cs="Arial" w:eastAsia="Arial" w:hAnsi="Arial"/>
          <w:sz w:val="17"/>
          <w:szCs w:val="17"/>
          <w:color w:val="000000"/>
        </w:rPr>
        <w:t>2017 primarily related to a</w:t>
      </w:r>
      <w:r>
        <w:rPr>
          <w:rFonts w:ascii="Arial" w:cs="Arial" w:eastAsia="Arial" w:hAnsi="Arial"/>
          <w:sz w:val="17"/>
          <w:szCs w:val="17"/>
          <w:color w:val="231F20"/>
        </w:rPr>
        <w:t xml:space="preserve"> </w:t>
      </w:r>
      <w:r>
        <w:rPr>
          <w:rFonts w:ascii="Arial" w:cs="Arial" w:eastAsia="Arial" w:hAnsi="Arial"/>
          <w:sz w:val="17"/>
          <w:szCs w:val="17"/>
          <w:color w:val="000000"/>
        </w:rPr>
        <w:t xml:space="preserve">decrease in the number of ARTAS systems sold. </w:t>
      </w:r>
      <w:r>
        <w:rPr>
          <w:rFonts w:ascii="Arial" w:cs="Arial" w:eastAsia="Arial" w:hAnsi="Arial"/>
          <w:sz w:val="17"/>
          <w:szCs w:val="17"/>
          <w:color w:val="231F20"/>
        </w:rPr>
        <w:t>We believe the decrease in system revenue was largely due to ongoing implementation of our</w:t>
      </w:r>
      <w:r>
        <w:rPr>
          <w:rFonts w:ascii="Arial" w:cs="Arial" w:eastAsia="Arial" w:hAnsi="Arial"/>
          <w:sz w:val="17"/>
          <w:szCs w:val="17"/>
          <w:color w:val="000000"/>
        </w:rPr>
        <w:t xml:space="preserve"> </w:t>
      </w:r>
      <w:r>
        <w:rPr>
          <w:rFonts w:ascii="Arial" w:cs="Arial" w:eastAsia="Arial" w:hAnsi="Arial"/>
          <w:sz w:val="17"/>
          <w:szCs w:val="17"/>
          <w:color w:val="231F20"/>
        </w:rPr>
        <w:t>new sales strategy, which has not taken full effect given the recent key hires within the Company, including our new Vice President of Sales who joined in February 2018, and the weaker than expected performance in the EMEA region. In addition, we believe the decrease in revenue from systems may be caused by our recent announcement of FDA 510(k) clearance for the implantation functionality during the quarter, which may result in delayed timing of customer purchases of ARTAS Systems.</w:t>
      </w:r>
    </w:p>
    <w:p>
      <w:pPr>
        <w:spacing w:after="0" w:line="70" w:lineRule="exact"/>
        <w:rPr>
          <w:rFonts w:ascii="Arial" w:cs="Arial" w:eastAsia="Arial" w:hAnsi="Arial"/>
          <w:sz w:val="17"/>
          <w:szCs w:val="17"/>
          <w:color w:val="231F20"/>
        </w:rPr>
      </w:pPr>
    </w:p>
    <w:p>
      <w:pPr>
        <w:ind w:left="1040" w:right="400" w:hanging="519"/>
        <w:spacing w:after="0" w:line="259"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Revenue from procedure-based fees increased for the three months ended March 31, 2018 as compared to the same period in 2017. While revenue from procedure-based fees increased between these periods, the total number of procedures performed by our customers on their patients did not increase proportionally to our revenue from procedure base fees due to the timing of when we sold the procedures to our customers versus when procedures are utilized.</w:t>
      </w:r>
    </w:p>
    <w:p>
      <w:pPr>
        <w:spacing w:after="0" w:line="78" w:lineRule="exact"/>
        <w:rPr>
          <w:rFonts w:ascii="Arial" w:cs="Arial" w:eastAsia="Arial" w:hAnsi="Arial"/>
          <w:sz w:val="18"/>
          <w:szCs w:val="18"/>
          <w:color w:val="231F20"/>
        </w:rPr>
      </w:pPr>
    </w:p>
    <w:p>
      <w:pPr>
        <w:ind w:left="1040" w:hanging="519"/>
        <w:spacing w:after="0"/>
        <w:tabs>
          <w:tab w:leader="none" w:pos="104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Service-related fees were relatively unchanged for the three months ended March 31, 2018 as compared to the same period in 2017.</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ind w:right="100"/>
        <w:spacing w:after="0" w:line="272" w:lineRule="auto"/>
        <w:rPr>
          <w:sz w:val="20"/>
          <w:szCs w:val="20"/>
          <w:color w:val="auto"/>
        </w:rPr>
      </w:pPr>
      <w:r>
        <w:rPr>
          <w:rFonts w:ascii="Arial" w:cs="Arial" w:eastAsia="Arial" w:hAnsi="Arial"/>
          <w:sz w:val="17"/>
          <w:szCs w:val="17"/>
          <w:color w:val="231F20"/>
        </w:rPr>
        <w:t>Historically, the majority of our revenue and our revenue growth has been generated through system sales. While we would expect our procedure-based fees to continue to increase as our installed base of ARTAS Systems grows worldwide, the total number of procedures has not increased proportionally with the increase in our installed base and the number of procedures performed tends to vary from quarter-to-quarter. We sold eight ARTAS Systems during the three months ended March 31, 2018, representing an aggregate installed base growth of 3.2% from December 31, 2017, or 253 to 261 systems, yet our procedure-based fees increased by 18% compared to the same period in 2017. While procedure-based fees increased more than the installed base of ARTAS Systems during the aforementioned periods, we believe that revenue from procedure-based fees may not grow proportionally as compared to the increase in our installed base and that it could vary from quarter-to-quarter due to a number factors, including:</w:t>
      </w:r>
    </w:p>
    <w:p>
      <w:pPr>
        <w:spacing w:after="0" w:line="70" w:lineRule="exact"/>
        <w:rPr>
          <w:sz w:val="20"/>
          <w:szCs w:val="20"/>
          <w:color w:val="auto"/>
        </w:rPr>
      </w:pPr>
    </w:p>
    <w:p>
      <w:pPr>
        <w:ind w:left="1040" w:right="300" w:hanging="519"/>
        <w:spacing w:after="0" w:line="264" w:lineRule="auto"/>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 System,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ind w:left="1040" w:right="360" w:hanging="519"/>
        <w:spacing w:after="0" w:line="342" w:lineRule="auto"/>
        <w:tabs>
          <w:tab w:leader="none" w:pos="104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capacity limitations with the current installed base of ARTAS Systems, which can result in procedure-based fees not growing as quickly as system sales, as high performing practitioners are limited in the number of procedures that can be performed in any given period;</w:t>
      </w:r>
    </w:p>
    <w:p>
      <w:pPr>
        <w:spacing w:after="0" w:line="15" w:lineRule="exact"/>
        <w:rPr>
          <w:rFonts w:ascii="Arial" w:cs="Arial" w:eastAsia="Arial" w:hAnsi="Arial"/>
          <w:sz w:val="16"/>
          <w:szCs w:val="16"/>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limited or no utilization of the ARTAS System after purchase because of a change in physician preference or practice; and</w:t>
      </w:r>
    </w:p>
    <w:p>
      <w:pPr>
        <w:spacing w:after="0" w:line="117" w:lineRule="exact"/>
        <w:rPr>
          <w:rFonts w:ascii="Arial" w:cs="Arial" w:eastAsia="Arial" w:hAnsi="Arial"/>
          <w:sz w:val="18"/>
          <w:szCs w:val="18"/>
          <w:color w:val="231F20"/>
        </w:rPr>
      </w:pPr>
    </w:p>
    <w:p>
      <w:pPr>
        <w:ind w:left="1040" w:right="40" w:hanging="519"/>
        <w:spacing w:after="0" w:line="342" w:lineRule="auto"/>
        <w:tabs>
          <w:tab w:leader="none" w:pos="104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the concentration of ARTAS procedures being performed on a limited number of ARTAS Systems leading to volatility between periods if particular high-volume practitioners perform a smaller number of procedures in a given period which often happens during the summer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order to increase the number of procedures performed per ARTAS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 System. If these efforts are successful, we anticipate that the growth in procedure-based fees will increase and that quarterly fluctuations in the number of total procedures performed will be reduced.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in Revenue from Markets Outside the U.S.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 xml:space="preserve">Since launching the ARTAS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Arial" w:cs="Arial" w:eastAsia="Arial" w:hAnsi="Arial"/>
          <w:sz w:val="18"/>
          <w:szCs w:val="18"/>
          <w:color w:val="000000"/>
        </w:rPr>
        <w:t>Portugal, the Netherlands</w:t>
      </w:r>
      <w:r>
        <w:rPr>
          <w:rFonts w:ascii="Arial" w:cs="Arial" w:eastAsia="Arial" w:hAnsi="Arial"/>
          <w:sz w:val="18"/>
          <w:szCs w:val="18"/>
          <w:color w:val="231F20"/>
        </w:rPr>
        <w:t xml:space="preserve"> and through distributors in the other countries. We obtained clearance to sell in China in September 2016.</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Revenue from markets outside of the U.S accounted for 55% of our total revenue in the first quarter of 2018, relatively unchanged from the same period in 2017. Although we will continue to invest resources outside of the U.S., including expansions into new international markets, we anticipate that the strategic shift in our sales strategy towards the U.S. market will impact the revenue mix between the U.S. and non-U.S. markets. However, the strategic shift may not take full effect until after December 31, 2018 due to the recent onboarding of our new Vice President of Sales and the anticipated expansion of our Regional Sales Managers throughout 2018.</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ARTAS System unit sales declined in the first quarter of 2018 relative to the first quarter of 2017 because of decreased unit sales in the U.S., Europe and Middle East and Asia Pacific regions, partially offset by increased units in the rest of the world region as well as increased procedure-based fees internationally.</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We expect our operating expenses to increase because of increased sales and marketing activity to promote penetration in markets outside the U.S. where we already sell the ARTAS System and geographic expansion into new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and unanticipated interruptions and expenses related to our operations. In addition, due to the long lead time to finalize ARTAS System unit sales with our physician customers, and the significant impact each unit sale has on a period’s revenue due to the price of each unit, our quarterly revenue may not be comparable from one period to another.</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Quarterly Report on Form 10-Q.</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and 2017:</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March 3,</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w w:val="98"/>
              </w:rPr>
              <w:t>(dollars in thousands)</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(470)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r>
      <w:tr>
        <w:trPr>
          <w:trHeight w:val="230"/>
        </w:trPr>
        <w:tc>
          <w:tcPr>
            <w:tcW w:w="414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4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(2,616)</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414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r>
      <w:tr>
        <w:trPr>
          <w:trHeight w:val="230"/>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r>
      <w:tr>
        <w:trPr>
          <w:trHeight w:val="22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10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4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(49)</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provision for income taxes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w:t>
            </w:r>
          </w:p>
        </w:tc>
      </w:tr>
      <w:tr>
        <w:trPr>
          <w:trHeight w:val="20"/>
        </w:trPr>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231F20"/>
        </w:rPr>
        <w:t xml:space="preserve">Revenue, Net. </w:t>
      </w:r>
      <w:r>
        <w:rPr>
          <w:rFonts w:ascii="Arial" w:cs="Arial" w:eastAsia="Arial" w:hAnsi="Arial"/>
          <w:sz w:val="17"/>
          <w:szCs w:val="17"/>
          <w:color w:val="231F20"/>
        </w:rPr>
        <w:t>Revenue decreased $0.5 million, or 9%, for the three months ended March 31, 2018, compared to the same period in 2017. The overall</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decrease in revenue was primarily due to a decrease in system revenue of $0.9 million, or 30%, for the three months ended March 31, 2018, compared to </w:t>
      </w:r>
      <w:r>
        <w:rPr>
          <w:rFonts w:ascii="Arial" w:cs="Arial" w:eastAsia="Arial" w:hAnsi="Arial"/>
          <w:sz w:val="17"/>
          <w:szCs w:val="17"/>
          <w:color w:val="000000"/>
        </w:rPr>
        <w:t>the</w:t>
      </w:r>
      <w:r>
        <w:rPr>
          <w:rFonts w:ascii="Arial" w:cs="Arial" w:eastAsia="Arial" w:hAnsi="Arial"/>
          <w:sz w:val="17"/>
          <w:szCs w:val="17"/>
          <w:color w:val="231F20"/>
        </w:rPr>
        <w:t xml:space="preserve"> </w:t>
      </w:r>
      <w:r>
        <w:rPr>
          <w:rFonts w:ascii="Arial" w:cs="Arial" w:eastAsia="Arial" w:hAnsi="Arial"/>
          <w:sz w:val="17"/>
          <w:szCs w:val="17"/>
          <w:color w:val="000000"/>
        </w:rPr>
        <w:t xml:space="preserve">same period in 2017. The decrease in system revenue was due to decreased unit volume, as we sold eight systems for the three months ended March 31, 2018, compared to 13 systems in the same period in 2017. The decrease was partially offset by an increase of $0.4 million from procedures-based fees and service-related fees. The increase in procedures-based fees and service-related fees was a result of an increased number of ARTAS </w:t>
      </w:r>
      <w:r>
        <w:rPr>
          <w:rFonts w:ascii="Arial" w:cs="Arial" w:eastAsia="Arial" w:hAnsi="Arial"/>
          <w:sz w:val="17"/>
          <w:szCs w:val="17"/>
          <w:color w:val="231F20"/>
        </w:rPr>
        <w:t>procedures performed</w:t>
      </w:r>
      <w:r>
        <w:rPr>
          <w:rFonts w:ascii="Arial" w:cs="Arial" w:eastAsia="Arial" w:hAnsi="Arial"/>
          <w:sz w:val="17"/>
          <w:szCs w:val="17"/>
          <w:color w:val="000000"/>
        </w:rPr>
        <w:t xml:space="preserve"> </w:t>
      </w:r>
      <w:r>
        <w:rPr>
          <w:rFonts w:ascii="Arial" w:cs="Arial" w:eastAsia="Arial" w:hAnsi="Arial"/>
          <w:sz w:val="17"/>
          <w:szCs w:val="17"/>
          <w:color w:val="231F20"/>
        </w:rPr>
        <w:t>and, to a lesser extent, post-warranty maintenance contracts during the period.</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Gross margin decreased to 36% for the three months ended March 31, 2018, compared to 44% for the same period in 2017. The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gross margin was primarily due to a charge related to certain excess inventory components procured or expected to be procured for our ARTAS System by our third-party manufacturer. In March 2018, we received U.S. FDA 510(k) clearance to expand the ARTAS System technology to include an implantation functionality. Based on manufacturing changes associated with the ARTAS system, we determined that certain components procured or expected to be procured by Evolve Manufacturing Technologies, Inc., our single third-party manufacturer, who assemble the ARTAS Systems, will be in excess of expected demand or usage. As a result, we recorded a loss contingency accrual of approximately $715 thousand which is reported in cost of revenue. The decrease was partially offset by decreased product costs due to certain efficiencies and a higher percentage of revenue from procedure-based fees which generally has a higher gross margin than sale of our ARTAS Systems.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$0.4 million, or 11%, for the three months ended March 31, 2018,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2017. The increase was </w:t>
      </w:r>
      <w:r>
        <w:rPr>
          <w:rFonts w:ascii="Arial" w:cs="Arial" w:eastAsia="Arial" w:hAnsi="Arial"/>
          <w:sz w:val="18"/>
          <w:szCs w:val="18"/>
          <w:color w:val="231F20"/>
        </w:rPr>
        <w:t>primarily</w:t>
      </w:r>
      <w:r>
        <w:rPr>
          <w:rFonts w:ascii="Arial" w:cs="Arial" w:eastAsia="Arial" w:hAnsi="Arial"/>
          <w:sz w:val="18"/>
          <w:szCs w:val="18"/>
          <w:color w:val="auto"/>
        </w:rPr>
        <w:t xml:space="preserve"> due to the growth in employee headcount to support our overall sales and marketing activities, including the ongoing commercialization efforts for the ARTAS System and the timing of expenditures for certain tradeshows in first quarter of 2018, which historically were held later in the calendar year.</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$0.2 million, or 11%, for the three months ended March 31,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The increase was primarily due to incremental outside services and consulting costs.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$1.4 million, or 154%, for the three months ended March 31,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2017. The increase was primarily the result of an increase in professional service costs, consisting of accounting, consulting, legal and other professional fees incurred in connection with our status as a public company following our IPO in October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1" w:name="page22"/>
    <w:bookmarkEnd w:id="21"/>
    <w:p>
      <w:pPr>
        <w:jc w:val="both"/>
        <w:ind w:right="38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$0.4 million and $0.6 million for the three months ended March 31, 2018 and 2017, respectively.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related to a reduction in the principal balance of our outstanding long-debt obligations as we repaid a portion of the principal on our outstanding credit facility with Oxford Finance, LLC (Oxford).</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decreased by $0.1 million for the three months ended March 31, 2018,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The decrease was attributable to the change in the fair value of our convertible preferred stock warrant liability in the first quarter of 2017. The convertible preferred stock warrant was converted into common stock warrants at the close of our IPO in October 2017.</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Provision for income tax: </w:t>
      </w:r>
      <w:r>
        <w:rPr>
          <w:rFonts w:ascii="Arial" w:cs="Arial" w:eastAsia="Arial" w:hAnsi="Arial"/>
          <w:sz w:val="18"/>
          <w:szCs w:val="18"/>
          <w:color w:val="auto"/>
        </w:rPr>
        <w:t>Our effective tax rate is (.17%) for income tax for the three months ended March 31, 2018 and we expect that our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full year 2018 will be (.17%). Based on available evidence, including cumulative losses since inception and expected future losses, we have determined that it is more likely than not that our U.S. federal, U.S. state and Korea deferred tax assets will not be realized and therefore a valuation allowance has been provided on the U.S. federal, U.S. state and Korea net deferred tax assets.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general, if we experience a greater than 50% aggregate change in ownership over a three-year period, utilization of our pre-change net operating loss, or NOL, and credit carryforwards are subject to an annual limitation under Sections 382 and 383 of the U.S. Internal Revenue Code, or the Code. Generally, U.S. states maintain similar laws or regulations as Sections 382 and 383 of the Code. The annual limitation generally is determined by multiplying the value of our stock at the time of such ownership change (subject to certain adjustments) by the applicable long-term tax-exempt rate. Such limitations may result in expiration of a portion of the NOL or tax credit carryforwards before utilization.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file tax returns for U.S. federal and state taxes along with tax returns in the United Kingdom, Hong Kong, Spain and South Korea. We are not currently subject to any income tax examinations. Since our inception, we have incurred losses from our U.S. operations, which generally allows all tax years to remain open.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recognize the financial statement effects of a tax position when it becomes more likely than not, based upon the technical merits, that the position will be sustained upon examination. We do not expect any material changes in the next 12 months in unrecognized tax benefits.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recognize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We currently have no interest and penalties related to uncertain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$7.4 million and $5.2 million for the three months ended March 31, 2018 and 2017, respectively. As of March 31, 2018, we had an accumulated deficit of $171.9 million. These factors raise substantial doubt about our ability to continue as a going concern. As of March 31, 2018, and December 31, 2017, we had cash and cash equivalents of $16.5 million and $23.5 million, respectively.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our IPO, we sold an aggregate of 3,897,910 shares of its common stock (inclusive of 322,910 shares of common stock from the exercise of the over-allotment option granted to the underwriters) at a price of $7.00 per share and we received aggregate cash proceeds of approximately $22.7 million, net of underwriting discounts and commissions, and offering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May 2015, we entered into a loan and security agreement with Oxford pursuant to which we borrowed $20 million. The loan will mature in July 2019. The loan with Oxford accrues interest at prime plus 8.5% per annum. Prior to January 1, 2017, only accrued interest on the borrowed amounts was due and payable monthly, with any outstanding accrued but unpaid interest being payable on the date we borrowed any additional amounts pursuant to the loan agreement if such funding date was not a regular interest payment date. Following January 1, 2017, the outstanding principal amounts on the borrowed amounts, plus accrued and unpaid interest, became due and payable in equal monthly amounts pursuant to a repayment schedule of 30 equal monthly payments such that all amounts outstanding will be repaid on or by July 1, 2019. Our obligations under the loan with Oxford are secured by all of our current and future assets, excluding any of our intellectual property. The outstanding principal balance on the Oxford loan was $11.3 million as of March 31, 2018. The loan agreement with Oxford contains various covenants. As of March 31, 2018, we were in compliance with all required covenants.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entire outstanding principal balance, including interest was paid off by us on May 10, 2018 in connection with the Solar Agreement.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May 10, 2018, we entered into a Loan and Security Agreement with Solar Capital Ltd. and certain other lenders thereunder. Pursuant to the terms of the Solar Agreement, we borrowed $20.0 million with an interest rate at U.S. Dollar LIBOR plus 7.95% per annum. All amounts borrowed under the Solar Agreement are secured by liens over all personal property of the Company, excluding intellectual property. Monthly payments on any amounts drawn shall consist of interest only payments for the first 18 months, followed by payments of principal and accrued interest monthly thereafter until the four-year anniversary of the date of the Solar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financed our operations principally through the issuance and sale of our common stock in our IPO, private placements of our capital stock, and to a lesser extent, secured debt financing and payments from customers. We believe that our existing cash and cash equivalents, cash expected to be generated from sales of our products and the net proceeds from the Solar Agreement following the repayment of the loan with Oxford, will not sufficient to fund our planned operations through the next 12 months. However, we will need additional capital to fund our future operations and we intend to obtain such capital through the sale of additional shares of capital stock or related securities.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Further, there can be no assurance that we will be able to raise additional funds on favorable terms, or at all. Our failure to raise additional capital would have a negative impact on our financial condition and our ability to execute our business plan.</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the ongoing commercialization of the ARTAS System, we are unable to estimate the exact amount of our operating capital requirements. Our future funding requirements will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degree and rate of market acceptance of the ARTAS System and the ARTAS procedure;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the research and development activities we intend to undertake in order to expand the approved indications of use for the ARTAS System;</w:t>
      </w:r>
    </w:p>
    <w:p>
      <w:pPr>
        <w:spacing w:after="0" w:line="140" w:lineRule="exact"/>
        <w:rPr>
          <w:rFonts w:ascii="Arial" w:cs="Arial" w:eastAsia="Arial" w:hAnsi="Arial"/>
          <w:sz w:val="16"/>
          <w:szCs w:val="16"/>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costs associated with maintaining subsidiaries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(4,955)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(3,257)</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used in financing activities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(1,804)</w:t>
            </w:r>
          </w:p>
        </w:tc>
        <w:tc>
          <w:tcPr>
            <w:tcW w:w="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(1,992)</w:t>
            </w: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w w:val="90"/>
              </w:rPr>
              <w:t>Effect of exchange rate changes on cash, cash equivalents and restricted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three months ended March 31, 2018, cash used in operating activities of $5.0 million was attributable to a net loss of $7.4 million, partially offset by $0.7 million in non-cash charges and an increase from operating assets and liabilities of $1.8 million. The non-cash charges consisted primarily of provision for bad debt of $0.3 million, depreciation and amortization of $0.1 million, amortization of debt issuance costs of $0.1 million, stock-based compensation of $0.1 million and provision for excess and obsolete inventory of $0.1 million. The net change in operating assets and liabilities was primarily attributable to an increase in accounts payable and accrued other liabilities of $1.4 million, an increase in deferred revenue of $0.6 million due to ARTAS System service contracts added in the first quarter of 2018 and the deferral of one ARTAS System sold, and a decrease in inventory of $0.5 million, which was offset by an increase in accounts receivable of $0.9 million due to the timing of collections from customers in the first quarter of 2018.</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March 31, 2017, cash used in operating activities of $3.3 million was attributable to a net loss of $5.2 million, partially offset by $0.6 million in non-cash charges and a net change in operating assets and liabilities of $1.3 million. The non-cash charges consisted primarily of $0.2 million related to a change in fair value of preferred stock warrants, amortization of debt issuance costs of $0.2 million, depreciation and amortization of $0.1 million, and stock-based compensation of $0.1 million. The net change in operating assets and liabilities was primarily attributable to a decrease in inventory of $0.8 million due to the sale of inventory in excess of purchases and an overall increase of $0.7 million in accounts payable and accrued and other liabilities due to growth in operations and the timing of receipt and payment of vendor invoices, partially offset by an increase of $0.1 million in prepaid expenses and other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and 2017, cash used in investing activities related to purchases of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March 31, 2018, cash used in financing activities was $1.8 million, consisting of the $2.0 million payment of principal on our long-term debt, partially offset by $0.2 million of stock option exercises.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2017, cash used in financing activities was $2.0 million, primarily from the payment of principal on our long-term debt to Oxford.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our contractual obligations as of March 31, 2018, which represent material expected or contractually committed future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6"/>
                <w:szCs w:val="16"/>
                <w:color w:val="auto"/>
              </w:rPr>
              <w:t>(1)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40" w:hanging="512"/>
        <w:spacing w:after="0" w:line="259" w:lineRule="auto"/>
        <w:tabs>
          <w:tab w:leader="none" w:pos="5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Represents our loan with Oxford and our anticipated repayment schedule for the loan. Pursuant to our loan agreement with Oxford, the loan will mature in July 2019. The loan with Oxford accrues interest at prime plus 8.5% per annum. The outstanding principal balance on the Oxford loan was $13.3 million at December 31, 2017 and $11.3 million as of March 31, 2018, which includes a final payment of $1.3 million to Oxford on the maturity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2018, we received U.S. FDA 510(k) clearance to expand the ARTAS System technology to include an implantation functionality. Based on manufacturing changes associated with the ARTAS system, we determined that certain components procured or expected to be procured by Evolve Manufacturing Technologies, Inc., our single third-party manufacturer, who assemble the ARTAS Systems, will be in excess of expected demand or usage. As a result, we recorded a loss contingency accrual of $715 which is reported in “Cost of revenue” in the condensed consolidated statements of operations for the three-month ended March 31, 2018 and included in “Other accrued liabilities” on the condensed consolidated balance sheets as of March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GAAP.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2017 Annual Report on Form 10-K for the year ended December 31, 2017, in the Notes to the Consolidated Financial Statements (Note 1) and the Critical Accounting Policies and Estimates section in Management’s Discussion and Analysis of Financial Condition and Results of Operations. There have been no changes in these significant accounting policies during the three months ended March 31,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and currency exchange rate fluctuations.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because of changes in interest rates. Declines in interest rates, however, would reduce our future interest income.</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are exposed to interest rate risk related to our debt obligations which are subject to variable interest rates. As of March 31, 2018, a 100-basis point increase in interest rates on our debt subject to variable interest rate fluctuations would increase our interest expense $0.1 million annually.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Chief Executive Officer and Chief Financial Officer did not identify any changes in our internal control over financial reporting in connection with the evaluation required by Rule 13a-15(d) and 15d-15(d) of the Exchange Act during the quarter ended March 31, 2018,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We are involved in disputes and legal actions arising in the normal course of our business. There have been no material developments in legal proceedings in which we are involved during the three months ended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effect on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including our unaudited condensed consolidated financial statements and the related notes thereto, and “Management’s Discussion and Analysis of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have a limited commercial history and have focused primarily on research and development, product design and engineering, establishing supply and manufacturing relationships, seeking regulatory clearances and approvals to market the ARTAS Robotic Hair Restoration System, or the ARTAS System, and selling and marketing. We have incurred losses in each year since our inception in 2002. Our net losses were approximately $7.4 million for the three months ended March 31, 2018 and $17.8 million for the year ended December 31, 2017. As of March 31, 2018, we had an accumulated deficit of $171.9 million. We will continue to incur significant expenses for the foreseeable future as we expand our sales and marketing, research and development, and clinical and regulatory activities. We may never generate sufficient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Our operating expenses may fluctuate significantly in the future because of a variety of factors, many of which are outside of our control. These factors include:</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of manufacturing and maintaining sufficient inventories of our products to meet anticipated demand and inventory write-offs related to obsolete products or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of enhancing the existing functionality and development of new functionalities for the ARTAS System;</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any product liability or other lawsuits related to our products and the costs associated with defending them or the results of such lawsuits;</w:t>
      </w:r>
    </w:p>
    <w:p>
      <w:pPr>
        <w:spacing w:after="0" w:line="128" w:lineRule="exact"/>
        <w:rPr>
          <w:rFonts w:ascii="Arial" w:cs="Arial" w:eastAsia="Arial" w:hAnsi="Arial"/>
          <w:sz w:val="17"/>
          <w:szCs w:val="17"/>
          <w:color w:val="231F20"/>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 System sales, servicing and procedure-based fees. We may be unable to reduce our expenditures in a timely manner to compensate for any unexpected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231F20"/>
        </w:rPr>
        <w:t>shortfalls in revenue. Accordingly, a significant shortfall in market acceptance or demand for the ARTAS System and procedures could have an immediate and material adverse impact on our business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3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physician demand for the ARTAS System and procedure usage may vary from quarter to quarter;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purchasing ARTAS Systems in advance of the availability of implementation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inability of physicians to obtain the necessary financing to purchase the ARTAS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changes in the length of our sales process for the ARTAS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positive or negative media coverage of the ARTAS System, the procedures or products of our competitors, or our industry generally;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ability to maintain our current, or obtain further, regulatory clearances or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introduction of new aesthetic procedures or products that compete with the ARTAS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adverse changes in the economy that reduce patient demand for elective aesthetic procedures.</w:t>
      </w:r>
    </w:p>
    <w:p>
      <w:pPr>
        <w:spacing w:after="0" w:line="33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We sell a relatively small number of ARTAS Systems at a relatively high price, with each sale of an ARTAS System typically involving a significant amount of time. Because of the relatively small number of ARTAS Systems we expect to sell in any period, each sale of the ARTAS System could represent a significant percentage of our revenue for a particular period. Furthermore, due to the significant amount of time it can take to finalize the sale of an ARTAS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particular period as an indication of future performance. If we do not sell ARTAS Systems as anticipated, our operating results will vary significantly from our expectations. In addition, selling the ARTAS System requires significant marketing effort and expenditure in advance of the receipt of revenue and our efforts may not result in a sale.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Our independent registered public accounting firm included an explanatory paragraph in its report on our consolidated financial statements as of, and for the year ended, December 31, 2017 that our recurring losses from operations and negative cash flows raise substantial doubt about our ability to continue as a going concern. Our ability to continue as a going concern will require us to obtain additional financing to fund our operations. The perception of our ability to continue as a going concern may make it more difficult for us to obtain financing for the continuation of our operations and could result in the loss of confidence by investors, suppliers and employees.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right="18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 System, and seeking regulatory clearances and approvals to market future products will require substantial funds to complete. As of March 31, 2018, we had capital resources consisting of cash and cash equivalents of $16.5 million. In connection with our IPO, we raised an additional $22.7 million of proceeds, net of underwriting discounts and commissions, and offering expenses. We believe that we will continue to expend substantial resources for the foreseeable future in connection with the ongoing commercializing of the ARTAS System, increasing our sales and marketing efforts, and continuing research and development and product enhancements activities.</w:t>
      </w:r>
    </w:p>
    <w:p>
      <w:pPr>
        <w:spacing w:after="0" w:line="18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231F20"/>
        </w:rPr>
        <w:t>We believe our existing cash and cash equivalents, cash expected to be generated from the sale of our products and the net proceeds from the Solar Agreement following the repayment of the loan with Oxford will not be sufficient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040" w:right="3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 System, including any clinical trials that may be required to market such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295"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231F20"/>
        </w:rPr>
        <w:t>We are dependent upon the success of the ARTAS System, which has a limited commercial history. If we are unsuccessful in developing the market for robotic hair restoration or the market acceptance for the ARTAS System fails to grow significantly, our business and future prospects will be harmed.</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We commenced commercial sales of the ARTAS System for hair follicle dissection in the U.S. in 2011 and expect that the revenue we generate from both system sales and servicing as well as recurring procedure-based fees will account for all of our revenue for the foreseeable future. Accordingly, our success depends on the acceptance among physicians and patients of the ARTAS System as the preferred system for performing hair restoration surgery. Acceptance of the ARTAS System by physicians is significantly dependent on our ability to convince physicians of the benefits of the ARTAS System to their practices and, accordingly, develop the market for robotic-assisted hair restoration surgery. Acceptance of the ARTAS procedure by patients is equally important as patient demand will influence physicians to offer the ARTAS procedure. Although we have received FDA clearance to market the ARTAS System for the harvesting of hair follicles for transplant in the U.S. and the ARTAS System is otherwise authorized for marketing in 61 international countries, the degree of market acceptance of the ARTAS System by physicians and patients is unproven. We believe that market acceptance of the ARTAS System will depend on many factors, including:</w:t>
      </w:r>
    </w:p>
    <w:p>
      <w:pPr>
        <w:spacing w:after="0" w:line="74"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perceived advantages or disadvantages of the ARTAS System compared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safety and efficacy of the ARTAS System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price of the ARTAS System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effectiveness of our marketing, advertising, and commercialization initiatives;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success in adding new functionalities to the ARTAS System and enhancing existing functions;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ability to obtain regulatory clearance to market the ARTAS System for additional treatment indications in the U.S.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We cannot assure you that the ARTAS System will achieve broad market acceptance among physicians and patients. Because we expect to derive substantially all of our revenue for the foreseeable future from ARTAS System sales, servicing and procedure-based fees, any failure of this product to satisfy physician or patient demand or to achieve meaningful market acceptance will harm our business and future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extent to which our physician customers recommend the ARTAS System to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our ability to properly train our physician customers in the use of the ARTAS System so that their patients do not experience excessive discomfort during treatment or adverse side effects;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cost, safety, and effectiveness of the ARTAS System versus other aesthetic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consumer sentiment about the benefits and risks of aesthetic procedures generally and the ARTAS System in particular;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general consumer confidence, which may be impacted by economic and political conditions outside of our control.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 System.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 System.</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In order to generate repeat and referral business, patients must be satisfied with the effectiveness of the ARTAS System. If the ARTAS System procedure is not done correctly, and or the patient suffers from complications and other adverse effects, the patient may not be satisfied with the benefits of the ARTAS System. Furthermore, if the transplanted hair follicles do not grow or survive the transplant, the patient will likely not view the procedure as having a satisfactory outcome. If patients are not satisfied with the aesthetic benefits of the ARTAS System, or feel that it is too expensive for the results obtained, our reputation and future sales will suffer.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 System.</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Our ability to increase the number of physicians willing to make a significant capital expenditure to purchase the ARTAS System, and make it a significant part of their practices, depends on the success of our sales and marketing programs. We must be able to demonstrate that the cost of the ARTAS System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 System, but these programs require physician commitment and involvement to succeed. If we are unable to increase physician adoption and use of the ARTAS System, our financial performance will be adversely affected.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0" w:name="page31"/>
    <w:bookmarkEnd w:id="30"/>
    <w:p>
      <w:pPr>
        <w:ind w:right="70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The medical technology and aesthetic product markets are highly competitive and dynamic, and are characterized by rapid and substantial technological development and product innovations. We designed the ARTAS System to assist physicians in performing follicular unit extraction surgery. Demand for the ARTAS System and ARTAS procedures could be limited by other products and technologies. Competition to address hair loss comes from various sources, including:</w:t>
      </w:r>
    </w:p>
    <w:p>
      <w:pPr>
        <w:spacing w:after="0" w:line="79" w:lineRule="exact"/>
        <w:rPr>
          <w:sz w:val="20"/>
          <w:szCs w:val="20"/>
          <w:color w:val="auto"/>
        </w:rPr>
      </w:pPr>
    </w:p>
    <w:p>
      <w:pPr>
        <w:ind w:left="1040" w:right="2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Surgical alternatives to the ARTAS System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Many options may be able to provide satisfactory results for male hair loss, generally at a lower cost to the patient than the ARTAS System. As a result, if patients choose these competitive alternatives, our results of operation could be adversely affected.</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 System, our results of operation could be adversely affected.</w:t>
      </w:r>
    </w:p>
    <w:p>
      <w:pPr>
        <w:spacing w:after="0" w:line="16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 System.</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establish or strengthen our brand.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 System,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the ARTAS System may not be accepted by physicians, which would adversely affect our business, results of operations and financial condition.</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rely on a direct sales force to sell the ARTAS System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7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hire qualified individuals as needed;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1" w:name="page32"/>
    <w:bookmarkEnd w:id="31"/>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provide adequate training for the effective sale and marketing of the ARTAS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effectively oversee geographically dispersed sales and marketing teams.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 System, which would cause our revenue to be lower than expected and harm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 market and sell the ARTAS System in certain markets outside of the U.S., we depend on third-party distributors.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We depend on third-party distributors to sell, market, and service the ARTAS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5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distributors may not be as selective as we would be in choosing physicians to purchase the ARTAS System or as effective in training physicians in marketing and patient selection;</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 System in markets outside of the U.S., we must address many international business risks with which we have limited experience.</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Sales in markets outside of the U.S. accounted for approximately 58% of our revenue for the year ended December 31, 2017 and 54% of our revenue for the three months ended March 31, 2018 and 2017, respectively. We believe that a significant percentage of our business will continue to come from sales in markets outside of the U.S. through increased penetration in countries where we market and sell the ARTAS System, and with expansion into new international markets. However, international sales are subject to a number of risks, including:</w:t>
      </w:r>
    </w:p>
    <w:p>
      <w:pPr>
        <w:spacing w:after="0" w:line="7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reduced or varied protection for intellectual property rights in some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foreign certification and regulatory clearance or approval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customs clearance and shipping delays;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2" w:name="page33"/>
    <w:bookmarkEnd w:id="32"/>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increased financial accounting and reporting burdens and complexities.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333"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 System has only been commercially available since 2011. As a result, we have a limited track record compared to traditional hair transplantation surgery and the safety and efficacy of the ARTAS System is not yet supported by long-term clinical data, which could limit sales, and the ARTAS System could prove to be less safe or effective than initially thought.</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The ARTAS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8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231F20"/>
        </w:rPr>
        <w:t>Hair transplantation surgery has been a treatment option for hair restoration for many years, while we only began commercializing the ARTAS System in 2011. Consequently, we lack the breadth of published long-term clinical data supporting the safety and efficacy of the ARTAS System and the benefits it offers that might have been generated in connection with other hair restoration techniques. As a result, physicians may be slow to adopt the ARTAS System, we may not have comparative data that our competitors have or are generating, and we may be subject to greater regulatory and product liability risks. Furthermore, future patient studies or clinical experience may indicate that treatment with the ARTAS System does not improve patient outcomes compared to other hair restoration techniques. Such results would slow the adoption of the ARTAS System by physicians, would significantly reduce our ability to achieve expected sales and could prevent us from achieving and maintaining profitability.</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 System. If future patient studies or clinical testing do not support our belief that our system offers a more advantageous treatment for hair restoration, market acceptance of the ARTAS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 System may be adversely affected, even if such effects are not applicable to the ARTAS System.</w:t>
      </w:r>
    </w:p>
    <w:p>
      <w:pPr>
        <w:spacing w:after="0" w:line="1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 System by physicians, significantly reduce our ability to achieve expected revenue and prevent us from becoming profitable.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ARTAS System.</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Evolve Manufacturing Technologies, Inc., or Evolve, assembles the ARTAS System, and produces reusable procedure kits, disposable procedure kits, upgrade kits and spare kits used with the ARTAS System. If the operations of Evolve are interrupted or if it is unable or unwilling to meet our delivery requirements due to capacity limitations or other constraints, we may be limited in our ability to fulfill new customer orders, to provide kits required for use with existing ARTAS Systems and to repair equipment at current customer sites.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31F20"/>
        </w:rPr>
        <w:t>We have two master agreements and a component pricing agreement with Evolve for the supply of the ARTAS System and consumable products, including reusable procedure kits, disposable procedure kits, upgrade kits and spare kits used with the ARTAS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right="40"/>
        <w:spacing w:after="0" w:line="271" w:lineRule="auto"/>
        <w:rPr>
          <w:sz w:val="20"/>
          <w:szCs w:val="20"/>
          <w:color w:val="auto"/>
        </w:rPr>
      </w:pPr>
      <w:r>
        <w:rPr>
          <w:rFonts w:ascii="Arial" w:cs="Arial" w:eastAsia="Arial" w:hAnsi="Arial"/>
          <w:sz w:val="17"/>
          <w:szCs w:val="17"/>
          <w:color w:val="231F20"/>
        </w:rPr>
        <w:t>System, pursuant to both of which we make purchases on a purchase order basis. The terms of these master agreements are substantially similar. The master agreement for the sale of ARTAS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We have an agreement with Evolve for the pricing of certain components at certain quantities, which requires a minimum purchase from us. Otherwise, without this agreement, Evolve is not required and may not be able or willing, to meet our future requirements at current prices, or at all. We recently amended this agreement to extend the maturity date until August 2018.</w:t>
      </w:r>
    </w:p>
    <w:p>
      <w:pPr>
        <w:spacing w:after="0" w:line="1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231F20"/>
        </w:rPr>
        <w:t>Additionally, while we do have agreements with some of our component suppliers, many of our component suppliers contract directly with Evolve and we have limited control over the components they supply or the timeliness by which they supply them. Evolve may be unable to acquire components at the quantities and prices at which we need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our reliance on Evolve involves a number of other risks, including, among other things, that:</w:t>
      </w:r>
    </w:p>
    <w:p>
      <w:pPr>
        <w:spacing w:after="0" w:line="117" w:lineRule="exact"/>
        <w:rPr>
          <w:sz w:val="20"/>
          <w:szCs w:val="20"/>
          <w:color w:val="auto"/>
        </w:rPr>
      </w:pPr>
    </w:p>
    <w:p>
      <w:pPr>
        <w:ind w:left="1040" w:right="380" w:hanging="519"/>
        <w:spacing w:after="0" w:line="31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231F20"/>
        </w:rPr>
        <w:t>our products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products, cause delays in shipments of our products, or require us to recall products previously delivered to customers;</w:t>
      </w:r>
    </w:p>
    <w:p>
      <w:pPr>
        <w:spacing w:after="0" w:line="38" w:lineRule="exact"/>
        <w:rPr>
          <w:rFonts w:ascii="Arial" w:cs="Arial" w:eastAsia="Arial" w:hAnsi="Arial"/>
          <w:sz w:val="16"/>
          <w:szCs w:val="16"/>
          <w:color w:val="auto"/>
        </w:rPr>
      </w:pPr>
    </w:p>
    <w:p>
      <w:pPr>
        <w:ind w:left="1040" w:right="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Evolve may wish to discontinue manufacturing and supplying products to us for risk management reasons; and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Evolve may encounter financial or other hardships unrelated to our demand for products, which could inhibit its ability to fulfill our orders and meet our requirements.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Furthermore, if we are required to change the manufacturer of a critical component of the ARTAS System, we will be required to verify that the new manufacturer maintains facilities, procedures and operations that comply with our quality and applicable regulatory requirements, which could further impede our ability to manufacture the ARTAS System in a timely manner. Transitioning to a new supplier could be time-consuming and expensive, may result in interruptions in our operations and product delivery, could affect the performance specifications of the ARTAS System or could require that we modify the design of those systems. If the change in manufacturer results in a significant change to any product, a new 510(k) clearance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w:t>
      </w:r>
    </w:p>
    <w:p>
      <w:pPr>
        <w:spacing w:after="0" w:line="178"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 System, our reputation, business, financial condition and results of operations could be negatively impacted.</w:t>
      </w: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If Evolve is unable to manufacture the ARTAS System in high-quality commercial quantities successfully and consistently to meet demand, our growth will be limited.</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31F20"/>
        </w:rPr>
        <w:t>To manufacture our ARTAS System in the quantities that we believe will be required to meet anticipated market demand, Evolve will need to increase manufacturing capacity, which will involve significant challenges. In addition, the development of commercial-scale manufacturing capabilities will require us and Evolve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1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31F20"/>
        </w:rPr>
        <w:t>If Evolve is unable to produce the ARTAS System, reusable procedure kits, disposable procedure kits, upgrade kits and spare kits in sufficient quantities to meet anticipated customer demand, our revenue, business, and financial prospects would be harmed. The limited experience Evolve has in producing larger quantities of the ARTAS System and kits may also result in quality issues,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280"/>
        <w:spacing w:after="0" w:line="264" w:lineRule="auto"/>
        <w:rPr>
          <w:sz w:val="20"/>
          <w:szCs w:val="20"/>
          <w:color w:val="auto"/>
        </w:rPr>
      </w:pPr>
      <w:r>
        <w:rPr>
          <w:rFonts w:ascii="Arial" w:cs="Arial" w:eastAsia="Arial" w:hAnsi="Arial"/>
          <w:sz w:val="18"/>
          <w:szCs w:val="18"/>
          <w:color w:val="231F20"/>
        </w:rPr>
        <w:t>possibly result in product recalls. Manufacturing delays related to quality control could harm our reputation and decrease our revenue. Any recall could be expensive and generate negative publicity, which could impair our ability to market the ARTAS System and procedures and further affect our results of operations.</w:t>
      </w:r>
    </w:p>
    <w:p>
      <w:pPr>
        <w:spacing w:after="0" w:line="28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231F20"/>
        </w:rPr>
        <w:t>Evolve’s manufacturing operations are dependent upon third-party suppliers and, in some cases, sole suppliers, for the majority of our components, subassemblies and materials, making us vulnerable to supply shortages and price fluctuations, which could harm our business.</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Evolve relies on several sole source suppliers, including Stäubli Corporation, FLIR Integrated Imaging Solutions Inc. and Preproduction Plastics Inc., for certain components of the ARTAS System, reusable procedure kits, disposable procedure kits, upgrade kits, and spare kits. These sole suppliers, and any of our other suppliers, may be unwilling or unable to supply components of these systems to Evolve reliably and at the levels we anticipate or are required by the market. For us to be successful, our third-party manufacturer and its suppliers must be able to provide products and components in substantial quantities, in compliance with regulatory requirements, in accordance with agreed upon specifications, at acceptable costs and on a timely basis. An interruption in our commercial operations could occur if we or Evolve encounter delays or difficulties in securing these components, and if we cannot then obtain an acceptable substitute. If we are required to transition to new third-party suppliers for certain components of the ARTAS System, we believe that there are only a few such suppliers that can supply the necessary components. A supply interruption, price fluctuation or an increase in demand beyond our current suppliers’ capabilities could harm Evolve’s ability to manufacture the ARTAS System until new sources of supply are identified and qualified. In addition, the use of components or materials furnished by these alternative suppliers could require us to alter our operations.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delay in delivery due to our suppliers prioritizing other customer orders over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fluctuation in delivery by our suppliers due to changes in demand from us or their other customers.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 System.</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 System in a timely manner, our ability to generate revenue would be impaired and market acceptance of our products could be adversely affected.</w:t>
      </w:r>
    </w:p>
    <w:p>
      <w:pPr>
        <w:spacing w:after="0" w:line="2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231F20"/>
        </w:rPr>
        <w:t>We forecast sales to determine requirements for components and materials used in the ARTAS System, reusable procedure kits, disposable procedure kits, upgrade kits and spare kits and if our forecasts are incorrect, we may experience delays in shipments or increased inventory costs.</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We keep limited finished products on hand. To manage our operations, we forecast anticipated product orders and material requirements to predict our inventory needs and enter purchase orders based on these requirements. Several components of the ARTAS System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80"/>
        <w:spacing w:after="0" w:line="259" w:lineRule="auto"/>
        <w:rPr>
          <w:sz w:val="20"/>
          <w:szCs w:val="20"/>
          <w:color w:val="auto"/>
        </w:rPr>
      </w:pPr>
      <w:r>
        <w:rPr>
          <w:rFonts w:ascii="Arial" w:cs="Arial" w:eastAsia="Arial" w:hAnsi="Arial"/>
          <w:sz w:val="18"/>
          <w:szCs w:val="18"/>
          <w:color w:val="231F20"/>
        </w:rPr>
        <w:t>addition, if we underestimate our component and material requirements, we may have inadequate inventory, which could interrupt, delay, or prevent delivery of the ARTAS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231F20"/>
        </w:rPr>
        <w:t>Even though the ARTAS System is marketed to physicians, there exists a potential for misuse by the operator of the ARTAS System by physicians, non-physicians or individuals who are not sufficiently trained, which could harm our reputation and our business.</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We and our independent distributors market and sell the ARTAS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 System, we do not supervise the procedures performed with the ARTAS System, nor can we be assured that direct physician supervision of procedures occurs according to our recommendations. The potential misuse of the ARTAS System by physicians and non- physicians may result in adverse treatment outcomes, which could harm our reputation and expose us to costly product liability litigation.</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If the ARTAS System is defectively designed, manufactured, or labeled, contains defective components, or is misused, we may become subject to substantial and costly litigation by our physician customers or their patients. Misuse of the ARTAS System or failure to adhere to operating guidelines can cause skin damage and underlying tissue damage and, if our operating guidelines are found to be 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5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decreased demand for the ARTAS System or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inability to commercialize any future products.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Our inability to obtain and maintain sufficient product liability insurance at an acceptable cost and scope of coverage to protect against potential product liability claims could inhibit commercialization of the ARTAS System. As of March 31, 2018,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more than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80"/>
        <w:spacing w:after="0" w:line="308" w:lineRule="auto"/>
        <w:rPr>
          <w:sz w:val="20"/>
          <w:szCs w:val="20"/>
          <w:color w:val="auto"/>
        </w:rPr>
      </w:pPr>
      <w:r>
        <w:rPr>
          <w:rFonts w:ascii="Arial" w:cs="Arial" w:eastAsia="Arial" w:hAnsi="Arial"/>
          <w:sz w:val="17"/>
          <w:szCs w:val="17"/>
          <w:b w:val="1"/>
          <w:bCs w:val="1"/>
          <w:i w:val="1"/>
          <w:iCs w:val="1"/>
          <w:color w:val="231F20"/>
        </w:rPr>
        <w:t>Our ability to market the ARTAS System in the U.S. is limited to hair follicle dissection in males that have black or brown straight hair, and if we want to expand our marketing claims, we will need to obtain additional FDA clearances or approvals, which may not be granted.</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have FDA clearance to market the ARTAS System in the U.S. for dissecting hair follicles only from the scalp in men diagnosed with androgenic alopecia, or AGA, also referred to as male pattern baldness, who have black or brown straight hair. This clearance restricts our ability to market or advertise the ARTAS System treatment for women or men who do not have black or brown straight hair, which could limit physician and patient adoption of the ARTAS System. Developing and promoting new treatment indications and protocols for the ARTAS System are elements of our growth strategy, but we cannot predict when or if we will receive the clearances required to so implement those elements. In addition, we may be required to conduct additional clinical trials or studies to support our applications, which may be time-consuming and expensive, and may produce results that do not result in FDA clearances. If we do not obtain additional FDA clearances, our ability to promote the ARTAS System in the U.S. may be limited. Because we anticipate that sales in the U.S. will continue to be a significant portion of our business for the foreseeable future, ongoing restrictions on our ability to market the ARTAS System in the U.S. could harm our business and limit our revenue growth.</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231F20"/>
        </w:rPr>
        <w:t>In order to obtain 510(k) clearance for the ARTAS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8"/>
          <w:szCs w:val="18"/>
          <w:color w:val="231F20"/>
        </w:rPr>
      </w:pPr>
    </w:p>
    <w:p>
      <w:pPr>
        <w:ind w:left="1040" w:right="280" w:hanging="519"/>
        <w:spacing w:after="0" w:line="277" w:lineRule="auto"/>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231F20"/>
        </w:rPr>
      </w:pPr>
    </w:p>
    <w:p>
      <w:pPr>
        <w:ind w:left="1040" w:hanging="519"/>
        <w:spacing w:after="0"/>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recruiting and enrolling patients and maintaining their participation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7" w:name="page38"/>
    <w:bookmarkEnd w:id="37"/>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adding a sufficient number of clinical trial sites.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7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52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 System or successfully pursue the development, regulatory clearance or approval and commercialization of future products.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Our only product is the ARTAS System for hair follicle dissection, which has been cleared for use in the U.S. only for dissecting hair follicles from the scalp in men diagnosed with AGA who have black or brown straight hair, recipient site making for the follicle transplantation sites and robotic implantation in which hair follicles are robotically transplanted, which recently has been approved for commercial marketing in the U.S. Our business could be adversely affected if we are unable to extend the cleared uses of the ARTAS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70"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the prevalence, duration and severity of potential side effects or other safety issues experienced with our future approved products, if any;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the timely receipt of necessary marketing approvals or clearances from the FDA and foreign regulatory authorities;</w:t>
      </w:r>
    </w:p>
    <w:p>
      <w:pPr>
        <w:spacing w:after="0" w:line="117" w:lineRule="exact"/>
        <w:rPr>
          <w:rFonts w:ascii="Arial" w:cs="Arial" w:eastAsia="Arial" w:hAnsi="Arial"/>
          <w:sz w:val="18"/>
          <w:szCs w:val="18"/>
          <w:color w:val="auto"/>
        </w:rPr>
      </w:pPr>
    </w:p>
    <w:p>
      <w:pPr>
        <w:ind w:left="1040" w:right="520" w:hanging="519"/>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6"/>
          <w:szCs w:val="16"/>
          <w:color w:val="auto"/>
        </w:rPr>
      </w:pPr>
    </w:p>
    <w:p>
      <w:pPr>
        <w:ind w:left="1040" w:right="2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loan and security agreement contains restrictions that limit our flexibility in operating our business.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In May 2018, we entered into a loan and security agreement with Solar Capital Ltd. and other lenders. We borrowed $20 million under the loan and security agreement with Solar, the Solar Agreement. The Solar Agreement also contains various covenants that limit our ability to engage in specified types of transactions. Subject to limited exceptions, these covenants limit our ability, without Solar’s consent, to, among other things:</w:t>
      </w:r>
    </w:p>
    <w:p>
      <w:pPr>
        <w:spacing w:after="0" w:line="5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create, incur, assume or permit to exist additional indebtedness or liens, which may limit our ability to raise additional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pay any cash dividend or make any other cash distribution or payment in respect of our capital stock more than $150,000 in aggregate per calendar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make changes to certain key personnel including our President and Chief Executive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9" w:name="page40"/>
    <w:bookmarkEnd w:id="39"/>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enter into certain transactions with our affiliates.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the Solar Agreement contains certain covenants that require us to achieve certain revenue and liquidity thresholds. These covenants under the agreement require us to meet certain minimum liquidity and minimum revenue covenants, which, if we fail to maintain or achieve, will result in a default and require us to repay all outstanding principal amounts and accrued interest repay all amounts outstanding. In the event of a default, if we are unable to repay all outstanding amounts Solar may foreclose on the collateral granted to it to collateralize such indebtedness and will significantly affect our ability to operate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231F20"/>
        </w:rPr>
        <w:t>As of March 31, 2018, we had 94 employees, with 38 employees in sales and marketing, 17 employees in customer support, 23 employees in research and development, including clinical, regulatory and certain quality control functions, four employees in manufacturing operations and 12 employees in general management and administration. We will need to continue to expand our sales, marketing, managerial, operational, finance and administrative resources for the ongoing commercialization of the ARTAS System and continue our development activities of any future products.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continue to improve our operational, financial and management controls, reports systems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 System, the expansion of the ARTAS System to new indications, or the development of any future products. Although we have entered into employment agreements with our senior management team, these agreements do not provide for a fixed term of service.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2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We incur significant legal, accounting and other expenses as a public company, including costs resulting from public company reporting obligations under the Securities Exchange Act of 1934, as amended, and regulations regarding corporate governance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ind w:right="160"/>
        <w:spacing w:after="0" w:line="270" w:lineRule="auto"/>
        <w:rPr>
          <w:sz w:val="20"/>
          <w:szCs w:val="20"/>
          <w:color w:val="auto"/>
        </w:rPr>
      </w:pPr>
      <w:r>
        <w:rPr>
          <w:rFonts w:ascii="Arial" w:cs="Arial" w:eastAsia="Arial" w:hAnsi="Arial"/>
          <w:sz w:val="17"/>
          <w:szCs w:val="17"/>
          <w:color w:val="231F20"/>
        </w:rPr>
        <w:t>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 following the fifth anniversary of our initial public offering,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 year period.</w:t>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 System,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the ways in which the economic climate and financial market conditions could adversely impact our business.</w:t>
      </w:r>
    </w:p>
    <w:p>
      <w:pPr>
        <w:spacing w:after="0" w:line="2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4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80"/>
        <w:spacing w:after="0" w:line="257" w:lineRule="auto"/>
        <w:rPr>
          <w:sz w:val="20"/>
          <w:szCs w:val="20"/>
          <w:color w:val="auto"/>
        </w:rPr>
      </w:pPr>
      <w:r>
        <w:rPr>
          <w:rFonts w:ascii="Arial" w:cs="Arial" w:eastAsia="Arial" w:hAnsi="Arial"/>
          <w:sz w:val="18"/>
          <w:szCs w:val="18"/>
          <w:color w:val="231F20"/>
        </w:rPr>
        <w:t>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several patent infringement actions, the outcomes of which may not be known for prolonged periods of time.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redesign those products or processes that infringe any third-party intellectual property, which could be costly, disruptive, and/or infeasible.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3" w:name="page44"/>
    <w:bookmarkEnd w:id="43"/>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Recent patent reform legislation could increase the uncertainties and costs surrounding the prosecution of our patent applications and the enforcement or defense of our issued patents. On September 16, 2011, the Leahy- 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 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5"/>
          <w:szCs w:val="15"/>
          <w:i w:val="1"/>
          <w:iCs w:val="1"/>
          <w:color w:val="231F20"/>
        </w:rPr>
        <w:t>Association for Molecular Pathology v. Myriad Genetics, Inc.</w:t>
      </w:r>
      <w:r>
        <w:rPr>
          <w:rFonts w:ascii="Arial" w:cs="Arial" w:eastAsia="Arial" w:hAnsi="Arial"/>
          <w:sz w:val="15"/>
          <w:szCs w:val="15"/>
          <w:color w:val="231F20"/>
        </w:rPr>
        <w:t xml:space="preserve"> (Myriad I), </w:t>
      </w:r>
      <w:r>
        <w:rPr>
          <w:rFonts w:ascii="Arial" w:cs="Arial" w:eastAsia="Arial" w:hAnsi="Arial"/>
          <w:sz w:val="15"/>
          <w:szCs w:val="15"/>
          <w:i w:val="1"/>
          <w:iCs w:val="1"/>
          <w:color w:val="231F20"/>
        </w:rPr>
        <w:t>Mayo Collaborative Services v. Prometheus Laboratories,</w:t>
      </w:r>
      <w:r>
        <w:rPr>
          <w:rFonts w:ascii="Arial" w:cs="Arial" w:eastAsia="Arial" w:hAnsi="Arial"/>
          <w:sz w:val="15"/>
          <w:szCs w:val="15"/>
          <w:color w:val="231F20"/>
        </w:rPr>
        <w:t xml:space="preserve"> </w:t>
      </w:r>
      <w:r>
        <w:rPr>
          <w:rFonts w:ascii="Arial" w:cs="Arial" w:eastAsia="Arial" w:hAnsi="Arial"/>
          <w:sz w:val="15"/>
          <w:szCs w:val="15"/>
          <w:i w:val="1"/>
          <w:iCs w:val="1"/>
          <w:color w:val="231F20"/>
        </w:rPr>
        <w:t xml:space="preserve">Inc., </w:t>
      </w:r>
      <w:r>
        <w:rPr>
          <w:rFonts w:ascii="Arial" w:cs="Arial" w:eastAsia="Arial" w:hAnsi="Arial"/>
          <w:sz w:val="15"/>
          <w:szCs w:val="15"/>
          <w:color w:val="231F20"/>
        </w:rPr>
        <w:t>and</w:t>
      </w:r>
      <w:r>
        <w:rPr>
          <w:rFonts w:ascii="Arial" w:cs="Arial" w:eastAsia="Arial" w:hAnsi="Arial"/>
          <w:sz w:val="15"/>
          <w:szCs w:val="15"/>
          <w:i w:val="1"/>
          <w:iCs w:val="1"/>
          <w:color w:val="231F20"/>
        </w:rPr>
        <w:t xml:space="preserve"> Alice Corporation Pty. Ltd. v. CLS Bank International, </w:t>
      </w:r>
      <w:r>
        <w:rPr>
          <w:rFonts w:ascii="Arial" w:cs="Arial" w:eastAsia="Arial" w:hAnsi="Arial"/>
          <w:sz w:val="15"/>
          <w:szCs w:val="15"/>
          <w:color w:val="231F20"/>
        </w:rPr>
        <w:t>either narrowing the scope of patent protection available in certain circumstances or weakening</w:t>
      </w:r>
      <w:r>
        <w:rPr>
          <w:rFonts w:ascii="Arial" w:cs="Arial" w:eastAsia="Arial" w:hAnsi="Arial"/>
          <w:sz w:val="15"/>
          <w:szCs w:val="15"/>
          <w:i w:val="1"/>
          <w:iCs w:val="1"/>
          <w:color w:val="231F20"/>
        </w:rPr>
        <w:t xml:space="preserve"> </w:t>
      </w:r>
      <w:r>
        <w:rPr>
          <w:rFonts w:ascii="Arial" w:cs="Arial" w:eastAsia="Arial" w:hAnsi="Arial"/>
          <w:sz w:val="15"/>
          <w:szCs w:val="15"/>
          <w:color w:val="231F20"/>
        </w:rPr>
        <w:t>the rights of patent owners in certain situations. Similarly, foreign courts have made, and will likely continue to make, changes in how the patent laws in their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80"/>
        <w:spacing w:after="0" w:line="264" w:lineRule="auto"/>
        <w:rPr>
          <w:sz w:val="20"/>
          <w:szCs w:val="20"/>
          <w:color w:val="auto"/>
        </w:rPr>
      </w:pPr>
      <w:r>
        <w:rPr>
          <w:rFonts w:ascii="Arial" w:cs="Arial" w:eastAsia="Arial" w:hAnsi="Arial"/>
          <w:sz w:val="18"/>
          <w:szCs w:val="18"/>
          <w:color w:val="231F20"/>
        </w:rPr>
        <w:t>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89"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 payment of fees and failure to properly legalize and submit formal documents. If we fail to maintain the patents and patent applications covering our products or procedures, we may not be able to stop a competitor from marketing products that are the same as or like our own, which would have a material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like our products, and our competitive position in the international market would be harmed.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jc w:val="both"/>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231F20"/>
        </w:rPr>
        <w:t>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The ARTAS System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The ARTAS System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16"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product safety;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premarket clearance and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record keeping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advertising and promotion;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product import and export.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Modifications to products that are approved through a PMA application generally require FDA approval. Similarly, certain modifications made to products cleared through a 510(k) may require a new 510(k) clearance.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220"/>
        <w:spacing w:after="0" w:line="297" w:lineRule="auto"/>
        <w:rPr>
          <w:sz w:val="20"/>
          <w:szCs w:val="20"/>
          <w:color w:val="auto"/>
        </w:rPr>
      </w:pPr>
      <w:r>
        <w:rPr>
          <w:rFonts w:ascii="Arial" w:cs="Arial" w:eastAsia="Arial" w:hAnsi="Arial"/>
          <w:sz w:val="16"/>
          <w:szCs w:val="16"/>
          <w:color w:val="231F20"/>
        </w:rPr>
        <w:t>Both the PMA approval and the 510(k)-clearance process can be expensive, lengthy and uncertain.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In the U.S., we have obtained 510(k) premarket clearance from the FDA to market the ARTAS System for harvesting hair follicles from the scalp in men diagnosed with AGA who have black or brown straight hair. An element of our strategy is to continue to add new functionalities and enhance existing functionalities to the ARTAS System. We expect that certain modifications we may make to the ARTAS System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1040" w:right="6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manufacturing process or facilities we use may not meet applicable requirements.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31F20"/>
        </w:rPr>
        <w:t>Even after we have obtained the proper regulatory clearance or approval to market a product, we have ongoing responsibilities under FDA regulations. The failure to comply with applicable regulations could jeopardize our ability to sell the ARTAS System and result in enforcement actions such as:</w:t>
      </w:r>
    </w:p>
    <w:p>
      <w:pPr>
        <w:spacing w:after="0" w:line="16"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termination of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delays in the introduction of products into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refusal to grant future clearances or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in the most serious cases, criminal penalties.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 System.</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In the European Economic Area or EEA, manufacturers of medical devices need to comply with the Essential Requirements laid down in Annex II to the EU Medical Devices Directive (Council Directive 93/42/EEC). 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w:t>
      </w:r>
    </w:p>
    <w:p>
      <w:pPr>
        <w:spacing w:after="0" w:line="1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Essential Requirements. This Certificate entitles the manufacturer to affix the CE mark to its medical devices after having prepared and signed a related EC Declaration of Conformity.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9" w:name="page50"/>
    <w:bookmarkEnd w:id="49"/>
    <w:p>
      <w:pPr>
        <w:ind w:right="20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3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231F20"/>
        </w:rPr>
        <w:t>Modifications to the ARTAS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The ARTAS System has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We are subject to restrictions on the indications for which we are permitted to market our products, and any violation of those restrictions, or marketing of the ARTAS System for off-label uses, could subject us to regulatory enforcement action.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231F20"/>
        </w:rPr>
        <w:t>The FDA’s 510(k) clearance for the ARTAS System specifies the cleared indication for use of the product is dissecting hair follicles from the scalp in men diagnosed with AGA who have black or brown straight hair. The ARTAS System is intended to assist physicians in identifying and extracting hair follicular units from the scalp during hair transplantation.</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We train our marketing and direct sales force to not promote the ARTAS System for uses outside of the FDA- cleared indications for use, known as “off-label uses.” We cannot, however, prevent a physician from using the ARTAS System off-label when, in the physician’s independent professional medical judgment, he or she deems it appropriate. There may be increased risk of injury to patients if physicians attempt to use the ARTAS System off-label. Furthermore, the use of the ARTAS System for indications other than those cleared by the FDA or approved by any foreign regulatory body may not effectively treat such conditions, which could harm our reputation in the marketplace among physicians and patients.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20"/>
        <w:spacing w:after="0" w:line="264" w:lineRule="auto"/>
        <w:rPr>
          <w:sz w:val="20"/>
          <w:szCs w:val="20"/>
          <w:color w:val="auto"/>
        </w:rPr>
      </w:pPr>
      <w:r>
        <w:rPr>
          <w:rFonts w:ascii="Arial" w:cs="Arial" w:eastAsia="Arial" w:hAnsi="Arial"/>
          <w:sz w:val="18"/>
          <w:szCs w:val="18"/>
          <w:color w:val="231F20"/>
        </w:rPr>
        <w:t>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231F20"/>
        </w:rPr>
        <w:t>The ARTAS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 System, or a recall of the ARTAS System either voluntarily or at the direction of the FDA or another governmental authority, could have a negative impact on us.</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 System.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 System could be particularly harmful to our business, financial condition and results of operations because it is our only product.</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 System, our ability to market and sell the ARTAS System outside of the U.S. will be diminished.</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Sale of the ARTAS System outside the U.S. are subject to foreign regulatory requirements that vary widely from country to country. In addition, the FDA regulates exports of medical devices from the U.S. While the regulations of some countries may not impose barriers to marketing and selling the ARTAS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 ARTAS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9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14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The methods used in, and the facilities used for, the manufacture of the ARTAS System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 System is also subject to similar state regulations and various laws and regulations of foreign countries governing manufacturing.</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We cannot guarantee that we or any subcontractors will take the necessary steps to comply with applicable regulations, which could cause delays in the delivery of the ARTAS System. In addition, failure to comply with applicable FDA requirements or later discovery of previously unknown problems with the ARTAS System or manufacturing processes could result in, among other things:</w:t>
      </w:r>
    </w:p>
    <w:p>
      <w:pPr>
        <w:spacing w:after="0" w:line="73"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total or partial suspension of production or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criminal prosecution to us or our employees.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While procedures utilizing the ARTAS System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 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the U.S. and some non-U.S. jurisdictions, there have been, and we expect there will continue to be, several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2017, and, absent further legislative action, will be reinstated starting January 1, 2018.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right="4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may be volatile, and you may not be able to resell shares of our common stock at or above the price you paid.</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continued growth in demand for the ARTAS System and ARTAS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prospects;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timing or likelihood of regulatory filings and approvals for the ARTAS System for expanded indications and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expectations regarding the potential market size and the size of the patient populations for the ARTAS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effective pricing of the ARTAS System, services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scope of protection we can establish and maintain for intellectual property rights covering the ARTAS System, along with any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financial performance;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231F20"/>
        </w:rPr>
        <w:t>Prior to our initial public offering,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00"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7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231F20"/>
        </w:rPr>
        <w:t>We are an “emerging growth company” and because of the reduced disclosure and governance requirements applicable to emerging growth companies, our common stock may be less attractive to investors.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6"/>
          <w:szCs w:val="16"/>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three-year period.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11" w:lineRule="exact"/>
        <w:rPr>
          <w:sz w:val="20"/>
          <w:szCs w:val="20"/>
          <w:color w:val="auto"/>
        </w:rPr>
      </w:pPr>
    </w:p>
    <w:p>
      <w:pPr>
        <w:spacing w:after="0" w:line="216"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7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4" w:lineRule="exact"/>
        <w:rPr>
          <w:sz w:val="20"/>
          <w:szCs w:val="20"/>
          <w:color w:val="auto"/>
        </w:rPr>
      </w:pPr>
    </w:p>
    <w:p>
      <w:pPr>
        <w:ind w:right="100"/>
        <w:spacing w:after="0" w:line="226" w:lineRule="auto"/>
        <w:rPr>
          <w:sz w:val="20"/>
          <w:szCs w:val="20"/>
          <w:color w:val="auto"/>
        </w:rPr>
      </w:pPr>
      <w:r>
        <w:rPr>
          <w:rFonts w:ascii="Arial" w:cs="Arial" w:eastAsia="Arial" w:hAnsi="Arial"/>
          <w:sz w:val="17"/>
          <w:szCs w:val="17"/>
          <w:color w:val="231F20"/>
        </w:rPr>
        <w:t>Based on the number of shares outstanding as of March 31, 2018, as adjusted for the consummation of our initial public offering in October 2017, our executive officers, directors, holders of 5% or more of our capital stock and their respective affiliates beneficially owned approximately 37.8%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2" w:right="279" w:bottom="1440" w:gutter="0" w:footer="0" w:header="0"/>
        </w:sectPr>
      </w:pPr>
    </w:p>
    <w:bookmarkStart w:id="54" w:name="page55"/>
    <w:bookmarkEnd w:id="54"/>
    <w:p>
      <w:pPr>
        <w:ind w:right="38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1040" w:right="4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4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40" w:right="26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6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73"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40" w:right="260" w:hanging="519"/>
        <w:spacing w:after="0" w:line="279"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jc w:val="both"/>
        <w:ind w:left="1040" w:right="34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ind w:left="1040" w:hanging="519"/>
        <w:spacing w:after="0" w:line="264"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27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231F20"/>
        </w:rPr>
        <w:t>We do not intend to pay any cash dividends on our common stock for the foreseeable future. We intend to invest our future earnings, if any, to fund our growth. Furthermore, pursuant to the loan and the security agreement between us and Solar, we are not permitted to pay cash dividends more than $150,000 in aggregate per fiscal year without its prior written consent.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There were no unregistered securities issued and sold during the quarter ended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31F20"/>
        </w:rPr>
        <w:t>On October 11, 2017, the U.S. Securities and Exchange Commission declared effective our registration statement on Form S-1 (File No. 333-220303), as amended, filed in connection with our initial public offering. The initial public offering closed on October 16, 2017 and we issued and sold 3,575,000 shares of our common stock at a price to the public of $7.00 per share, which did not include the exercise of the underwriters’ option to purchase an additional 536,250 shares of our common stock. We received gross proceeds from the initial public offering of approximately $25.0 million, before deducting underwriting discounts and commissions of approximately $1.7 million, and offering expenses of approximately $2.7 million. On October 26, 2017, the underwriters partially exercised their option to purchase an additional 322,910 shares or our common stock pursuant to their option to purchase additional shares. We received gross proceeds from this offering of approximately $2.3 million, before deducting underwriting discounts and commissions of approximately $0.2 million. The managing underwriter of the offering was National Securities Corporation. No offering expenses were paid or are payable, directly or indirectly, to our directors or officers, to persons owning 10% or more of any class of our equity securities or to any of our affiliates.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There has been no material change in the expected use of the net proceeds from our initial public offering as described in our final prospectus filed with the SEC on October 13, 2017 pursuant to Rule 424(b).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231F20"/>
        </w:rPr>
        <w:t>ITEM 6. EXHIBITS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See the Exhibit Index following the signature page to this Quarterly Report on Form 10-Q for a list of exhibits filed or furnished with this report, which Exhibit Index is incorporated herein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3700" w:type="dxa"/>
            <w:vAlign w:val="bottom"/>
            <w:tcBorders>
              <w:bottom w:val="single" w:sz="8" w:color="0000EE"/>
            </w:tcBorders>
            <w:gridSpan w:val="9"/>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Amended and Restated Certificate of Incorporation</w:t>
              </w:r>
            </w:hyperlink>
          </w:p>
        </w:tc>
        <w:tc>
          <w:tcPr>
            <w:tcW w:w="1580" w:type="dxa"/>
            <w:vAlign w:val="bottom"/>
            <w:gridSpan w:val="7"/>
          </w:tcPr>
          <w:p>
            <w:pPr>
              <w:spacing w:after="0"/>
              <w:rPr>
                <w:sz w:val="17"/>
                <w:szCs w:val="17"/>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4"/>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Amended and Restated Bylaws</w:t>
              </w:r>
            </w:hyperlink>
          </w:p>
        </w:tc>
        <w:tc>
          <w:tcPr>
            <w:tcW w:w="3020" w:type="dxa"/>
            <w:vAlign w:val="bottom"/>
            <w:gridSpan w:val="12"/>
          </w:tcPr>
          <w:p>
            <w:pPr>
              <w:spacing w:after="0"/>
              <w:rPr>
                <w:sz w:val="20"/>
                <w:szCs w:val="20"/>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528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6">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77">
              <w:r>
                <w:rPr>
                  <w:rFonts w:ascii="Arial" w:cs="Arial" w:eastAsia="Arial" w:hAnsi="Arial"/>
                  <w:sz w:val="18"/>
                  <w:szCs w:val="18"/>
                  <w:color w:val="0000EE"/>
                </w:rPr>
                <w:t>3.2</w:t>
              </w:r>
            </w:hyperlink>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5280" w:type="dxa"/>
            <w:vAlign w:val="bottom"/>
            <w:gridSpan w:val="16"/>
          </w:tcPr>
          <w:p>
            <w:pPr>
              <w:spacing w:after="0"/>
              <w:rPr>
                <w:rFonts w:ascii="Arial" w:cs="Arial" w:eastAsia="Arial" w:hAnsi="Arial"/>
                <w:sz w:val="18"/>
                <w:szCs w:val="18"/>
                <w:color w:val="0000EE"/>
              </w:rPr>
            </w:pPr>
            <w:hyperlink r:id="rId78">
              <w:r>
                <w:rPr>
                  <w:rFonts w:ascii="Arial" w:cs="Arial" w:eastAsia="Arial" w:hAnsi="Arial"/>
                  <w:sz w:val="18"/>
                  <w:szCs w:val="18"/>
                  <w:color w:val="0000EE"/>
                </w:rPr>
                <w:t>-Form of Common Stock Certificate</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5280" w:type="dxa"/>
            <w:vAlign w:val="bottom"/>
            <w:gridSpan w:val="16"/>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Principal Executive Officer Pursuant to Rules 13a-14(a)</w:t>
              </w:r>
            </w:hyperlink>
          </w:p>
        </w:tc>
      </w:tr>
      <w:tr>
        <w:trPr>
          <w:trHeight w:val="196"/>
        </w:trPr>
        <w:tc>
          <w:tcPr>
            <w:tcW w:w="10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Certification of Principal Financial Officer Pursuant to Rules 13a-14(a)</w:t>
              </w:r>
            </w:hyperlink>
          </w:p>
        </w:tc>
        <w:tc>
          <w:tcPr>
            <w:tcW w:w="14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and 15d-14(a) under the Securities Exchange Act of 1934, as Adopted</w:t>
              </w:r>
            </w:hyperlink>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8"/>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5280" w:type="dxa"/>
            <w:vAlign w:val="bottom"/>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 of Principal Executive Officer Pursuant to 18 U.S.C.</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Section 1350, as Adopted Pursuant to Section 906 of the Sarbanes-Oxley</w:t>
              </w:r>
            </w:hyperlink>
          </w:p>
        </w:tc>
      </w:tr>
      <w:tr>
        <w:trPr>
          <w:trHeight w:val="196"/>
        </w:trPr>
        <w:tc>
          <w:tcPr>
            <w:tcW w:w="1060" w:type="dxa"/>
            <w:vAlign w:val="bottom"/>
          </w:tcPr>
          <w:p>
            <w:pPr>
              <w:spacing w:after="0"/>
              <w:rPr>
                <w:sz w:val="17"/>
                <w:szCs w:val="17"/>
                <w:color w:val="auto"/>
              </w:rPr>
            </w:pPr>
          </w:p>
        </w:tc>
        <w:tc>
          <w:tcPr>
            <w:tcW w:w="5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52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Principal Financial Officer Pursuant to 18 U.S.C. Section</w:t>
              </w:r>
            </w:hyperlink>
          </w:p>
        </w:tc>
      </w:tr>
      <w:tr>
        <w:trPr>
          <w:trHeight w:val="196"/>
        </w:trPr>
        <w:tc>
          <w:tcPr>
            <w:tcW w:w="1060" w:type="dxa"/>
            <w:vAlign w:val="bottom"/>
          </w:tcPr>
          <w:p>
            <w:pPr>
              <w:spacing w:after="0"/>
              <w:rPr>
                <w:sz w:val="17"/>
                <w:szCs w:val="17"/>
                <w:color w:val="auto"/>
              </w:rPr>
            </w:pPr>
          </w:p>
        </w:tc>
        <w:tc>
          <w:tcPr>
            <w:tcW w:w="5280" w:type="dxa"/>
            <w:vAlign w:val="bottom"/>
            <w:gridSpan w:val="16"/>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1350, as Adopted Pursuant to Section 906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3">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13"/>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9-18-17</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980" w:lineRule="exact"/>
        <w:rPr>
          <w:sz w:val="20"/>
          <w:szCs w:val="20"/>
          <w:color w:val="auto"/>
        </w:rPr>
      </w:pPr>
    </w:p>
    <w:p>
      <w:pPr>
        <w:sectPr>
          <w:pgSz w:w="11900" w:h="16838" w:orient="portrait"/>
          <w:cols w:equalWidth="0" w:num="3">
            <w:col w:w="6340" w:space="580"/>
            <w:col w:w="2860" w:space="620"/>
            <w:col w:w="1020"/>
          </w:cols>
          <w:pgMar w:left="240" w:top="337" w:right="239" w:bottom="1440" w:gutter="0" w:footer="0" w:header="0"/>
          <w:type w:val="continuous"/>
        </w:sectPr>
      </w:pPr>
    </w:p>
    <w:p>
      <w:pPr>
        <w:ind w:left="520" w:right="20" w:hanging="512"/>
        <w:spacing w:after="0" w:line="259"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 and is not to be incorporated by reference into any filing of Restoration Robotics,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5700" w:val="left"/>
          <w:tab w:leader="none" w:pos="7980" w:val="left"/>
        </w:tabs>
        <w:rPr>
          <w:sz w:val="20"/>
          <w:szCs w:val="20"/>
          <w:color w:val="auto"/>
        </w:rPr>
      </w:pPr>
      <w:r>
        <w:rPr>
          <w:rFonts w:ascii="Arial" w:cs="Arial" w:eastAsia="Arial" w:hAnsi="Arial"/>
          <w:sz w:val="18"/>
          <w:szCs w:val="18"/>
          <w:color w:val="auto"/>
        </w:rPr>
        <w:t>Date: May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Ryan Rhodes</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Chief Executive Officer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14, 2018</w:t>
            </w:r>
          </w:p>
        </w:tc>
        <w:tc>
          <w:tcPr>
            <w:tcW w:w="2520" w:type="dxa"/>
            <w:vAlign w:val="bottom"/>
          </w:tcPr>
          <w:p>
            <w:pPr>
              <w:jc w:val="right"/>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 HAIR</w:t>
            </w:r>
          </w:p>
        </w:tc>
      </w:tr>
      <w:tr>
        <w:trPr>
          <w:trHeight w:val="218"/>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rPr>
              <w:t>Mark L. Hair</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648"/>
        </w:trPr>
        <w:tc>
          <w:tcPr>
            <w:tcW w:w="3540" w:type="dxa"/>
            <w:vAlign w:val="bottom"/>
          </w:tcPr>
          <w:p>
            <w:pPr>
              <w:spacing w:after="0"/>
              <w:rPr>
                <w:sz w:val="24"/>
                <w:szCs w:val="24"/>
                <w:color w:val="auto"/>
              </w:rPr>
            </w:pP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2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Hair,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March 31,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March 31,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lowerRoman"/>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1"/>
    </w:lvl>
    <w:lvl w:ilvl="1">
      <w:lvlJc w:val="left"/>
      <w:lvlText w:val="(%2)"/>
      <w:numFmt w:val="decimal"/>
      <w:start w:val="1"/>
    </w:lvl>
  </w:abstractNum>
  <w:abstractNum w:abstractNumId="6">
    <w:nsid w:val="3A95F874"/>
    <w:multiLevelType w:val="hybridMultilevel"/>
    <w:lvl w:ilvl="0">
      <w:lvlJc w:val="left"/>
      <w:lvlText w:val="%1."/>
      <w:numFmt w:val="decimal"/>
      <w:start w:val="5"/>
    </w:lvl>
    <w:lvl w:ilvl="1">
      <w:lvlJc w:val="left"/>
      <w:lvlText w:val="%2"/>
      <w:numFmt w:val="decimal"/>
      <w:start w:val="1"/>
    </w:lvl>
  </w:abstractNum>
  <w:abstractNum w:abstractNumId="7">
    <w:nsid w:val="8138641"/>
    <w:multiLevelType w:val="hybridMultilevel"/>
    <w:lvl w:ilvl="0">
      <w:lvlJc w:val="left"/>
      <w:lvlText w:val="%1."/>
      <w:numFmt w:val="decimal"/>
      <w:start w:val="6"/>
    </w:lvl>
  </w:abstractNum>
  <w:abstractNum w:abstractNumId="8">
    <w:nsid w:val="1E7FF521"/>
    <w:multiLevelType w:val="hybridMultilevel"/>
    <w:lvl w:ilvl="0">
      <w:lvlJc w:val="left"/>
      <w:lvlText w:val="(%1)"/>
      <w:numFmt w:val="decimal"/>
      <w:start w:val="2"/>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6" Type="http://schemas.openxmlformats.org/officeDocument/2006/relationships/hyperlink" Target="http://www.sec.gov/Archives/edgar/data/1409269/000119312517311810/d448597dex31.htm" TargetMode="External"/><Relationship Id="rId77" Type="http://schemas.openxmlformats.org/officeDocument/2006/relationships/hyperlink" Target="http://www.sec.gov/Archives/edgar/data/1409269/000119312517311810/d448597dex32.htm" TargetMode="External"/><Relationship Id="rId78" Type="http://schemas.openxmlformats.org/officeDocument/2006/relationships/hyperlink" Target="http://www.sec.gov/Archives/edgar/data/1409269/000119312517286792/d41293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2019-12-28T21:56:29Z</dcterms:created>
  <dcterms:modified xsi:type="dcterms:W3CDTF">2019-12-28T21:56:29Z</dcterms:modified>
</cp:coreProperties>
</file>