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197485</wp:posOffset>
            </wp:positionH>
            <wp:positionV relativeFrom="page">
              <wp:posOffset>196850</wp:posOffset>
            </wp:positionV>
            <wp:extent cx="71539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211455</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24"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8"/>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43180</wp:posOffset>
            </wp:positionV>
            <wp:extent cx="14281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82"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76835</wp:posOffset>
            </wp:positionV>
            <wp:extent cx="14281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150" w:lineRule="exact"/>
        <w:rPr>
          <w:sz w:val="24"/>
          <w:szCs w:val="24"/>
          <w:color w:val="auto"/>
        </w:rPr>
      </w:pPr>
    </w:p>
    <w:p>
      <w:pPr>
        <w:ind w:left="9"/>
        <w:spacing w:after="0"/>
        <w:rPr>
          <w:sz w:val="20"/>
          <w:szCs w:val="20"/>
          <w:color w:val="auto"/>
        </w:rPr>
      </w:pPr>
      <w:r>
        <w:rPr>
          <w:rFonts w:ascii="Arial" w:cs="Arial" w:eastAsia="Arial" w:hAnsi="Arial"/>
          <w:sz w:val="12"/>
          <w:szCs w:val="12"/>
          <w:b w:val="1"/>
          <w:bCs w:val="1"/>
          <w:color w:val="auto"/>
        </w:rPr>
        <w:t>(Mark One)</w:t>
      </w:r>
    </w:p>
    <w:p>
      <w:pPr>
        <w:spacing w:after="0" w:line="5" w:lineRule="exact"/>
        <w:rPr>
          <w:sz w:val="24"/>
          <w:szCs w:val="24"/>
          <w:color w:val="auto"/>
        </w:rPr>
      </w:pPr>
    </w:p>
    <w:p>
      <w:pPr>
        <w:ind w:left="689" w:hanging="689"/>
        <w:spacing w:after="0"/>
        <w:tabs>
          <w:tab w:leader="none" w:pos="68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53" w:lineRule="exact"/>
        <w:rPr>
          <w:rFonts w:ascii="MS PGothic" w:cs="MS PGothic" w:eastAsia="MS PGothic" w:hAnsi="MS PGothic"/>
          <w:sz w:val="14"/>
          <w:szCs w:val="14"/>
          <w:color w:val="auto"/>
        </w:rPr>
      </w:pPr>
    </w:p>
    <w:p>
      <w:pPr>
        <w:ind w:left="3969"/>
        <w:spacing w:after="0"/>
        <w:rPr>
          <w:rFonts w:ascii="MS PGothic" w:cs="MS PGothic" w:eastAsia="MS PGothic" w:hAnsi="MS PGothic"/>
          <w:sz w:val="14"/>
          <w:szCs w:val="14"/>
          <w:color w:val="auto"/>
        </w:rPr>
      </w:pPr>
      <w:r>
        <w:rPr>
          <w:rFonts w:ascii="Arial" w:cs="Arial" w:eastAsia="Arial" w:hAnsi="Arial"/>
          <w:sz w:val="15"/>
          <w:szCs w:val="15"/>
          <w:b w:val="1"/>
          <w:bCs w:val="1"/>
          <w:color w:val="auto"/>
        </w:rPr>
        <w:t>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-231140</wp:posOffset>
            </wp:positionV>
            <wp:extent cx="66040" cy="66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 cy="66675"/>
                    </a:xfrm>
                    <a:prstGeom prst="rect">
                      <a:avLst/>
                    </a:prstGeom>
                    <a:noFill/>
                  </pic:spPr>
                </pic:pic>
              </a:graphicData>
            </a:graphic>
          </wp:anchor>
        </w:drawing>
      </w:r>
    </w:p>
    <w:p>
      <w:pPr>
        <w:spacing w:after="0" w:line="57"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OR</w:t>
      </w:r>
    </w:p>
    <w:p>
      <w:pPr>
        <w:spacing w:after="0" w:line="104" w:lineRule="exact"/>
        <w:rPr>
          <w:sz w:val="24"/>
          <w:szCs w:val="24"/>
          <w:color w:val="auto"/>
        </w:rPr>
      </w:pPr>
    </w:p>
    <w:p>
      <w:pPr>
        <w:ind w:left="689" w:hanging="689"/>
        <w:spacing w:after="0"/>
        <w:tabs>
          <w:tab w:leader="none" w:pos="689"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2" w:lineRule="exact"/>
        <w:rPr>
          <w:rFonts w:ascii="MS PGothic" w:cs="MS PGothic" w:eastAsia="MS PGothic" w:hAnsi="MS PGothic"/>
          <w:sz w:val="14"/>
          <w:szCs w:val="14"/>
          <w:color w:val="auto"/>
        </w:rPr>
      </w:pPr>
    </w:p>
    <w:p>
      <w:pPr>
        <w:ind w:left="3629"/>
        <w:spacing w:after="0"/>
        <w:rPr>
          <w:rFonts w:ascii="MS PGothic" w:cs="MS PGothic" w:eastAsia="MS PGothic" w:hAnsi="MS PGothic"/>
          <w:sz w:val="14"/>
          <w:szCs w:val="14"/>
          <w:color w:val="auto"/>
        </w:rPr>
      </w:pPr>
      <w:r>
        <w:rPr>
          <w:rFonts w:ascii="Arial" w:cs="Arial" w:eastAsia="Arial" w:hAnsi="Arial"/>
          <w:sz w:val="15"/>
          <w:szCs w:val="15"/>
          <w:b w:val="1"/>
          <w:bCs w:val="1"/>
          <w:color w:val="auto"/>
        </w:rPr>
        <w:t>For the transition period from ____________ to ____________</w:t>
      </w:r>
    </w:p>
    <w:p>
      <w:pPr>
        <w:spacing w:after="0" w:line="66" w:lineRule="exact"/>
        <w:rPr>
          <w:rFonts w:ascii="MS PGothic" w:cs="MS PGothic" w:eastAsia="MS PGothic" w:hAnsi="MS PGothic"/>
          <w:sz w:val="14"/>
          <w:szCs w:val="14"/>
          <w:color w:val="auto"/>
        </w:rPr>
      </w:pPr>
    </w:p>
    <w:p>
      <w:pPr>
        <w:ind w:left="4429"/>
        <w:spacing w:after="0"/>
        <w:rPr>
          <w:rFonts w:ascii="MS PGothic" w:cs="MS PGothic" w:eastAsia="MS PGothic" w:hAnsi="MS PGothic"/>
          <w:sz w:val="14"/>
          <w:szCs w:val="14"/>
          <w:color w:val="auto"/>
        </w:rPr>
      </w:pPr>
      <w:r>
        <w:rPr>
          <w:rFonts w:ascii="Arial" w:cs="Arial" w:eastAsia="Arial" w:hAnsi="Arial"/>
          <w:sz w:val="15"/>
          <w:szCs w:val="15"/>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73025</wp:posOffset>
            </wp:positionV>
            <wp:extent cx="14281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8115"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-382905</wp:posOffset>
            </wp:positionV>
            <wp:extent cx="65405" cy="66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05" cy="66675"/>
                    </a:xfrm>
                    <a:prstGeom prst="rect">
                      <a:avLst/>
                    </a:prstGeom>
                    <a:noFill/>
                  </pic:spPr>
                </pic:pic>
              </a:graphicData>
            </a:graphic>
          </wp:anchor>
        </w:drawing>
      </w:r>
    </w:p>
    <w:p>
      <w:pPr>
        <w:spacing w:after="0" w:line="126" w:lineRule="exact"/>
        <w:rPr>
          <w:sz w:val="24"/>
          <w:szCs w:val="24"/>
          <w:color w:val="auto"/>
        </w:rPr>
      </w:pPr>
    </w:p>
    <w:tbl>
      <w:tblPr>
        <w:tblLayout w:type="fixed"/>
        <w:tblInd w:w="2129" w:type="dxa"/>
        <w:tblCellMar>
          <w:top w:w="0" w:type="dxa"/>
          <w:left w:w="0" w:type="dxa"/>
          <w:bottom w:w="0" w:type="dxa"/>
          <w:right w:w="0" w:type="dxa"/>
        </w:tblCellMar>
      </w:tblPr>
      <w:tr>
        <w:trPr>
          <w:trHeight w:val="442"/>
        </w:trPr>
        <w:tc>
          <w:tcPr>
            <w:tcW w:w="1580" w:type="dxa"/>
            <w:vAlign w:val="bottom"/>
          </w:tcPr>
          <w:p>
            <w:pPr>
              <w:spacing w:after="0"/>
              <w:rPr>
                <w:sz w:val="24"/>
                <w:szCs w:val="24"/>
                <w:color w:val="auto"/>
              </w:rPr>
            </w:pPr>
          </w:p>
        </w:tc>
        <w:tc>
          <w:tcPr>
            <w:tcW w:w="5160" w:type="dxa"/>
            <w:vAlign w:val="bottom"/>
            <w:gridSpan w:val="3"/>
          </w:tcPr>
          <w:p>
            <w:pPr>
              <w:jc w:val="center"/>
              <w:ind w:right="1267"/>
              <w:spacing w:after="0"/>
              <w:rPr>
                <w:sz w:val="20"/>
                <w:szCs w:val="20"/>
                <w:color w:val="auto"/>
              </w:rPr>
            </w:pPr>
            <w:r>
              <w:rPr>
                <w:rFonts w:ascii="Arial" w:cs="Arial" w:eastAsia="Arial" w:hAnsi="Arial"/>
                <w:sz w:val="36"/>
                <w:szCs w:val="36"/>
                <w:b w:val="1"/>
                <w:bCs w:val="1"/>
                <w:color w:val="auto"/>
                <w:w w:val="89"/>
              </w:rPr>
              <w:t>Venus Concept Inc.</w:t>
            </w:r>
          </w:p>
        </w:tc>
      </w:tr>
      <w:tr>
        <w:trPr>
          <w:trHeight w:val="195"/>
        </w:trPr>
        <w:tc>
          <w:tcPr>
            <w:tcW w:w="1580" w:type="dxa"/>
            <w:vAlign w:val="bottom"/>
          </w:tcPr>
          <w:p>
            <w:pPr>
              <w:spacing w:after="0"/>
              <w:rPr>
                <w:sz w:val="16"/>
                <w:szCs w:val="16"/>
                <w:color w:val="auto"/>
              </w:rPr>
            </w:pPr>
          </w:p>
        </w:tc>
        <w:tc>
          <w:tcPr>
            <w:tcW w:w="5160" w:type="dxa"/>
            <w:vAlign w:val="bottom"/>
            <w:gridSpan w:val="3"/>
          </w:tcPr>
          <w:p>
            <w:pPr>
              <w:jc w:val="center"/>
              <w:ind w:right="1267"/>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r>
      <w:tr>
        <w:trPr>
          <w:trHeight w:val="81"/>
        </w:trPr>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r>
      <w:tr>
        <w:trPr>
          <w:trHeight w:val="226"/>
        </w:trPr>
        <w:tc>
          <w:tcPr>
            <w:tcW w:w="1580" w:type="dxa"/>
            <w:vAlign w:val="bottom"/>
          </w:tcPr>
          <w:p>
            <w:pPr>
              <w:jc w:val="center"/>
              <w:ind w:right="139"/>
              <w:spacing w:after="0"/>
              <w:rPr>
                <w:sz w:val="20"/>
                <w:szCs w:val="20"/>
                <w:color w:val="auto"/>
              </w:rPr>
            </w:pPr>
            <w:r>
              <w:rPr>
                <w:rFonts w:ascii="Arial" w:cs="Arial" w:eastAsia="Arial" w:hAnsi="Arial"/>
                <w:sz w:val="15"/>
                <w:szCs w:val="15"/>
                <w:b w:val="1"/>
                <w:bCs w:val="1"/>
                <w:color w:val="auto"/>
                <w:w w:val="94"/>
              </w:rPr>
              <w:t>Delaware</w:t>
            </w:r>
          </w:p>
        </w:tc>
        <w:tc>
          <w:tcPr>
            <w:tcW w:w="5160" w:type="dxa"/>
            <w:vAlign w:val="bottom"/>
            <w:gridSpan w:val="3"/>
          </w:tcPr>
          <w:p>
            <w:pPr>
              <w:jc w:val="center"/>
              <w:ind w:left="4209"/>
              <w:spacing w:after="0"/>
              <w:rPr>
                <w:sz w:val="20"/>
                <w:szCs w:val="20"/>
                <w:color w:val="auto"/>
              </w:rPr>
            </w:pPr>
            <w:r>
              <w:rPr>
                <w:rFonts w:ascii="Arial" w:cs="Arial" w:eastAsia="Arial" w:hAnsi="Arial"/>
                <w:sz w:val="15"/>
                <w:szCs w:val="15"/>
                <w:b w:val="1"/>
                <w:bCs w:val="1"/>
                <w:color w:val="auto"/>
                <w:w w:val="89"/>
              </w:rPr>
              <w:t>06-1681204</w:t>
            </w:r>
          </w:p>
        </w:tc>
      </w:tr>
      <w:tr>
        <w:trPr>
          <w:trHeight w:val="114"/>
        </w:trPr>
        <w:tc>
          <w:tcPr>
            <w:tcW w:w="1580" w:type="dxa"/>
            <w:vAlign w:val="bottom"/>
          </w:tcPr>
          <w:p>
            <w:pPr>
              <w:jc w:val="center"/>
              <w:ind w:right="159"/>
              <w:spacing w:after="0" w:line="114" w:lineRule="exact"/>
              <w:rPr>
                <w:sz w:val="20"/>
                <w:szCs w:val="20"/>
                <w:color w:val="auto"/>
              </w:rPr>
            </w:pPr>
            <w:r>
              <w:rPr>
                <w:rFonts w:ascii="Arial" w:cs="Arial" w:eastAsia="Arial" w:hAnsi="Arial"/>
                <w:sz w:val="11"/>
                <w:szCs w:val="11"/>
                <w:b w:val="1"/>
                <w:bCs w:val="1"/>
                <w:color w:val="auto"/>
                <w:w w:val="87"/>
              </w:rPr>
              <w:t>(State or other jurisdiction of</w:t>
            </w:r>
          </w:p>
        </w:tc>
        <w:tc>
          <w:tcPr>
            <w:tcW w:w="8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20" w:type="dxa"/>
            <w:vAlign w:val="bottom"/>
          </w:tcPr>
          <w:p>
            <w:pPr>
              <w:jc w:val="center"/>
              <w:ind w:left="1227"/>
              <w:spacing w:after="0" w:line="114" w:lineRule="exact"/>
              <w:rPr>
                <w:sz w:val="20"/>
                <w:szCs w:val="20"/>
                <w:color w:val="auto"/>
              </w:rPr>
            </w:pPr>
            <w:r>
              <w:rPr>
                <w:rFonts w:ascii="Arial" w:cs="Arial" w:eastAsia="Arial" w:hAnsi="Arial"/>
                <w:sz w:val="11"/>
                <w:szCs w:val="11"/>
                <w:b w:val="1"/>
                <w:bCs w:val="1"/>
                <w:color w:val="auto"/>
                <w:w w:val="90"/>
              </w:rPr>
              <w:t>(I.R.S. Employer</w:t>
            </w:r>
          </w:p>
        </w:tc>
      </w:tr>
      <w:tr>
        <w:trPr>
          <w:trHeight w:val="136"/>
        </w:trPr>
        <w:tc>
          <w:tcPr>
            <w:tcW w:w="1580" w:type="dxa"/>
            <w:vAlign w:val="bottom"/>
          </w:tcPr>
          <w:p>
            <w:pPr>
              <w:jc w:val="center"/>
              <w:ind w:right="139"/>
              <w:spacing w:after="0"/>
              <w:rPr>
                <w:sz w:val="20"/>
                <w:szCs w:val="20"/>
                <w:color w:val="auto"/>
              </w:rPr>
            </w:pPr>
            <w:r>
              <w:rPr>
                <w:rFonts w:ascii="Arial" w:cs="Arial" w:eastAsia="Arial" w:hAnsi="Arial"/>
                <w:sz w:val="11"/>
                <w:szCs w:val="11"/>
                <w:b w:val="1"/>
                <w:bCs w:val="1"/>
                <w:color w:val="auto"/>
                <w:w w:val="87"/>
              </w:rPr>
              <w:t>incorporation or organization)</w:t>
            </w:r>
          </w:p>
        </w:tc>
        <w:tc>
          <w:tcPr>
            <w:tcW w:w="8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20" w:type="dxa"/>
            <w:vAlign w:val="bottom"/>
          </w:tcPr>
          <w:p>
            <w:pPr>
              <w:jc w:val="center"/>
              <w:ind w:left="1227"/>
              <w:spacing w:after="0"/>
              <w:rPr>
                <w:sz w:val="20"/>
                <w:szCs w:val="20"/>
                <w:color w:val="auto"/>
              </w:rPr>
            </w:pPr>
            <w:r>
              <w:rPr>
                <w:rFonts w:ascii="Arial" w:cs="Arial" w:eastAsia="Arial" w:hAnsi="Arial"/>
                <w:sz w:val="11"/>
                <w:szCs w:val="11"/>
                <w:b w:val="1"/>
                <w:bCs w:val="1"/>
                <w:color w:val="auto"/>
                <w:w w:val="90"/>
              </w:rPr>
              <w:t>Identification No.)</w:t>
            </w:r>
          </w:p>
        </w:tc>
      </w:tr>
    </w:tbl>
    <w:p>
      <w:pPr>
        <w:spacing w:after="0" w:line="46"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235 Yorkland Blvd., Suite 900</w:t>
      </w:r>
    </w:p>
    <w:p>
      <w:pPr>
        <w:spacing w:after="0" w:line="22"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Toronto, Ontario M2J 4Y8</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(877) 848-8430</w:t>
      </w:r>
    </w:p>
    <w:p>
      <w:pPr>
        <w:spacing w:after="0" w:line="7" w:lineRule="exact"/>
        <w:rPr>
          <w:sz w:val="24"/>
          <w:szCs w:val="24"/>
          <w:color w:val="auto"/>
        </w:rPr>
      </w:pPr>
    </w:p>
    <w:p>
      <w:pPr>
        <w:jc w:val="center"/>
        <w:ind w:right="-8"/>
        <w:spacing w:after="0"/>
        <w:rPr>
          <w:sz w:val="20"/>
          <w:szCs w:val="20"/>
          <w:color w:val="auto"/>
        </w:rPr>
      </w:pPr>
      <w:r>
        <w:rPr>
          <w:rFonts w:ascii="Arial" w:cs="Arial" w:eastAsia="Arial" w:hAnsi="Arial"/>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52070</wp:posOffset>
            </wp:positionV>
            <wp:extent cx="14281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119" w:lineRule="exact"/>
        <w:rPr>
          <w:sz w:val="24"/>
          <w:szCs w:val="24"/>
          <w:color w:val="auto"/>
        </w:rPr>
      </w:pPr>
    </w:p>
    <w:tbl>
      <w:tblPr>
        <w:tblLayout w:type="fixed"/>
        <w:tblInd w:w="9"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3780" w:type="dxa"/>
            <w:vAlign w:val="bottom"/>
            <w:gridSpan w:val="5"/>
          </w:tcPr>
          <w:p>
            <w:pPr>
              <w:ind w:left="400"/>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3660" w:type="dxa"/>
            <w:vAlign w:val="bottom"/>
          </w:tcPr>
          <w:p>
            <w:pPr>
              <w:spacing w:after="0"/>
              <w:rPr>
                <w:sz w:val="15"/>
                <w:szCs w:val="15"/>
                <w:color w:val="auto"/>
              </w:rPr>
            </w:pPr>
          </w:p>
        </w:tc>
      </w:tr>
      <w:tr>
        <w:trPr>
          <w:trHeight w:val="250"/>
        </w:trPr>
        <w:tc>
          <w:tcPr>
            <w:tcW w:w="3820" w:type="dxa"/>
            <w:vAlign w:val="bottom"/>
          </w:tcPr>
          <w:p>
            <w:pPr>
              <w:jc w:val="center"/>
              <w:ind w:left="572"/>
              <w:spacing w:after="0"/>
              <w:rPr>
                <w:sz w:val="20"/>
                <w:szCs w:val="20"/>
                <w:color w:val="auto"/>
              </w:rPr>
            </w:pPr>
            <w:r>
              <w:rPr>
                <w:rFonts w:ascii="Arial" w:cs="Arial" w:eastAsia="Arial" w:hAnsi="Arial"/>
                <w:sz w:val="14"/>
                <w:szCs w:val="14"/>
                <w:b w:val="1"/>
                <w:bCs w:val="1"/>
                <w:color w:val="auto"/>
                <w:w w:val="84"/>
              </w:rPr>
              <w:t>Title of each class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8"/>
              </w:rPr>
              <w:t>Trading Symbol</w:t>
            </w:r>
          </w:p>
        </w:tc>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8"/>
        </w:trPr>
        <w:tc>
          <w:tcPr>
            <w:tcW w:w="3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194"/>
        </w:trPr>
        <w:tc>
          <w:tcPr>
            <w:tcW w:w="3820" w:type="dxa"/>
            <w:vAlign w:val="bottom"/>
          </w:tcPr>
          <w:p>
            <w:pPr>
              <w:jc w:val="center"/>
              <w:ind w:left="572"/>
              <w:spacing w:after="0"/>
              <w:rPr>
                <w:sz w:val="20"/>
                <w:szCs w:val="20"/>
                <w:color w:val="auto"/>
              </w:rPr>
            </w:pPr>
            <w:r>
              <w:rPr>
                <w:rFonts w:ascii="Arial" w:cs="Arial" w:eastAsia="Arial" w:hAnsi="Arial"/>
                <w:sz w:val="14"/>
                <w:szCs w:val="14"/>
                <w:color w:val="auto"/>
                <w:w w:val="86"/>
              </w:rPr>
              <w:t>Common Stock, $0.0001 par value per share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3"/>
          </w:tcPr>
          <w:p>
            <w:pPr>
              <w:jc w:val="center"/>
              <w:ind w:right="1180"/>
              <w:spacing w:after="0"/>
              <w:rPr>
                <w:sz w:val="20"/>
                <w:szCs w:val="20"/>
                <w:color w:val="auto"/>
              </w:rPr>
            </w:pPr>
            <w:r>
              <w:rPr>
                <w:rFonts w:ascii="Arial" w:cs="Arial" w:eastAsia="Arial" w:hAnsi="Arial"/>
                <w:sz w:val="14"/>
                <w:szCs w:val="14"/>
                <w:color w:val="auto"/>
                <w:w w:val="90"/>
              </w:rPr>
              <w:t>VERO</w:t>
            </w:r>
          </w:p>
        </w:tc>
        <w:tc>
          <w:tcPr>
            <w:tcW w:w="3660" w:type="dxa"/>
            <w:vAlign w:val="bottom"/>
          </w:tcPr>
          <w:p>
            <w:pPr>
              <w:ind w:left="460"/>
              <w:spacing w:after="0"/>
              <w:rPr>
                <w:sz w:val="20"/>
                <w:szCs w:val="20"/>
                <w:color w:val="auto"/>
              </w:rPr>
            </w:pPr>
            <w:r>
              <w:rPr>
                <w:rFonts w:ascii="Arial" w:cs="Arial" w:eastAsia="Arial" w:hAnsi="Arial"/>
                <w:sz w:val="15"/>
                <w:szCs w:val="15"/>
                <w:color w:val="auto"/>
              </w:rPr>
              <w:t>The Nasdaq Global Market</w:t>
            </w:r>
          </w:p>
        </w:tc>
      </w:tr>
    </w:tbl>
    <w:p>
      <w:pPr>
        <w:spacing w:after="0" w:line="84" w:lineRule="exact"/>
        <w:rPr>
          <w:sz w:val="24"/>
          <w:szCs w:val="24"/>
          <w:color w:val="auto"/>
        </w:rPr>
      </w:pPr>
    </w:p>
    <w:p>
      <w:pPr>
        <w:ind w:left="9" w:right="40" w:firstLine="511"/>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left="9" w:right="160" w:firstLine="511"/>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ind w:left="9" w:firstLine="511"/>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9" w:type="dxa"/>
        <w:tblCellMar>
          <w:top w:w="0" w:type="dxa"/>
          <w:left w:w="0" w:type="dxa"/>
          <w:bottom w:w="0" w:type="dxa"/>
          <w:right w:w="0" w:type="dxa"/>
        </w:tblCellMar>
      </w:tblPr>
      <w:tr>
        <w:trPr>
          <w:trHeight w:val="214"/>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7"/>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17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080" w:type="dxa"/>
            <w:vAlign w:val="bottom"/>
          </w:tcPr>
          <w:p>
            <w:pPr>
              <w:ind w:left="3140"/>
              <w:spacing w:after="0"/>
              <w:rPr>
                <w:sz w:val="20"/>
                <w:szCs w:val="20"/>
                <w:color w:val="auto"/>
              </w:rPr>
            </w:pPr>
            <w:r>
              <w:rPr>
                <w:rFonts w:ascii="Arial" w:cs="Arial" w:eastAsia="Arial" w:hAnsi="Arial"/>
                <w:sz w:val="14"/>
                <w:szCs w:val="14"/>
                <w:color w:val="auto"/>
              </w:rPr>
              <w:t>Emerging growth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9" w:lineRule="exact"/>
        <w:rPr>
          <w:sz w:val="24"/>
          <w:szCs w:val="24"/>
          <w:color w:val="auto"/>
        </w:rPr>
      </w:pPr>
    </w:p>
    <w:p>
      <w:pPr>
        <w:jc w:val="both"/>
        <w:ind w:left="9" w:right="100" w:firstLine="51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 w:lineRule="exact"/>
        <w:rPr>
          <w:sz w:val="24"/>
          <w:szCs w:val="24"/>
          <w:color w:val="auto"/>
        </w:rPr>
      </w:pPr>
    </w:p>
    <w:p>
      <w:pPr>
        <w:ind w:left="509" w:right="3560"/>
        <w:spacing w:after="0" w:line="219"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November 12, 2020, the registrant had 41,132,881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15391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71539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328295</wp:posOffset>
            </wp:positionV>
            <wp:extent cx="716851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9"/>
          </w:cols>
          <w:pgMar w:left="311" w:top="378"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20" w:type="dxa"/>
            <w:vAlign w:val="bottom"/>
            <w:vMerge w:val="restart"/>
          </w:tcPr>
          <w:p>
            <w:pPr>
              <w:spacing w:after="0"/>
              <w:rPr>
                <w:sz w:val="20"/>
                <w:szCs w:val="20"/>
                <w:color w:val="auto"/>
              </w:rPr>
            </w:pPr>
            <w:r>
              <w:rPr>
                <w:rFonts w:ascii="Arial" w:cs="Arial" w:eastAsia="Arial" w:hAnsi="Arial"/>
                <w:sz w:val="15"/>
                <w:szCs w:val="15"/>
                <w:b w:val="1"/>
                <w:bCs w:val="1"/>
                <w:color w:val="auto"/>
              </w:rPr>
              <w:t>Part I.</w:t>
            </w:r>
          </w:p>
        </w:tc>
        <w:tc>
          <w:tcPr>
            <w:tcW w:w="9560" w:type="dxa"/>
            <w:vAlign w:val="bottom"/>
            <w:vMerge w:val="restart"/>
          </w:tcPr>
          <w:p>
            <w:pPr>
              <w:ind w:left="340"/>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Financial Information</w:t>
              </w:r>
            </w:hyperlink>
          </w:p>
        </w:tc>
        <w:tc>
          <w:tcPr>
            <w:tcW w:w="700" w:type="dxa"/>
            <w:vAlign w:val="bottom"/>
            <w:gridSpan w:val="2"/>
          </w:tcPr>
          <w:p>
            <w:pPr>
              <w:ind w:left="2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8"/>
        </w:trPr>
        <w:tc>
          <w:tcPr>
            <w:tcW w:w="1020" w:type="dxa"/>
            <w:vAlign w:val="bottom"/>
            <w:vMerge w:val="continue"/>
          </w:tcPr>
          <w:p>
            <w:pPr>
              <w:spacing w:after="0"/>
              <w:rPr>
                <w:sz w:val="13"/>
                <w:szCs w:val="13"/>
                <w:color w:val="auto"/>
              </w:rPr>
            </w:pPr>
          </w:p>
        </w:tc>
        <w:tc>
          <w:tcPr>
            <w:tcW w:w="9560" w:type="dxa"/>
            <w:vAlign w:val="bottom"/>
            <w:vMerge w:val="continue"/>
          </w:tcPr>
          <w:p>
            <w:pPr>
              <w:spacing w:after="0"/>
              <w:rPr>
                <w:sz w:val="13"/>
                <w:szCs w:val="13"/>
                <w:color w:val="auto"/>
              </w:rPr>
            </w:pP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20"/>
                <w:szCs w:val="20"/>
                <w:color w:val="auto"/>
              </w:rPr>
            </w:pPr>
            <w:r>
              <w:rPr>
                <w:rFonts w:ascii="Arial" w:cs="Arial" w:eastAsia="Arial" w:hAnsi="Arial"/>
                <w:sz w:val="15"/>
                <w:szCs w:val="15"/>
                <w:b w:val="1"/>
                <w:bCs w:val="1"/>
                <w:color w:val="auto"/>
              </w:rPr>
              <w:t>Item 1.</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Condensed Consolidated Financial Statements (unaudited)</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Condensed Consolidated Balance Sheets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Condensed Consolidated Statements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Condensed Consolidated Statements of Comprehensive Loss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Condensed Consolidated Statements of Stockholders’ Equity</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Condensed Consolidated Statements of Cash Flows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Notes to the Condensed Consolidated 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2.</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31">
              <w:r>
                <w:rPr>
                  <w:rFonts w:ascii="Arial" w:cs="Arial" w:eastAsia="Arial" w:hAnsi="Arial"/>
                  <w:sz w:val="15"/>
                  <w:szCs w:val="15"/>
                  <w:b w:val="1"/>
                  <w:bCs w:val="1"/>
                  <w:u w:val="single" w:color="auto"/>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3.</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2">
              <w:r>
                <w:rPr>
                  <w:rFonts w:ascii="Arial" w:cs="Arial" w:eastAsia="Arial" w:hAnsi="Arial"/>
                  <w:sz w:val="15"/>
                  <w:szCs w:val="15"/>
                  <w:b w:val="1"/>
                  <w:bCs w:val="1"/>
                  <w:u w:val="single" w:color="auto"/>
                  <w:color w:val="0000EE"/>
                </w:rPr>
                <w:t>Quantitative and Qualitative Disclosures About Market Risk</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4.</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2">
              <w:r>
                <w:rPr>
                  <w:rFonts w:ascii="Arial" w:cs="Arial" w:eastAsia="Arial" w:hAnsi="Arial"/>
                  <w:sz w:val="15"/>
                  <w:szCs w:val="15"/>
                  <w:b w:val="1"/>
                  <w:bCs w:val="1"/>
                  <w:u w:val="single" w:color="auto"/>
                  <w:color w:val="0000EE"/>
                </w:rPr>
                <w:t>Controls and Procedures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PART II.</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3">
              <w:r>
                <w:rPr>
                  <w:rFonts w:ascii="Arial" w:cs="Arial" w:eastAsia="Arial" w:hAnsi="Arial"/>
                  <w:sz w:val="15"/>
                  <w:szCs w:val="15"/>
                  <w:b w:val="1"/>
                  <w:bCs w:val="1"/>
                  <w:u w:val="single" w:color="auto"/>
                  <w:color w:val="0000EE"/>
                </w:rPr>
                <w:t>Other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1.</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3">
              <w:r>
                <w:rPr>
                  <w:rFonts w:ascii="Arial" w:cs="Arial" w:eastAsia="Arial" w:hAnsi="Arial"/>
                  <w:sz w:val="15"/>
                  <w:szCs w:val="15"/>
                  <w:b w:val="1"/>
                  <w:bCs w:val="1"/>
                  <w:u w:val="single" w:color="auto"/>
                  <w:color w:val="0000EE"/>
                </w:rPr>
                <w:t>Legal Proceedings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1A.</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3">
              <w:r>
                <w:rPr>
                  <w:rFonts w:ascii="Arial" w:cs="Arial" w:eastAsia="Arial" w:hAnsi="Arial"/>
                  <w:sz w:val="15"/>
                  <w:szCs w:val="15"/>
                  <w:b w:val="1"/>
                  <w:bCs w:val="1"/>
                  <w:u w:val="single" w:color="auto"/>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2.</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7">
              <w:r>
                <w:rPr>
                  <w:rFonts w:ascii="Arial" w:cs="Arial" w:eastAsia="Arial" w:hAnsi="Arial"/>
                  <w:sz w:val="15"/>
                  <w:szCs w:val="15"/>
                  <w:b w:val="1"/>
                  <w:bCs w:val="1"/>
                  <w:u w:val="single" w:color="auto"/>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3.</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7">
              <w:r>
                <w:rPr>
                  <w:rFonts w:ascii="Arial" w:cs="Arial" w:eastAsia="Arial" w:hAnsi="Arial"/>
                  <w:sz w:val="15"/>
                  <w:szCs w:val="15"/>
                  <w:b w:val="1"/>
                  <w:bCs w:val="1"/>
                  <w:u w:val="single" w:color="auto"/>
                  <w:color w:val="0000EE"/>
                </w:rPr>
                <w:t>Defaults Upon Senior Securities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4.</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7">
              <w:r>
                <w:rPr>
                  <w:rFonts w:ascii="Arial" w:cs="Arial" w:eastAsia="Arial" w:hAnsi="Arial"/>
                  <w:sz w:val="15"/>
                  <w:szCs w:val="15"/>
                  <w:b w:val="1"/>
                  <w:bCs w:val="1"/>
                  <w:u w:val="single" w:color="auto"/>
                  <w:color w:val="0000EE"/>
                </w:rPr>
                <w:t>Mine Safety Disclosures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5.</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7">
              <w:r>
                <w:rPr>
                  <w:rFonts w:ascii="Arial" w:cs="Arial" w:eastAsia="Arial" w:hAnsi="Arial"/>
                  <w:sz w:val="15"/>
                  <w:szCs w:val="15"/>
                  <w:b w:val="1"/>
                  <w:bCs w:val="1"/>
                  <w:u w:val="single" w:color="auto"/>
                  <w:color w:val="0000EE"/>
                </w:rPr>
                <w:t>Other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8">
              <w:r>
                <w:rPr>
                  <w:rFonts w:ascii="Arial" w:cs="Arial" w:eastAsia="Arial" w:hAnsi="Arial"/>
                  <w:sz w:val="15"/>
                  <w:szCs w:val="15"/>
                  <w:b w:val="1"/>
                  <w:bCs w:val="1"/>
                  <w:u w:val="single" w:color="auto"/>
                  <w:color w:val="0000EE"/>
                </w:rPr>
                <w:t>Exhibits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5"/>
        </w:trPr>
        <w:tc>
          <w:tcPr>
            <w:tcW w:w="1020" w:type="dxa"/>
            <w:vAlign w:val="bottom"/>
          </w:tcPr>
          <w:p>
            <w:pPr>
              <w:spacing w:after="0"/>
              <w:rPr>
                <w:rFonts w:ascii="Arial" w:cs="Arial" w:eastAsia="Arial" w:hAnsi="Arial"/>
                <w:sz w:val="15"/>
                <w:szCs w:val="15"/>
                <w:b w:val="1"/>
                <w:bCs w:val="1"/>
                <w:u w:val="single" w:color="auto"/>
                <w:color w:val="0000EE"/>
              </w:rPr>
            </w:pPr>
            <w:hyperlink w:anchor="page59">
              <w:r>
                <w:rPr>
                  <w:rFonts w:ascii="Arial" w:cs="Arial" w:eastAsia="Arial" w:hAnsi="Arial"/>
                  <w:sz w:val="15"/>
                  <w:szCs w:val="15"/>
                  <w:b w:val="1"/>
                  <w:bCs w:val="1"/>
                  <w:u w:val="single" w:color="auto"/>
                  <w:color w:val="0000EE"/>
                </w:rPr>
                <w:t>Signatures</w:t>
              </w:r>
            </w:hyperlink>
          </w:p>
        </w:tc>
        <w:tc>
          <w:tcPr>
            <w:tcW w:w="95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PART I</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CONDENSED CONSOLIDATED FINANCIAL STATEMENTS</w:t>
      </w:r>
    </w:p>
    <w:p>
      <w:pPr>
        <w:spacing w:after="0" w:line="191"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VENUS CONCEPT INC.</w:t>
      </w:r>
    </w:p>
    <w:p>
      <w:pPr>
        <w:spacing w:after="0" w:line="100"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 except for shares and per share data)</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89"/>
              </w:rPr>
              <w:t>September 30, 2020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December 31, 2019</w:t>
            </w:r>
          </w:p>
        </w:tc>
      </w:tr>
      <w:tr>
        <w:trPr>
          <w:trHeight w:val="116"/>
        </w:trPr>
        <w:tc>
          <w:tcPr>
            <w:tcW w:w="7700" w:type="dxa"/>
            <w:vAlign w:val="bottom"/>
            <w:tcBorders>
              <w:top w:val="single" w:sz="8" w:color="CFF0FC"/>
            </w:tcBorders>
            <w:shd w:val="clear" w:color="auto" w:fill="CFF0FC"/>
          </w:tcPr>
          <w:p>
            <w:pPr>
              <w:spacing w:after="0" w:line="116" w:lineRule="exact"/>
              <w:rPr>
                <w:sz w:val="20"/>
                <w:szCs w:val="20"/>
                <w:color w:val="auto"/>
              </w:rPr>
            </w:pPr>
            <w:r>
              <w:rPr>
                <w:rFonts w:ascii="Arial" w:cs="Arial" w:eastAsia="Arial" w:hAnsi="Arial"/>
                <w:sz w:val="11"/>
                <w:szCs w:val="11"/>
                <w:b w:val="1"/>
                <w:bCs w:val="1"/>
                <w:color w:val="auto"/>
              </w:rPr>
              <w:t>ASSETS</w:t>
            </w:r>
          </w:p>
        </w:tc>
        <w:tc>
          <w:tcPr>
            <w:tcW w:w="2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1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4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CURRENT ASSETS: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Cash and cash equivalents</w:t>
            </w:r>
          </w:p>
        </w:tc>
        <w:tc>
          <w:tcPr>
            <w:tcW w:w="400" w:type="dxa"/>
            <w:vAlign w:val="bottom"/>
            <w:gridSpan w:val="2"/>
            <w:shd w:val="clear" w:color="auto" w:fill="CFF0FC"/>
          </w:tcPr>
          <w:p>
            <w:pPr>
              <w:jc w:val="right"/>
              <w:ind w:right="12"/>
              <w:spacing w:after="0" w:line="125" w:lineRule="exact"/>
              <w:rPr>
                <w:sz w:val="20"/>
                <w:szCs w:val="20"/>
                <w:color w:val="auto"/>
              </w:rPr>
            </w:pPr>
            <w:r>
              <w:rPr>
                <w:rFonts w:ascii="Arial" w:cs="Arial" w:eastAsia="Arial" w:hAnsi="Arial"/>
                <w:sz w:val="11"/>
                <w:szCs w:val="11"/>
                <w:color w:val="auto"/>
              </w:rPr>
              <w:t>$</w:t>
            </w: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12,778</w:t>
            </w:r>
          </w:p>
        </w:tc>
        <w:tc>
          <w:tcPr>
            <w:tcW w:w="16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34"/>
              <w:spacing w:after="0" w:line="125" w:lineRule="exact"/>
              <w:rPr>
                <w:sz w:val="20"/>
                <w:szCs w:val="20"/>
                <w:color w:val="auto"/>
              </w:rPr>
            </w:pPr>
            <w:r>
              <w:rPr>
                <w:rFonts w:ascii="Arial" w:cs="Arial" w:eastAsia="Arial" w:hAnsi="Arial"/>
                <w:sz w:val="11"/>
                <w:szCs w:val="11"/>
                <w:color w:val="auto"/>
              </w:rPr>
              <w:t>$</w:t>
            </w: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15,666</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ind w:left="200"/>
              <w:spacing w:after="0" w:line="125" w:lineRule="exact"/>
              <w:rPr>
                <w:sz w:val="20"/>
                <w:szCs w:val="20"/>
                <w:color w:val="auto"/>
              </w:rPr>
            </w:pPr>
            <w:r>
              <w:rPr>
                <w:rFonts w:ascii="Arial" w:cs="Arial" w:eastAsia="Arial" w:hAnsi="Arial"/>
                <w:sz w:val="11"/>
                <w:szCs w:val="11"/>
                <w:color w:val="auto"/>
              </w:rPr>
              <w:t>Restricted cash</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83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83</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Accounts receivable, net of allowance of $15,141 and $10,494 as of September 30, 2020, and December 31, 2019</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57,920</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58,977</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ind w:left="200"/>
              <w:spacing w:after="0" w:line="125" w:lineRule="exact"/>
              <w:rPr>
                <w:sz w:val="20"/>
                <w:szCs w:val="20"/>
                <w:color w:val="auto"/>
              </w:rPr>
            </w:pPr>
            <w:r>
              <w:rPr>
                <w:rFonts w:ascii="Arial" w:cs="Arial" w:eastAsia="Arial" w:hAnsi="Arial"/>
                <w:sz w:val="11"/>
                <w:szCs w:val="11"/>
                <w:color w:val="auto"/>
              </w:rPr>
              <w:t>Inventories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19,493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18,844</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Deferred expenses</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59</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ind w:left="200"/>
              <w:spacing w:after="0" w:line="125" w:lineRule="exact"/>
              <w:rPr>
                <w:sz w:val="20"/>
                <w:szCs w:val="20"/>
                <w:color w:val="auto"/>
              </w:rPr>
            </w:pPr>
            <w:r>
              <w:rPr>
                <w:rFonts w:ascii="Arial" w:cs="Arial" w:eastAsia="Arial" w:hAnsi="Arial"/>
                <w:sz w:val="11"/>
                <w:szCs w:val="11"/>
                <w:color w:val="auto"/>
              </w:rPr>
              <w:t>Prepaid expenses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2,018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2,523</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Advances to suppliers</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3,730</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450</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Borders>
              <w:bottom w:val="single" w:sz="8" w:color="CFF0FC"/>
            </w:tcBorders>
          </w:tcPr>
          <w:p>
            <w:pPr>
              <w:ind w:left="200"/>
              <w:spacing w:after="0" w:line="125" w:lineRule="exact"/>
              <w:rPr>
                <w:sz w:val="20"/>
                <w:szCs w:val="20"/>
                <w:color w:val="auto"/>
              </w:rPr>
            </w:pPr>
            <w:r>
              <w:rPr>
                <w:rFonts w:ascii="Arial" w:cs="Arial" w:eastAsia="Arial" w:hAnsi="Arial"/>
                <w:sz w:val="11"/>
                <w:szCs w:val="11"/>
                <w:color w:val="auto"/>
              </w:rPr>
              <w:t>Other current assets</w:t>
            </w:r>
          </w:p>
        </w:tc>
        <w:tc>
          <w:tcPr>
            <w:tcW w:w="28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4,106</w:t>
            </w:r>
          </w:p>
        </w:tc>
        <w:tc>
          <w:tcPr>
            <w:tcW w:w="16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3,101</w:t>
            </w:r>
          </w:p>
        </w:tc>
        <w:tc>
          <w:tcPr>
            <w:tcW w:w="120" w:type="dxa"/>
            <w:vAlign w:val="bottom"/>
            <w:tcBorders>
              <w:bottom w:val="single" w:sz="8" w:color="CFF0FC"/>
            </w:tcBorders>
          </w:tcPr>
          <w:p>
            <w:pPr>
              <w:spacing w:after="0"/>
              <w:rPr>
                <w:sz w:val="10"/>
                <w:szCs w:val="10"/>
                <w:color w:val="auto"/>
              </w:rPr>
            </w:pPr>
          </w:p>
        </w:tc>
      </w:tr>
      <w:tr>
        <w:trPr>
          <w:trHeight w:val="116"/>
        </w:trPr>
        <w:tc>
          <w:tcPr>
            <w:tcW w:w="7700" w:type="dxa"/>
            <w:vAlign w:val="bottom"/>
            <w:shd w:val="clear" w:color="auto" w:fill="CFF0FC"/>
          </w:tcPr>
          <w:p>
            <w:pPr>
              <w:ind w:left="400"/>
              <w:spacing w:after="0" w:line="116" w:lineRule="exact"/>
              <w:rPr>
                <w:sz w:val="20"/>
                <w:szCs w:val="20"/>
                <w:color w:val="auto"/>
              </w:rPr>
            </w:pPr>
            <w:r>
              <w:rPr>
                <w:rFonts w:ascii="Arial" w:cs="Arial" w:eastAsia="Arial" w:hAnsi="Arial"/>
                <w:sz w:val="11"/>
                <w:szCs w:val="11"/>
                <w:color w:val="auto"/>
              </w:rPr>
              <w:t>Total current assets</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100,130</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99,703</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LONG-TERM ASSETS: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Long-term receivables</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21,816</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35,656</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Deferred tax assets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1,036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622</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Severance pay funds</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568</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710</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Property and equipment, net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3,727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4,648</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Intangible assets</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19,738</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22,338</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Goodwill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27,450</w:t>
            </w:r>
          </w:p>
        </w:tc>
        <w:tc>
          <w:tcPr>
            <w:tcW w:w="120" w:type="dxa"/>
            <w:vAlign w:val="bottom"/>
          </w:tcPr>
          <w:p>
            <w:pPr>
              <w:spacing w:after="0"/>
              <w:rPr>
                <w:sz w:val="10"/>
                <w:szCs w:val="10"/>
                <w:color w:val="auto"/>
              </w:rPr>
            </w:pPr>
          </w:p>
        </w:tc>
      </w:tr>
      <w:tr>
        <w:trPr>
          <w:trHeight w:val="116"/>
        </w:trPr>
        <w:tc>
          <w:tcPr>
            <w:tcW w:w="7700" w:type="dxa"/>
            <w:vAlign w:val="bottom"/>
            <w:tcBorders>
              <w:top w:val="single" w:sz="8" w:color="CFF0FC"/>
            </w:tcBorders>
            <w:shd w:val="clear" w:color="auto" w:fill="CFF0FC"/>
          </w:tcPr>
          <w:p>
            <w:pPr>
              <w:ind w:left="400"/>
              <w:spacing w:after="0" w:line="116" w:lineRule="exact"/>
              <w:rPr>
                <w:sz w:val="20"/>
                <w:szCs w:val="20"/>
                <w:color w:val="auto"/>
              </w:rPr>
            </w:pPr>
            <w:r>
              <w:rPr>
                <w:rFonts w:ascii="Arial" w:cs="Arial" w:eastAsia="Arial" w:hAnsi="Arial"/>
                <w:sz w:val="11"/>
                <w:szCs w:val="11"/>
                <w:color w:val="auto"/>
              </w:rPr>
              <w:t>Total long-term assets</w:t>
            </w:r>
          </w:p>
        </w:tc>
        <w:tc>
          <w:tcPr>
            <w:tcW w:w="2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auto"/>
            </w:tcBorders>
            <w:shd w:val="clear" w:color="auto" w:fill="CFF0FC"/>
          </w:tcPr>
          <w:p>
            <w:pPr>
              <w:spacing w:after="0"/>
              <w:rPr>
                <w:sz w:val="10"/>
                <w:szCs w:val="10"/>
                <w:color w:val="auto"/>
              </w:rPr>
            </w:pPr>
          </w:p>
        </w:tc>
        <w:tc>
          <w:tcPr>
            <w:tcW w:w="1140" w:type="dxa"/>
            <w:vAlign w:val="bottom"/>
            <w:tcBorders>
              <w:top w:val="single" w:sz="8" w:color="auto"/>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46,885</w:t>
            </w:r>
          </w:p>
        </w:tc>
        <w:tc>
          <w:tcPr>
            <w:tcW w:w="1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bottom w:val="single" w:sz="8" w:color="auto"/>
            </w:tcBorders>
            <w:shd w:val="clear" w:color="auto" w:fill="CFF0FC"/>
          </w:tcPr>
          <w:p>
            <w:pPr>
              <w:spacing w:after="0"/>
              <w:rPr>
                <w:sz w:val="10"/>
                <w:szCs w:val="10"/>
                <w:color w:val="auto"/>
              </w:rPr>
            </w:pPr>
          </w:p>
        </w:tc>
        <w:tc>
          <w:tcPr>
            <w:tcW w:w="1400" w:type="dxa"/>
            <w:vAlign w:val="bottom"/>
            <w:tcBorders>
              <w:top w:val="single" w:sz="8" w:color="auto"/>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91,424</w:t>
            </w:r>
          </w:p>
        </w:tc>
        <w:tc>
          <w:tcPr>
            <w:tcW w:w="120" w:type="dxa"/>
            <w:vAlign w:val="bottom"/>
            <w:tcBorders>
              <w:top w:val="single" w:sz="8" w:color="CFF0FC"/>
            </w:tcBorders>
            <w:shd w:val="clear" w:color="auto" w:fill="CFF0FC"/>
          </w:tcPr>
          <w:p>
            <w:pPr>
              <w:spacing w:after="0"/>
              <w:rPr>
                <w:sz w:val="10"/>
                <w:szCs w:val="10"/>
                <w:color w:val="auto"/>
              </w:rPr>
            </w:pPr>
          </w:p>
        </w:tc>
      </w:tr>
      <w:tr>
        <w:trPr>
          <w:trHeight w:val="156"/>
        </w:trPr>
        <w:tc>
          <w:tcPr>
            <w:tcW w:w="7700" w:type="dxa"/>
            <w:vAlign w:val="bottom"/>
            <w:tcBorders>
              <w:bottom w:val="single" w:sz="8" w:color="CFF0FC"/>
            </w:tcBorders>
          </w:tcPr>
          <w:p>
            <w:pPr>
              <w:spacing w:after="0" w:line="116" w:lineRule="exact"/>
              <w:rPr>
                <w:sz w:val="20"/>
                <w:szCs w:val="20"/>
                <w:color w:val="auto"/>
              </w:rPr>
            </w:pPr>
            <w:r>
              <w:rPr>
                <w:rFonts w:ascii="Arial" w:cs="Arial" w:eastAsia="Arial" w:hAnsi="Arial"/>
                <w:sz w:val="11"/>
                <w:szCs w:val="11"/>
                <w:color w:val="auto"/>
              </w:rPr>
              <w:t>TOTAL ASSETS</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147,015</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14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191,127</w:t>
            </w:r>
          </w:p>
        </w:tc>
        <w:tc>
          <w:tcPr>
            <w:tcW w:w="120" w:type="dxa"/>
            <w:vAlign w:val="bottom"/>
            <w:tcBorders>
              <w:bottom w:val="single" w:sz="8" w:color="CFF0FC"/>
            </w:tcBorders>
          </w:tcPr>
          <w:p>
            <w:pPr>
              <w:spacing w:after="0"/>
              <w:rPr>
                <w:sz w:val="13"/>
                <w:szCs w:val="13"/>
                <w:color w:val="auto"/>
              </w:rPr>
            </w:pPr>
          </w:p>
        </w:tc>
      </w:tr>
      <w:tr>
        <w:trPr>
          <w:trHeight w:val="99"/>
        </w:trPr>
        <w:tc>
          <w:tcPr>
            <w:tcW w:w="7700" w:type="dxa"/>
            <w:vAlign w:val="bottom"/>
            <w:shd w:val="clear" w:color="auto" w:fill="CFF0FC"/>
          </w:tcPr>
          <w:p>
            <w:pPr>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2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CURRENT LIABILITIES: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Line of credit</w:t>
            </w:r>
          </w:p>
        </w:tc>
        <w:tc>
          <w:tcPr>
            <w:tcW w:w="400" w:type="dxa"/>
            <w:vAlign w:val="bottom"/>
            <w:gridSpan w:val="2"/>
            <w:shd w:val="clear" w:color="auto" w:fill="CFF0FC"/>
          </w:tcPr>
          <w:p>
            <w:pPr>
              <w:jc w:val="right"/>
              <w:ind w:right="12"/>
              <w:spacing w:after="0" w:line="125" w:lineRule="exact"/>
              <w:rPr>
                <w:sz w:val="20"/>
                <w:szCs w:val="20"/>
                <w:color w:val="auto"/>
              </w:rPr>
            </w:pPr>
            <w:r>
              <w:rPr>
                <w:rFonts w:ascii="Arial" w:cs="Arial" w:eastAsia="Arial" w:hAnsi="Arial"/>
                <w:sz w:val="11"/>
                <w:szCs w:val="11"/>
                <w:color w:val="auto"/>
              </w:rPr>
              <w:t>$</w:t>
            </w: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3,876</w:t>
            </w:r>
          </w:p>
        </w:tc>
        <w:tc>
          <w:tcPr>
            <w:tcW w:w="16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34"/>
              <w:spacing w:after="0" w:line="125" w:lineRule="exact"/>
              <w:rPr>
                <w:sz w:val="20"/>
                <w:szCs w:val="20"/>
                <w:color w:val="auto"/>
              </w:rPr>
            </w:pPr>
            <w:r>
              <w:rPr>
                <w:rFonts w:ascii="Arial" w:cs="Arial" w:eastAsia="Arial" w:hAnsi="Arial"/>
                <w:sz w:val="11"/>
                <w:szCs w:val="11"/>
                <w:color w:val="auto"/>
              </w:rPr>
              <w:t>$</w:t>
            </w: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7,789</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ind w:left="200"/>
              <w:spacing w:after="0" w:line="125" w:lineRule="exact"/>
              <w:rPr>
                <w:sz w:val="20"/>
                <w:szCs w:val="20"/>
                <w:color w:val="auto"/>
              </w:rPr>
            </w:pPr>
            <w:r>
              <w:rPr>
                <w:rFonts w:ascii="Arial" w:cs="Arial" w:eastAsia="Arial" w:hAnsi="Arial"/>
                <w:sz w:val="11"/>
                <w:szCs w:val="11"/>
                <w:color w:val="auto"/>
              </w:rPr>
              <w:t>Trade payables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9,972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9,401</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Accrued expenses and other current liabilities</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15,178</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21,120</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ind w:left="200"/>
              <w:spacing w:after="0" w:line="125" w:lineRule="exact"/>
              <w:rPr>
                <w:sz w:val="20"/>
                <w:szCs w:val="20"/>
                <w:color w:val="auto"/>
              </w:rPr>
            </w:pPr>
            <w:r>
              <w:rPr>
                <w:rFonts w:ascii="Arial" w:cs="Arial" w:eastAsia="Arial" w:hAnsi="Arial"/>
                <w:sz w:val="11"/>
                <w:szCs w:val="11"/>
                <w:color w:val="auto"/>
              </w:rPr>
              <w:t>Taxes payable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1,594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2,172</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Unearned interest income</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2,675</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3,942</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ind w:left="200"/>
              <w:spacing w:after="0" w:line="125" w:lineRule="exact"/>
              <w:rPr>
                <w:sz w:val="20"/>
                <w:szCs w:val="20"/>
                <w:color w:val="auto"/>
              </w:rPr>
            </w:pPr>
            <w:r>
              <w:rPr>
                <w:rFonts w:ascii="Arial" w:cs="Arial" w:eastAsia="Arial" w:hAnsi="Arial"/>
                <w:sz w:val="11"/>
                <w:szCs w:val="11"/>
                <w:color w:val="auto"/>
              </w:rPr>
              <w:t>Warranty accrual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1,278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1,254</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Deferred revenues</w:t>
            </w:r>
          </w:p>
        </w:tc>
        <w:tc>
          <w:tcPr>
            <w:tcW w:w="280" w:type="dxa"/>
            <w:vAlign w:val="bottom"/>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2,006</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2,495</w:t>
            </w:r>
          </w:p>
        </w:tc>
        <w:tc>
          <w:tcPr>
            <w:tcW w:w="120" w:type="dxa"/>
            <w:vAlign w:val="bottom"/>
            <w:shd w:val="clear" w:color="auto" w:fill="CFF0FC"/>
          </w:tcPr>
          <w:p>
            <w:pPr>
              <w:spacing w:after="0"/>
              <w:rPr>
                <w:sz w:val="10"/>
                <w:szCs w:val="10"/>
                <w:color w:val="auto"/>
              </w:rPr>
            </w:pPr>
          </w:p>
        </w:tc>
      </w:tr>
      <w:tr>
        <w:trPr>
          <w:trHeight w:val="116"/>
        </w:trPr>
        <w:tc>
          <w:tcPr>
            <w:tcW w:w="7700" w:type="dxa"/>
            <w:vAlign w:val="bottom"/>
          </w:tcPr>
          <w:p>
            <w:pPr>
              <w:ind w:left="400"/>
              <w:spacing w:after="0" w:line="116" w:lineRule="exact"/>
              <w:rPr>
                <w:sz w:val="20"/>
                <w:szCs w:val="20"/>
                <w:color w:val="auto"/>
              </w:rPr>
            </w:pPr>
            <w:r>
              <w:rPr>
                <w:rFonts w:ascii="Arial" w:cs="Arial" w:eastAsia="Arial" w:hAnsi="Arial"/>
                <w:sz w:val="11"/>
                <w:szCs w:val="11"/>
                <w:color w:val="auto"/>
              </w:rPr>
              <w:t>Total current liabilities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16" w:lineRule="exact"/>
              <w:rPr>
                <w:sz w:val="20"/>
                <w:szCs w:val="20"/>
                <w:color w:val="auto"/>
              </w:rPr>
            </w:pPr>
            <w:r>
              <w:rPr>
                <w:rFonts w:ascii="Arial" w:cs="Arial" w:eastAsia="Arial" w:hAnsi="Arial"/>
                <w:sz w:val="11"/>
                <w:szCs w:val="11"/>
                <w:color w:val="auto"/>
              </w:rPr>
              <w:t>36,579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16" w:lineRule="exact"/>
              <w:rPr>
                <w:sz w:val="20"/>
                <w:szCs w:val="20"/>
                <w:color w:val="auto"/>
              </w:rPr>
            </w:pPr>
            <w:r>
              <w:rPr>
                <w:rFonts w:ascii="Arial" w:cs="Arial" w:eastAsia="Arial" w:hAnsi="Arial"/>
                <w:sz w:val="11"/>
                <w:szCs w:val="11"/>
                <w:color w:val="auto"/>
              </w:rPr>
              <w:t>48,173</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LONG-TERM LIABILITIES:</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Long-term debt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66,516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61,229</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Government assistance loans</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4,110</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Accrued severance pay</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675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827</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Deferred tax liabilities</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186</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1,017</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Unearned interest income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1,295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1,681</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Warranty accrual</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446</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723</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Borders>
              <w:bottom w:val="single" w:sz="8" w:color="CFF0FC"/>
            </w:tcBorders>
          </w:tcPr>
          <w:p>
            <w:pPr>
              <w:spacing w:after="0" w:line="125" w:lineRule="exact"/>
              <w:rPr>
                <w:sz w:val="20"/>
                <w:szCs w:val="20"/>
                <w:color w:val="auto"/>
              </w:rPr>
            </w:pPr>
            <w:r>
              <w:rPr>
                <w:rFonts w:ascii="Arial" w:cs="Arial" w:eastAsia="Arial" w:hAnsi="Arial"/>
                <w:sz w:val="11"/>
                <w:szCs w:val="11"/>
                <w:color w:val="auto"/>
              </w:rPr>
              <w:t>Other long-term liabilities</w:t>
            </w:r>
          </w:p>
        </w:tc>
        <w:tc>
          <w:tcPr>
            <w:tcW w:w="28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559</w:t>
            </w:r>
          </w:p>
        </w:tc>
        <w:tc>
          <w:tcPr>
            <w:tcW w:w="16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799</w:t>
            </w:r>
          </w:p>
        </w:tc>
        <w:tc>
          <w:tcPr>
            <w:tcW w:w="120" w:type="dxa"/>
            <w:vAlign w:val="bottom"/>
            <w:tcBorders>
              <w:bottom w:val="single" w:sz="8" w:color="CFF0FC"/>
            </w:tcBorders>
          </w:tcPr>
          <w:p>
            <w:pPr>
              <w:spacing w:after="0"/>
              <w:rPr>
                <w:sz w:val="10"/>
                <w:szCs w:val="10"/>
                <w:color w:val="auto"/>
              </w:rPr>
            </w:pPr>
          </w:p>
        </w:tc>
      </w:tr>
      <w:tr>
        <w:trPr>
          <w:trHeight w:val="116"/>
        </w:trPr>
        <w:tc>
          <w:tcPr>
            <w:tcW w:w="7700" w:type="dxa"/>
            <w:vAlign w:val="bottom"/>
            <w:shd w:val="clear" w:color="auto" w:fill="CFF0FC"/>
          </w:tcPr>
          <w:p>
            <w:pPr>
              <w:ind w:left="300"/>
              <w:spacing w:after="0" w:line="116" w:lineRule="exact"/>
              <w:rPr>
                <w:sz w:val="20"/>
                <w:szCs w:val="20"/>
                <w:color w:val="auto"/>
              </w:rPr>
            </w:pPr>
            <w:r>
              <w:rPr>
                <w:rFonts w:ascii="Arial" w:cs="Arial" w:eastAsia="Arial" w:hAnsi="Arial"/>
                <w:sz w:val="11"/>
                <w:szCs w:val="11"/>
                <w:color w:val="auto"/>
              </w:rPr>
              <w:t>Total long-term liabilities</w:t>
            </w:r>
          </w:p>
        </w:tc>
        <w:tc>
          <w:tcPr>
            <w:tcW w:w="280" w:type="dxa"/>
            <w:vAlign w:val="bottom"/>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73,787</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66,276</w:t>
            </w:r>
          </w:p>
        </w:tc>
        <w:tc>
          <w:tcPr>
            <w:tcW w:w="120" w:type="dxa"/>
            <w:vAlign w:val="bottom"/>
            <w:shd w:val="clear" w:color="auto" w:fill="CFF0FC"/>
          </w:tcPr>
          <w:p>
            <w:pPr>
              <w:spacing w:after="0"/>
              <w:rPr>
                <w:sz w:val="10"/>
                <w:szCs w:val="10"/>
                <w:color w:val="auto"/>
              </w:rPr>
            </w:pPr>
          </w:p>
        </w:tc>
      </w:tr>
      <w:tr>
        <w:trPr>
          <w:trHeight w:val="116"/>
        </w:trPr>
        <w:tc>
          <w:tcPr>
            <w:tcW w:w="7700" w:type="dxa"/>
            <w:vAlign w:val="bottom"/>
            <w:tcBorders>
              <w:bottom w:val="single" w:sz="8" w:color="CFF0FC"/>
            </w:tcBorders>
          </w:tcPr>
          <w:p>
            <w:pPr>
              <w:spacing w:after="0" w:line="116" w:lineRule="exact"/>
              <w:rPr>
                <w:sz w:val="20"/>
                <w:szCs w:val="20"/>
                <w:color w:val="auto"/>
              </w:rPr>
            </w:pPr>
            <w:r>
              <w:rPr>
                <w:rFonts w:ascii="Arial" w:cs="Arial" w:eastAsia="Arial" w:hAnsi="Arial"/>
                <w:sz w:val="11"/>
                <w:szCs w:val="11"/>
                <w:color w:val="auto"/>
              </w:rPr>
              <w:t>TOTAL LIABILITIES</w:t>
            </w:r>
          </w:p>
        </w:tc>
        <w:tc>
          <w:tcPr>
            <w:tcW w:w="28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110,366</w:t>
            </w:r>
          </w:p>
        </w:tc>
        <w:tc>
          <w:tcPr>
            <w:tcW w:w="16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114,449</w:t>
            </w:r>
          </w:p>
        </w:tc>
        <w:tc>
          <w:tcPr>
            <w:tcW w:w="120" w:type="dxa"/>
            <w:vAlign w:val="bottom"/>
            <w:tcBorders>
              <w:bottom w:val="single" w:sz="8" w:color="CFF0FC"/>
            </w:tcBorders>
          </w:tcPr>
          <w:p>
            <w:pPr>
              <w:spacing w:after="0"/>
              <w:rPr>
                <w:sz w:val="10"/>
                <w:szCs w:val="10"/>
                <w:color w:val="auto"/>
              </w:rPr>
            </w:pPr>
          </w:p>
        </w:tc>
      </w:tr>
      <w:tr>
        <w:trPr>
          <w:trHeight w:val="116"/>
        </w:trPr>
        <w:tc>
          <w:tcPr>
            <w:tcW w:w="7700" w:type="dxa"/>
            <w:vAlign w:val="bottom"/>
            <w:shd w:val="clear" w:color="auto" w:fill="CFF0FC"/>
          </w:tcPr>
          <w:p>
            <w:pPr>
              <w:spacing w:after="0" w:line="116" w:lineRule="exact"/>
              <w:rPr>
                <w:sz w:val="20"/>
                <w:szCs w:val="20"/>
                <w:color w:val="auto"/>
              </w:rPr>
            </w:pPr>
            <w:r>
              <w:rPr>
                <w:rFonts w:ascii="Arial" w:cs="Arial" w:eastAsia="Arial" w:hAnsi="Arial"/>
                <w:sz w:val="11"/>
                <w:szCs w:val="11"/>
                <w:color w:val="auto"/>
              </w:rPr>
              <w:t>Commitments and Contingencies (Note 8)</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STOCKHOLDERS’ EQUITY (Note 1):</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3"/>
        </w:trPr>
        <w:tc>
          <w:tcPr>
            <w:tcW w:w="7700" w:type="dxa"/>
            <w:vAlign w:val="bottom"/>
            <w:shd w:val="clear" w:color="auto" w:fill="CFF0FC"/>
          </w:tcPr>
          <w:p>
            <w:pPr>
              <w:spacing w:after="0" w:line="114" w:lineRule="exact"/>
              <w:rPr>
                <w:sz w:val="20"/>
                <w:szCs w:val="20"/>
                <w:color w:val="auto"/>
              </w:rPr>
            </w:pPr>
            <w:r>
              <w:rPr>
                <w:rFonts w:ascii="Arial" w:cs="Arial" w:eastAsia="Arial" w:hAnsi="Arial"/>
                <w:sz w:val="11"/>
                <w:szCs w:val="11"/>
                <w:color w:val="auto"/>
                <w:w w:val="89"/>
              </w:rPr>
              <w:t>Common Stock, $0.0001 par value: 300,000,000 shares authorized as of September 30, 2020 and December 31, 2019; 40,873,588 and 28,686,116 issued and outstanding as of</w:t>
            </w: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25"/>
        </w:trPr>
        <w:tc>
          <w:tcPr>
            <w:tcW w:w="77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September 30, 2020 and December 31, 2019, respectively</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25</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24</w:t>
            </w:r>
          </w:p>
        </w:tc>
        <w:tc>
          <w:tcPr>
            <w:tcW w:w="120" w:type="dxa"/>
            <w:vAlign w:val="bottom"/>
            <w:shd w:val="clear" w:color="auto" w:fill="CFF0FC"/>
          </w:tcPr>
          <w:p>
            <w:pPr>
              <w:spacing w:after="0"/>
              <w:rPr>
                <w:sz w:val="10"/>
                <w:szCs w:val="10"/>
                <w:color w:val="auto"/>
              </w:rPr>
            </w:pPr>
          </w:p>
        </w:tc>
      </w:tr>
      <w:tr>
        <w:trPr>
          <w:trHeight w:val="125"/>
        </w:trPr>
        <w:tc>
          <w:tcPr>
            <w:tcW w:w="7700" w:type="dxa"/>
            <w:vAlign w:val="bottom"/>
          </w:tcPr>
          <w:p>
            <w:pPr>
              <w:spacing w:after="0" w:line="125" w:lineRule="exact"/>
              <w:rPr>
                <w:sz w:val="20"/>
                <w:szCs w:val="20"/>
                <w:color w:val="auto"/>
              </w:rPr>
            </w:pPr>
            <w:r>
              <w:rPr>
                <w:rFonts w:ascii="Arial" w:cs="Arial" w:eastAsia="Arial" w:hAnsi="Arial"/>
                <w:sz w:val="11"/>
                <w:szCs w:val="11"/>
                <w:color w:val="auto"/>
              </w:rPr>
              <w:t>Additional paid-in capital (Note 2)</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178,258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149,840</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Accumulated deficit</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(142,707)</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jc w:val="right"/>
              <w:ind w:right="80"/>
              <w:spacing w:after="0" w:line="125" w:lineRule="exact"/>
              <w:rPr>
                <w:sz w:val="20"/>
                <w:szCs w:val="20"/>
                <w:color w:val="auto"/>
              </w:rPr>
            </w:pPr>
            <w:r>
              <w:rPr>
                <w:rFonts w:ascii="Arial" w:cs="Arial" w:eastAsia="Arial" w:hAnsi="Arial"/>
                <w:sz w:val="11"/>
                <w:szCs w:val="11"/>
                <w:color w:val="auto"/>
              </w:rPr>
              <w:t>(75,686)</w:t>
            </w:r>
          </w:p>
        </w:tc>
      </w:tr>
      <w:tr>
        <w:trPr>
          <w:trHeight w:val="116"/>
        </w:trPr>
        <w:tc>
          <w:tcPr>
            <w:tcW w:w="7700" w:type="dxa"/>
            <w:vAlign w:val="bottom"/>
          </w:tcPr>
          <w:p>
            <w:pPr>
              <w:spacing w:after="0" w:line="116" w:lineRule="exact"/>
              <w:rPr>
                <w:sz w:val="20"/>
                <w:szCs w:val="20"/>
                <w:color w:val="auto"/>
              </w:rPr>
            </w:pPr>
            <w:r>
              <w:rPr>
                <w:rFonts w:ascii="Arial" w:cs="Arial" w:eastAsia="Arial" w:hAnsi="Arial"/>
                <w:sz w:val="11"/>
                <w:szCs w:val="11"/>
                <w:color w:val="auto"/>
              </w:rPr>
              <w:t>TOTAL STOCKHOLDERS’ EQUITY</w:t>
            </w: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1"/>
                <w:szCs w:val="11"/>
                <w:color w:val="auto"/>
              </w:rPr>
              <w:t>35,576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1"/>
                <w:szCs w:val="11"/>
                <w:color w:val="auto"/>
              </w:rPr>
              <w:t>74,178</w:t>
            </w:r>
          </w:p>
        </w:tc>
        <w:tc>
          <w:tcPr>
            <w:tcW w:w="120" w:type="dxa"/>
            <w:vAlign w:val="bottom"/>
          </w:tcPr>
          <w:p>
            <w:pPr>
              <w:spacing w:after="0"/>
              <w:rPr>
                <w:sz w:val="10"/>
                <w:szCs w:val="10"/>
                <w:color w:val="auto"/>
              </w:rPr>
            </w:pPr>
          </w:p>
        </w:tc>
      </w:tr>
      <w:tr>
        <w:trPr>
          <w:trHeight w:val="125"/>
        </w:trPr>
        <w:tc>
          <w:tcPr>
            <w:tcW w:w="77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Non-controlling interests</w:t>
            </w:r>
          </w:p>
        </w:tc>
        <w:tc>
          <w:tcPr>
            <w:tcW w:w="280" w:type="dxa"/>
            <w:vAlign w:val="bottom"/>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1,073</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2,500</w:t>
            </w:r>
          </w:p>
        </w:tc>
        <w:tc>
          <w:tcPr>
            <w:tcW w:w="120" w:type="dxa"/>
            <w:vAlign w:val="bottom"/>
            <w:shd w:val="clear" w:color="auto" w:fill="CFF0FC"/>
          </w:tcPr>
          <w:p>
            <w:pPr>
              <w:spacing w:after="0"/>
              <w:rPr>
                <w:sz w:val="10"/>
                <w:szCs w:val="10"/>
                <w:color w:val="auto"/>
              </w:rPr>
            </w:pPr>
          </w:p>
        </w:tc>
      </w:tr>
      <w:tr>
        <w:trPr>
          <w:trHeight w:val="116"/>
        </w:trPr>
        <w:tc>
          <w:tcPr>
            <w:tcW w:w="7700" w:type="dxa"/>
            <w:vAlign w:val="bottom"/>
            <w:tcBorders>
              <w:bottom w:val="single" w:sz="8" w:color="CFF0FC"/>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36,649</w:t>
            </w:r>
          </w:p>
        </w:tc>
        <w:tc>
          <w:tcPr>
            <w:tcW w:w="16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76,678</w:t>
            </w:r>
          </w:p>
        </w:tc>
        <w:tc>
          <w:tcPr>
            <w:tcW w:w="120" w:type="dxa"/>
            <w:vAlign w:val="bottom"/>
            <w:tcBorders>
              <w:bottom w:val="single" w:sz="8" w:color="CFF0FC"/>
            </w:tcBorders>
          </w:tcPr>
          <w:p>
            <w:pPr>
              <w:spacing w:after="0"/>
              <w:rPr>
                <w:sz w:val="10"/>
                <w:szCs w:val="10"/>
                <w:color w:val="auto"/>
              </w:rPr>
            </w:pPr>
          </w:p>
        </w:tc>
      </w:tr>
      <w:tr>
        <w:trPr>
          <w:trHeight w:val="116"/>
        </w:trPr>
        <w:tc>
          <w:tcPr>
            <w:tcW w:w="7700" w:type="dxa"/>
            <w:vAlign w:val="bottom"/>
            <w:tcBorders>
              <w:bottom w:val="single" w:sz="8" w:color="CFF0FC"/>
            </w:tcBorders>
            <w:shd w:val="clear" w:color="auto" w:fill="CFF0FC"/>
          </w:tcPr>
          <w:p>
            <w:pPr>
              <w:spacing w:after="0" w:line="116" w:lineRule="exact"/>
              <w:rPr>
                <w:sz w:val="20"/>
                <w:szCs w:val="20"/>
                <w:color w:val="auto"/>
              </w:rPr>
            </w:pPr>
            <w:r>
              <w:rPr>
                <w:rFonts w:ascii="Arial" w:cs="Arial" w:eastAsia="Arial" w:hAnsi="Arial"/>
                <w:sz w:val="11"/>
                <w:szCs w:val="11"/>
                <w:color w:val="auto"/>
              </w:rPr>
              <w:t>TOTAL LIABILITIES AND STOCKHOLDERS’ EQUITY</w:t>
            </w:r>
          </w:p>
        </w:tc>
        <w:tc>
          <w:tcPr>
            <w:tcW w:w="2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147,015</w:t>
            </w:r>
          </w:p>
        </w:tc>
        <w:tc>
          <w:tcPr>
            <w:tcW w:w="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140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191,127</w:t>
            </w:r>
          </w:p>
        </w:tc>
        <w:tc>
          <w:tcPr>
            <w:tcW w:w="120" w:type="dxa"/>
            <w:vAlign w:val="bottom"/>
            <w:tcBorders>
              <w:bottom w:val="single" w:sz="8" w:color="CFF0FC"/>
            </w:tcBorders>
            <w:shd w:val="clear" w:color="auto" w:fill="CFF0FC"/>
          </w:tcPr>
          <w:p>
            <w:pPr>
              <w:spacing w:after="0"/>
              <w:rPr>
                <w:sz w:val="10"/>
                <w:szCs w:val="10"/>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 w:name="page4"/>
    <w:bookmarkEnd w:id="3"/>
    <w:p>
      <w:pPr>
        <w:ind w:left="4800"/>
        <w:spacing w:after="0"/>
        <w:rPr>
          <w:sz w:val="20"/>
          <w:szCs w:val="20"/>
          <w:color w:val="auto"/>
        </w:rPr>
      </w:pPr>
      <w:r>
        <w:rPr>
          <w:rFonts w:ascii="Arial" w:cs="Arial" w:eastAsia="Arial" w:hAnsi="Arial"/>
          <w:sz w:val="15"/>
          <w:szCs w:val="15"/>
          <w:b w:val="1"/>
          <w:bCs w:val="1"/>
          <w:color w:val="auto"/>
        </w:rPr>
        <w:t>VENUS CONCEPT INC.</w:t>
      </w:r>
    </w:p>
    <w:p>
      <w:pPr>
        <w:spacing w:after="0" w:line="100"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(in thousands, except for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Three Months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right"/>
              <w:ind w:right="24"/>
              <w:spacing w:after="0"/>
              <w:rPr>
                <w:sz w:val="20"/>
                <w:szCs w:val="20"/>
                <w:color w:val="auto"/>
              </w:rPr>
            </w:pPr>
            <w:r>
              <w:rPr>
                <w:rFonts w:ascii="Arial" w:cs="Arial" w:eastAsia="Arial" w:hAnsi="Arial"/>
                <w:sz w:val="14"/>
                <w:szCs w:val="14"/>
                <w:b w:val="1"/>
                <w:bCs w:val="1"/>
                <w:color w:val="auto"/>
              </w:rPr>
              <w:t>Nine Months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Ended September 30</w:t>
            </w:r>
          </w:p>
        </w:tc>
        <w:tc>
          <w:tcPr>
            <w:tcW w:w="260" w:type="dxa"/>
            <w:vAlign w:val="bottom"/>
          </w:tcPr>
          <w:p>
            <w:pPr>
              <w:spacing w:after="0"/>
              <w:rPr>
                <w:sz w:val="15"/>
                <w:szCs w:val="15"/>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73"/>
        </w:trPr>
        <w:tc>
          <w:tcPr>
            <w:tcW w:w="490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Revenue</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Arial" w:cs="Arial" w:eastAsia="Arial" w:hAnsi="Arial"/>
                <w:sz w:val="15"/>
                <w:szCs w:val="15"/>
                <w:color w:val="auto"/>
              </w:rPr>
              <w:t>Leases</w:t>
            </w:r>
          </w:p>
        </w:tc>
        <w:tc>
          <w:tcPr>
            <w:tcW w:w="118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9,431</w:t>
            </w:r>
          </w:p>
        </w:tc>
        <w:tc>
          <w:tcPr>
            <w:tcW w:w="240" w:type="dxa"/>
            <w:vAlign w:val="bottom"/>
          </w:tcPr>
          <w:p>
            <w:pPr>
              <w:spacing w:after="0"/>
              <w:rPr>
                <w:sz w:val="16"/>
                <w:szCs w:val="16"/>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16,427</w:t>
            </w:r>
          </w:p>
        </w:tc>
        <w:tc>
          <w:tcPr>
            <w:tcW w:w="24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23,709</w:t>
            </w:r>
          </w:p>
        </w:tc>
        <w:tc>
          <w:tcPr>
            <w:tcW w:w="24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48,812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Products and services</w:t>
            </w:r>
          </w:p>
        </w:tc>
        <w:tc>
          <w:tcPr>
            <w:tcW w:w="9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11,249</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9,727</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28,475</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29,740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20,680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26,154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52,184</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78,552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Cost of goods sold</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Arial" w:cs="Arial" w:eastAsia="Arial" w:hAnsi="Arial"/>
                <w:sz w:val="15"/>
                <w:szCs w:val="15"/>
                <w:color w:val="auto"/>
              </w:rPr>
              <w:t>Leases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2,303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3,502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5,296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10,264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Products and services</w:t>
            </w:r>
          </w:p>
        </w:tc>
        <w:tc>
          <w:tcPr>
            <w:tcW w:w="9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4,874</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3,884</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12,208</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11,381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Borders>
              <w:bottom w:val="single" w:sz="8" w:color="CFF0FC"/>
            </w:tcBorders>
          </w:tcPr>
          <w:p>
            <w:pPr>
              <w:spacing w:after="0"/>
              <w:rPr>
                <w:sz w:val="16"/>
                <w:szCs w:val="16"/>
                <w:color w:val="auto"/>
              </w:rPr>
            </w:pPr>
          </w:p>
        </w:tc>
        <w:tc>
          <w:tcPr>
            <w:tcW w:w="9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7,177</w:t>
            </w:r>
          </w:p>
        </w:tc>
        <w:tc>
          <w:tcPr>
            <w:tcW w:w="2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7,386</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17,504</w:t>
            </w:r>
          </w:p>
        </w:tc>
        <w:tc>
          <w:tcPr>
            <w:tcW w:w="2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21,645</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Gross profit</w:t>
            </w:r>
          </w:p>
        </w:tc>
        <w:tc>
          <w:tcPr>
            <w:tcW w:w="9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13,503</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18,768</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34,680</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56,907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20"/>
                <w:szCs w:val="20"/>
                <w:color w:val="auto"/>
              </w:rPr>
            </w:pPr>
            <w:r>
              <w:rPr>
                <w:rFonts w:ascii="Arial" w:cs="Arial" w:eastAsia="Arial" w:hAnsi="Arial"/>
                <w:sz w:val="15"/>
                <w:szCs w:val="15"/>
                <w:color w:val="auto"/>
              </w:rPr>
              <w:t>Operating expenses: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Selling and marketing</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5,657</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9,201</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18,813</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28,983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Arial" w:cs="Arial" w:eastAsia="Arial" w:hAnsi="Arial"/>
                <w:sz w:val="15"/>
                <w:szCs w:val="15"/>
                <w:color w:val="auto"/>
              </w:rPr>
              <w:t>General and administrative</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11,291</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14,445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40,442</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34,637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Research and development</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1,849</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1,686</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6,043</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5,667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Arial" w:cs="Arial" w:eastAsia="Arial" w:hAnsi="Arial"/>
                <w:sz w:val="15"/>
                <w:szCs w:val="15"/>
                <w:color w:val="auto"/>
              </w:rPr>
              <w:t>Goodwill impairment</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27,450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Total operating expenses</w:t>
            </w:r>
          </w:p>
        </w:tc>
        <w:tc>
          <w:tcPr>
            <w:tcW w:w="9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spacing w:after="0"/>
              <w:rPr>
                <w:sz w:val="16"/>
                <w:szCs w:val="16"/>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18,797</w:t>
            </w:r>
          </w:p>
        </w:tc>
        <w:tc>
          <w:tcPr>
            <w:tcW w:w="2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25,332</w:t>
            </w:r>
          </w:p>
        </w:tc>
        <w:tc>
          <w:tcPr>
            <w:tcW w:w="2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spacing w:after="0"/>
              <w:rPr>
                <w:sz w:val="16"/>
                <w:szCs w:val="16"/>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92,748</w:t>
            </w:r>
          </w:p>
        </w:tc>
        <w:tc>
          <w:tcPr>
            <w:tcW w:w="2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69,287</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20"/>
                <w:szCs w:val="20"/>
                <w:color w:val="auto"/>
              </w:rPr>
            </w:pPr>
            <w:r>
              <w:rPr>
                <w:rFonts w:ascii="Arial" w:cs="Arial" w:eastAsia="Arial" w:hAnsi="Arial"/>
                <w:sz w:val="15"/>
                <w:szCs w:val="15"/>
                <w:color w:val="auto"/>
              </w:rPr>
              <w:t>Loss from operations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(5,294)</w:t>
            </w:r>
          </w:p>
        </w:tc>
        <w:tc>
          <w:tcPr>
            <w:tcW w:w="3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(6,564)</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(58,068)</w:t>
            </w:r>
          </w:p>
        </w:tc>
        <w:tc>
          <w:tcPr>
            <w:tcW w:w="3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(12,380)</w:t>
            </w:r>
          </w:p>
        </w:tc>
        <w:tc>
          <w:tcPr>
            <w:tcW w:w="0" w:type="dxa"/>
            <w:vAlign w:val="bottom"/>
          </w:tcPr>
          <w:p>
            <w:pPr>
              <w:spacing w:after="0"/>
              <w:rPr>
                <w:sz w:val="1"/>
                <w:szCs w:val="1"/>
                <w:color w:val="auto"/>
              </w:rPr>
            </w:pPr>
          </w:p>
        </w:tc>
      </w:tr>
      <w:tr>
        <w:trPr>
          <w:trHeight w:val="185"/>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 expenses:</w:t>
            </w:r>
          </w:p>
        </w:tc>
        <w:tc>
          <w:tcPr>
            <w:tcW w:w="9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Arial" w:cs="Arial" w:eastAsia="Arial" w:hAnsi="Arial"/>
                <w:sz w:val="15"/>
                <w:szCs w:val="15"/>
                <w:color w:val="auto"/>
              </w:rPr>
              <w:t>Foreign exchange loss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1,096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4,209</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Finance expenses</w:t>
            </w:r>
          </w:p>
        </w:tc>
        <w:tc>
          <w:tcPr>
            <w:tcW w:w="9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1,897</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2,097</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6,522</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5,904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20"/>
                <w:szCs w:val="20"/>
                <w:color w:val="auto"/>
              </w:rPr>
            </w:pPr>
            <w:r>
              <w:rPr>
                <w:rFonts w:ascii="Arial" w:cs="Arial" w:eastAsia="Arial" w:hAnsi="Arial"/>
                <w:sz w:val="15"/>
                <w:szCs w:val="15"/>
                <w:color w:val="auto"/>
              </w:rPr>
              <w:t>Loss before income taxes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(8,287)</w:t>
            </w:r>
          </w:p>
        </w:tc>
        <w:tc>
          <w:tcPr>
            <w:tcW w:w="3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(9,057)</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(68,799)</w:t>
            </w:r>
          </w:p>
        </w:tc>
        <w:tc>
          <w:tcPr>
            <w:tcW w:w="3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(18,693)</w:t>
            </w:r>
          </w:p>
        </w:tc>
        <w:tc>
          <w:tcPr>
            <w:tcW w:w="0" w:type="dxa"/>
            <w:vAlign w:val="bottom"/>
          </w:tcPr>
          <w:p>
            <w:pPr>
              <w:spacing w:after="0"/>
              <w:rPr>
                <w:sz w:val="1"/>
                <w:szCs w:val="1"/>
                <w:color w:val="auto"/>
              </w:rPr>
            </w:pPr>
          </w:p>
        </w:tc>
      </w:tr>
      <w:tr>
        <w:trPr>
          <w:trHeight w:val="194"/>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Income tax (benefit) expense</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(966)</w:t>
            </w:r>
          </w:p>
        </w:tc>
        <w:tc>
          <w:tcPr>
            <w:tcW w:w="3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(80)</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(1,010)</w:t>
            </w: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5"/>
                <w:szCs w:val="15"/>
                <w:color w:val="auto"/>
              </w:rPr>
              <w:t>Net loss</w:t>
            </w: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(7,321)</w:t>
            </w:r>
          </w:p>
        </w:tc>
        <w:tc>
          <w:tcPr>
            <w:tcW w:w="3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(8,977)</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(67,789)</w:t>
            </w:r>
          </w:p>
        </w:tc>
        <w:tc>
          <w:tcPr>
            <w:tcW w:w="3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(19,560)</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Deemed dividend (Note 13)</w:t>
            </w: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90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line="168" w:lineRule="exact"/>
              <w:rPr>
                <w:sz w:val="20"/>
                <w:szCs w:val="20"/>
                <w:color w:val="auto"/>
              </w:rPr>
            </w:pPr>
            <w:r>
              <w:rPr>
                <w:rFonts w:ascii="Arial" w:cs="Arial" w:eastAsia="Arial" w:hAnsi="Arial"/>
                <w:sz w:val="15"/>
                <w:szCs w:val="15"/>
                <w:color w:val="auto"/>
              </w:rPr>
              <w:t>(3,564)</w:t>
            </w: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5"/>
                <w:szCs w:val="15"/>
                <w:color w:val="auto"/>
              </w:rPr>
              <w:t>Loss attributable to stockholders of the Company</w:t>
            </w: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(7,243)</w:t>
            </w:r>
          </w:p>
        </w:tc>
        <w:tc>
          <w:tcPr>
            <w:tcW w:w="3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(8,640)</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(70,585)</w:t>
            </w:r>
          </w:p>
        </w:tc>
        <w:tc>
          <w:tcPr>
            <w:tcW w:w="3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(19,823)</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(Loss) income attributable to non-controlling interest</w:t>
            </w: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line="167" w:lineRule="exact"/>
              <w:rPr>
                <w:sz w:val="20"/>
                <w:szCs w:val="20"/>
                <w:color w:val="auto"/>
              </w:rPr>
            </w:pPr>
            <w:r>
              <w:rPr>
                <w:rFonts w:ascii="Arial" w:cs="Arial" w:eastAsia="Arial" w:hAnsi="Arial"/>
                <w:sz w:val="15"/>
                <w:szCs w:val="15"/>
                <w:color w:val="auto"/>
              </w:rPr>
              <w:t>(78)</w:t>
            </w:r>
          </w:p>
        </w:tc>
        <w:tc>
          <w:tcPr>
            <w:tcW w:w="3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line="167" w:lineRule="exact"/>
              <w:rPr>
                <w:sz w:val="20"/>
                <w:szCs w:val="20"/>
                <w:color w:val="auto"/>
              </w:rPr>
            </w:pPr>
            <w:r>
              <w:rPr>
                <w:rFonts w:ascii="Arial" w:cs="Arial" w:eastAsia="Arial" w:hAnsi="Arial"/>
                <w:sz w:val="15"/>
                <w:szCs w:val="15"/>
                <w:color w:val="auto"/>
              </w:rPr>
              <w:t>(337)</w:t>
            </w: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line="167" w:lineRule="exact"/>
              <w:rPr>
                <w:sz w:val="20"/>
                <w:szCs w:val="20"/>
                <w:color w:val="auto"/>
              </w:rPr>
            </w:pPr>
            <w:r>
              <w:rPr>
                <w:rFonts w:ascii="Arial" w:cs="Arial" w:eastAsia="Arial" w:hAnsi="Arial"/>
                <w:sz w:val="15"/>
                <w:szCs w:val="15"/>
                <w:color w:val="auto"/>
              </w:rPr>
              <w:t>(768)</w:t>
            </w: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Net loss per share:</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00" w:type="dxa"/>
            <w:vAlign w:val="bottom"/>
          </w:tcPr>
          <w:p>
            <w:pPr>
              <w:spacing w:after="0"/>
              <w:rPr>
                <w:sz w:val="20"/>
                <w:szCs w:val="20"/>
                <w:color w:val="auto"/>
              </w:rPr>
            </w:pPr>
            <w:r>
              <w:rPr>
                <w:rFonts w:ascii="Arial" w:cs="Arial" w:eastAsia="Arial" w:hAnsi="Arial"/>
                <w:sz w:val="15"/>
                <w:szCs w:val="15"/>
                <w:color w:val="auto"/>
              </w:rPr>
              <w:t>Basic</w:t>
            </w:r>
          </w:p>
        </w:tc>
        <w:tc>
          <w:tcPr>
            <w:tcW w:w="9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(0.18)</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(1.77)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(2.04)</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(4.12)</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Diluted</w:t>
            </w: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4"/>
              <w:spacing w:after="0" w:line="167"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line="167" w:lineRule="exact"/>
              <w:rPr>
                <w:sz w:val="20"/>
                <w:szCs w:val="20"/>
                <w:color w:val="auto"/>
              </w:rPr>
            </w:pPr>
            <w:r>
              <w:rPr>
                <w:rFonts w:ascii="Arial" w:cs="Arial" w:eastAsia="Arial" w:hAnsi="Arial"/>
                <w:sz w:val="15"/>
                <w:szCs w:val="15"/>
                <w:color w:val="auto"/>
              </w:rPr>
              <w:t>(0.18)</w:t>
            </w:r>
          </w:p>
        </w:tc>
        <w:tc>
          <w:tcPr>
            <w:tcW w:w="360" w:type="dxa"/>
            <w:vAlign w:val="bottom"/>
            <w:shd w:val="clear" w:color="auto" w:fill="CFF0FC"/>
          </w:tcPr>
          <w:p>
            <w:pPr>
              <w:jc w:val="right"/>
              <w:ind w:right="2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line="167" w:lineRule="exact"/>
              <w:rPr>
                <w:sz w:val="20"/>
                <w:szCs w:val="20"/>
                <w:color w:val="auto"/>
              </w:rPr>
            </w:pPr>
            <w:r>
              <w:rPr>
                <w:rFonts w:ascii="Arial" w:cs="Arial" w:eastAsia="Arial" w:hAnsi="Arial"/>
                <w:sz w:val="15"/>
                <w:szCs w:val="15"/>
                <w:color w:val="auto"/>
              </w:rPr>
              <w:t>(1.77)</w:t>
            </w:r>
          </w:p>
        </w:tc>
        <w:tc>
          <w:tcPr>
            <w:tcW w:w="260" w:type="dxa"/>
            <w:vAlign w:val="bottom"/>
            <w:shd w:val="clear" w:color="auto" w:fill="CFF0FC"/>
          </w:tcPr>
          <w:p>
            <w:pPr>
              <w:jc w:val="right"/>
              <w:ind w:right="104"/>
              <w:spacing w:after="0" w:line="167" w:lineRule="exact"/>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line="167" w:lineRule="exact"/>
              <w:rPr>
                <w:sz w:val="20"/>
                <w:szCs w:val="20"/>
                <w:color w:val="auto"/>
              </w:rPr>
            </w:pPr>
            <w:r>
              <w:rPr>
                <w:rFonts w:ascii="Arial" w:cs="Arial" w:eastAsia="Arial" w:hAnsi="Arial"/>
                <w:sz w:val="15"/>
                <w:szCs w:val="15"/>
                <w:color w:val="auto"/>
              </w:rPr>
              <w:t>(2.04)</w:t>
            </w:r>
          </w:p>
        </w:tc>
        <w:tc>
          <w:tcPr>
            <w:tcW w:w="360" w:type="dxa"/>
            <w:vAlign w:val="bottom"/>
            <w:shd w:val="clear" w:color="auto" w:fill="CFF0FC"/>
          </w:tcPr>
          <w:p>
            <w:pPr>
              <w:jc w:val="right"/>
              <w:ind w:right="204"/>
              <w:spacing w:after="0" w:line="167" w:lineRule="exact"/>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60"/>
              <w:spacing w:after="0" w:line="167" w:lineRule="exact"/>
              <w:rPr>
                <w:sz w:val="20"/>
                <w:szCs w:val="20"/>
                <w:color w:val="auto"/>
              </w:rPr>
            </w:pPr>
            <w:r>
              <w:rPr>
                <w:rFonts w:ascii="Arial" w:cs="Arial" w:eastAsia="Arial" w:hAnsi="Arial"/>
                <w:sz w:val="15"/>
                <w:szCs w:val="15"/>
                <w:color w:val="auto"/>
              </w:rPr>
              <w:t>(4.12)</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Weighted-average number of shares used in per share calculation:</w:t>
            </w: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Basic</w:t>
            </w:r>
          </w:p>
        </w:tc>
        <w:tc>
          <w:tcPr>
            <w:tcW w:w="9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40,466</w:t>
            </w:r>
          </w:p>
        </w:tc>
        <w:tc>
          <w:tcPr>
            <w:tcW w:w="2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4,884</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34,553</w:t>
            </w:r>
          </w:p>
        </w:tc>
        <w:tc>
          <w:tcPr>
            <w:tcW w:w="2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4,812</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5"/>
                <w:szCs w:val="15"/>
                <w:color w:val="auto"/>
              </w:rPr>
              <w:t>Diluted</w:t>
            </w: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40,466</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4,884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34,553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4,812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4" w:name="page5"/>
    <w:bookmarkEnd w:id="4"/>
    <w:p>
      <w:pPr>
        <w:ind w:left="4800"/>
        <w:spacing w:after="0"/>
        <w:rPr>
          <w:sz w:val="20"/>
          <w:szCs w:val="20"/>
          <w:color w:val="auto"/>
        </w:rPr>
      </w:pPr>
      <w:r>
        <w:rPr>
          <w:rFonts w:ascii="Arial" w:cs="Arial" w:eastAsia="Arial" w:hAnsi="Arial"/>
          <w:sz w:val="15"/>
          <w:szCs w:val="15"/>
          <w:b w:val="1"/>
          <w:bCs w:val="1"/>
          <w:color w:val="auto"/>
        </w:rPr>
        <w:t>VENUS CONCEPT INC.</w:t>
      </w:r>
    </w:p>
    <w:p>
      <w:pPr>
        <w:spacing w:after="0" w:line="100" w:lineRule="exact"/>
        <w:rPr>
          <w:sz w:val="20"/>
          <w:szCs w:val="20"/>
          <w:color w:val="auto"/>
        </w:rPr>
      </w:pPr>
    </w:p>
    <w:p>
      <w:pPr>
        <w:ind w:left="3680"/>
        <w:spacing w:after="0"/>
        <w:rPr>
          <w:sz w:val="20"/>
          <w:szCs w:val="20"/>
          <w:color w:val="auto"/>
        </w:rPr>
      </w:pPr>
      <w:r>
        <w:rPr>
          <w:rFonts w:ascii="Arial" w:cs="Arial" w:eastAsia="Arial" w:hAnsi="Arial"/>
          <w:sz w:val="15"/>
          <w:szCs w:val="15"/>
          <w:b w:val="1"/>
          <w:bCs w:val="1"/>
          <w:color w:val="auto"/>
        </w:rPr>
        <w:t>Condensed Consolidated Statements of Comprehensive Loss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3"/>
          </w:tcPr>
          <w:p>
            <w:pPr>
              <w:jc w:val="right"/>
              <w:ind w:right="131"/>
              <w:spacing w:after="0"/>
              <w:rPr>
                <w:sz w:val="20"/>
                <w:szCs w:val="20"/>
                <w:color w:val="auto"/>
              </w:rPr>
            </w:pPr>
            <w:r>
              <w:rPr>
                <w:rFonts w:ascii="Arial" w:cs="Arial" w:eastAsia="Arial" w:hAnsi="Arial"/>
                <w:sz w:val="12"/>
                <w:szCs w:val="12"/>
                <w:b w:val="1"/>
                <w:bCs w:val="1"/>
                <w:color w:val="auto"/>
              </w:rPr>
              <w:t>Three Months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3"/>
          </w:tcPr>
          <w:p>
            <w:pPr>
              <w:jc w:val="right"/>
              <w:ind w:right="144"/>
              <w:spacing w:after="0"/>
              <w:rPr>
                <w:sz w:val="20"/>
                <w:szCs w:val="20"/>
                <w:color w:val="auto"/>
              </w:rPr>
            </w:pPr>
            <w:r>
              <w:rPr>
                <w:rFonts w:ascii="Arial" w:cs="Arial" w:eastAsia="Arial" w:hAnsi="Arial"/>
                <w:sz w:val="12"/>
                <w:szCs w:val="12"/>
                <w:b w:val="1"/>
                <w:bCs w:val="1"/>
                <w:color w:val="auto"/>
              </w:rPr>
              <w:t>Nine Months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7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80" w:type="dxa"/>
            <w:vAlign w:val="bottom"/>
            <w:tcBorders>
              <w:bottom w:val="single" w:sz="8" w:color="CFF0FC"/>
            </w:tcBorders>
          </w:tcPr>
          <w:p>
            <w:pPr>
              <w:spacing w:after="0"/>
              <w:rPr>
                <w:sz w:val="11"/>
                <w:szCs w:val="11"/>
                <w:color w:val="auto"/>
              </w:rPr>
            </w:pPr>
          </w:p>
        </w:tc>
        <w:tc>
          <w:tcPr>
            <w:tcW w:w="84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0"/>
              <w:spacing w:after="0" w:line="128" w:lineRule="exact"/>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87"/>
              <w:spacing w:after="0" w:line="128" w:lineRule="exact"/>
              <w:rPr>
                <w:sz w:val="20"/>
                <w:szCs w:val="20"/>
                <w:color w:val="auto"/>
              </w:rPr>
            </w:pPr>
            <w:r>
              <w:rPr>
                <w:rFonts w:ascii="Arial" w:cs="Arial" w:eastAsia="Arial" w:hAnsi="Arial"/>
                <w:sz w:val="12"/>
                <w:szCs w:val="12"/>
                <w:b w:val="1"/>
                <w:bCs w:val="1"/>
                <w:color w:val="auto"/>
                <w:w w:val="89"/>
              </w:rPr>
              <w:t>2019</w:t>
            </w:r>
          </w:p>
        </w:tc>
        <w:tc>
          <w:tcPr>
            <w:tcW w:w="24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90"/>
              <w:spacing w:after="0" w:line="128" w:lineRule="exact"/>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CFF0FC"/>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87"/>
              <w:spacing w:after="0" w:line="128" w:lineRule="exact"/>
              <w:rPr>
                <w:sz w:val="20"/>
                <w:szCs w:val="20"/>
                <w:color w:val="auto"/>
              </w:rPr>
            </w:pPr>
            <w:r>
              <w:rPr>
                <w:rFonts w:ascii="Arial" w:cs="Arial" w:eastAsia="Arial" w:hAnsi="Arial"/>
                <w:sz w:val="12"/>
                <w:szCs w:val="12"/>
                <w:b w:val="1"/>
                <w:bCs w:val="1"/>
                <w:color w:val="auto"/>
                <w:w w:val="89"/>
              </w:rPr>
              <w:t>2019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980" w:type="dxa"/>
            <w:vAlign w:val="bottom"/>
            <w:shd w:val="clear" w:color="auto" w:fill="CFF0FC"/>
          </w:tcPr>
          <w:p>
            <w:pPr>
              <w:spacing w:after="0"/>
              <w:rPr>
                <w:sz w:val="20"/>
                <w:szCs w:val="20"/>
                <w:color w:val="auto"/>
              </w:rPr>
            </w:pPr>
            <w:r>
              <w:rPr>
                <w:rFonts w:ascii="Arial" w:cs="Arial" w:eastAsia="Arial" w:hAnsi="Arial"/>
                <w:sz w:val="15"/>
                <w:szCs w:val="15"/>
                <w:color w:val="auto"/>
              </w:rPr>
              <w:t>Net loss and comprehensive loss</w:t>
            </w:r>
          </w:p>
        </w:tc>
        <w:tc>
          <w:tcPr>
            <w:tcW w:w="1100" w:type="dxa"/>
            <w:vAlign w:val="bottom"/>
            <w:gridSpan w:val="2"/>
            <w:shd w:val="clear" w:color="auto" w:fill="CFF0FC"/>
          </w:tcPr>
          <w:p>
            <w:pPr>
              <w:jc w:val="right"/>
              <w:ind w:right="104"/>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(7,321)</w:t>
            </w:r>
          </w:p>
        </w:tc>
        <w:tc>
          <w:tcPr>
            <w:tcW w:w="420" w:type="dxa"/>
            <w:vAlign w:val="bottom"/>
            <w:shd w:val="clear" w:color="auto" w:fill="CFF0FC"/>
          </w:tcPr>
          <w:p>
            <w:pPr>
              <w:jc w:val="right"/>
              <w:ind w:right="3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(8,977)</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(67,789)</w:t>
            </w: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(19,560)</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20"/>
                <w:szCs w:val="20"/>
                <w:color w:val="auto"/>
              </w:rPr>
            </w:pPr>
            <w:r>
              <w:rPr>
                <w:rFonts w:ascii="Arial" w:cs="Arial" w:eastAsia="Arial" w:hAnsi="Arial"/>
                <w:sz w:val="15"/>
                <w:szCs w:val="15"/>
                <w:color w:val="auto"/>
              </w:rPr>
              <w:t>Deemed dividend</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(3,564)</w:t>
            </w: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CFF0FC"/>
          </w:tcPr>
          <w:p>
            <w:pPr>
              <w:spacing w:after="0"/>
              <w:rPr>
                <w:sz w:val="20"/>
                <w:szCs w:val="20"/>
                <w:color w:val="auto"/>
              </w:rPr>
            </w:pPr>
            <w:r>
              <w:rPr>
                <w:rFonts w:ascii="Arial" w:cs="Arial" w:eastAsia="Arial" w:hAnsi="Arial"/>
                <w:sz w:val="15"/>
                <w:szCs w:val="15"/>
                <w:color w:val="auto"/>
              </w:rPr>
              <w:t>Loss attributable to stockholders of the Company</w:t>
            </w: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(7,243)</w:t>
            </w:r>
          </w:p>
        </w:tc>
        <w:tc>
          <w:tcPr>
            <w:tcW w:w="4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(8,640)</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(70,585)</w:t>
            </w:r>
          </w:p>
        </w:tc>
        <w:tc>
          <w:tcPr>
            <w:tcW w:w="4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(19,823)</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20"/>
                <w:szCs w:val="20"/>
                <w:color w:val="auto"/>
              </w:rPr>
            </w:pPr>
            <w:r>
              <w:rPr>
                <w:rFonts w:ascii="Arial" w:cs="Arial" w:eastAsia="Arial" w:hAnsi="Arial"/>
                <w:sz w:val="15"/>
                <w:szCs w:val="15"/>
                <w:color w:val="auto"/>
              </w:rPr>
              <w:t>Comprehensive (loss) income attributable to non-controlling interest</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(78)</w:t>
            </w: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(337)</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(768)</w:t>
            </w: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Comprehensive loss</w:t>
            </w: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80" w:type="dxa"/>
            <w:vAlign w:val="bottom"/>
            <w:vMerge w:val="continue"/>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(7,321)</w:t>
            </w:r>
          </w:p>
        </w:tc>
        <w:tc>
          <w:tcPr>
            <w:tcW w:w="420" w:type="dxa"/>
            <w:vAlign w:val="bottom"/>
            <w:shd w:val="clear" w:color="auto" w:fill="CFF0FC"/>
          </w:tcPr>
          <w:p>
            <w:pPr>
              <w:jc w:val="right"/>
              <w:ind w:right="3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(8,977)</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(71,353)</w:t>
            </w: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(19,560)</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5" w:name="page6"/>
    <w:bookmarkEnd w:id="5"/>
    <w:p>
      <w:pPr>
        <w:ind w:left="4800"/>
        <w:spacing w:after="0"/>
        <w:rPr>
          <w:sz w:val="20"/>
          <w:szCs w:val="20"/>
          <w:color w:val="auto"/>
        </w:rPr>
      </w:pPr>
      <w:r>
        <w:rPr>
          <w:rFonts w:ascii="Arial" w:cs="Arial" w:eastAsia="Arial" w:hAnsi="Arial"/>
          <w:sz w:val="15"/>
          <w:szCs w:val="15"/>
          <w:b w:val="1"/>
          <w:bCs w:val="1"/>
          <w:color w:val="auto"/>
        </w:rPr>
        <w:t>VENUS CONCEPT INC.</w:t>
      </w:r>
    </w:p>
    <w:p>
      <w:pPr>
        <w:spacing w:after="0" w:line="100"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i w:val="1"/>
          <w:iCs w:val="1"/>
          <w:color w:val="auto"/>
        </w:rPr>
        <w:t>(in thousands, except for shares)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4"/>
          </w:tcPr>
          <w:p>
            <w:pPr>
              <w:jc w:val="right"/>
              <w:spacing w:after="0"/>
              <w:rPr>
                <w:sz w:val="20"/>
                <w:szCs w:val="20"/>
                <w:color w:val="auto"/>
              </w:rPr>
            </w:pPr>
            <w:r>
              <w:rPr>
                <w:rFonts w:ascii="Arial" w:cs="Arial" w:eastAsia="Arial" w:hAnsi="Arial"/>
                <w:sz w:val="11"/>
                <w:szCs w:val="11"/>
                <w:b w:val="1"/>
                <w:bCs w:val="1"/>
                <w:color w:val="auto"/>
                <w:w w:val="92"/>
              </w:rPr>
              <w:t>Preferred Stock</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4"/>
          </w:tcPr>
          <w:p>
            <w:pPr>
              <w:jc w:val="center"/>
              <w:ind w:right="67"/>
              <w:spacing w:after="0"/>
              <w:rPr>
                <w:sz w:val="20"/>
                <w:szCs w:val="20"/>
                <w:color w:val="auto"/>
              </w:rPr>
            </w:pPr>
            <w:r>
              <w:rPr>
                <w:rFonts w:ascii="Arial" w:cs="Arial" w:eastAsia="Arial" w:hAnsi="Arial"/>
                <w:sz w:val="11"/>
                <w:szCs w:val="11"/>
                <w:b w:val="1"/>
                <w:bCs w:val="1"/>
                <w:color w:val="auto"/>
                <w:w w:val="95"/>
              </w:rPr>
              <w:t>Non-</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5"/>
          </w:tcPr>
          <w:p>
            <w:pPr>
              <w:jc w:val="center"/>
              <w:ind w:right="4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7"/>
        </w:trPr>
        <w:tc>
          <w:tcPr>
            <w:tcW w:w="2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Series A</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91"/>
              </w:rPr>
              <w:t>Common Stock</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5"/>
          </w:tcPr>
          <w:p>
            <w:pPr>
              <w:ind w:left="220"/>
              <w:spacing w:after="0"/>
              <w:rPr>
                <w:sz w:val="20"/>
                <w:szCs w:val="20"/>
                <w:color w:val="auto"/>
              </w:rPr>
            </w:pPr>
            <w:r>
              <w:rPr>
                <w:rFonts w:ascii="Arial" w:cs="Arial" w:eastAsia="Arial" w:hAnsi="Arial"/>
                <w:sz w:val="11"/>
                <w:szCs w:val="11"/>
                <w:b w:val="1"/>
                <w:bCs w:val="1"/>
                <w:color w:val="auto"/>
              </w:rPr>
              <w:t>Paid-</w:t>
            </w:r>
          </w:p>
        </w:tc>
        <w:tc>
          <w:tcPr>
            <w:tcW w:w="180" w:type="dxa"/>
            <w:vAlign w:val="bottom"/>
          </w:tcPr>
          <w:p>
            <w:pPr>
              <w:spacing w:after="0"/>
              <w:rPr>
                <w:sz w:val="12"/>
                <w:szCs w:val="12"/>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12"/>
                <w:szCs w:val="12"/>
                <w:color w:val="auto"/>
              </w:rPr>
            </w:pPr>
          </w:p>
        </w:tc>
        <w:tc>
          <w:tcPr>
            <w:tcW w:w="800" w:type="dxa"/>
            <w:vAlign w:val="bottom"/>
            <w:gridSpan w:val="4"/>
          </w:tcPr>
          <w:p>
            <w:pPr>
              <w:jc w:val="center"/>
              <w:ind w:right="67"/>
              <w:spacing w:after="0"/>
              <w:rPr>
                <w:sz w:val="20"/>
                <w:szCs w:val="20"/>
                <w:color w:val="auto"/>
              </w:rPr>
            </w:pPr>
            <w:r>
              <w:rPr>
                <w:rFonts w:ascii="Arial" w:cs="Arial" w:eastAsia="Arial" w:hAnsi="Arial"/>
                <w:sz w:val="11"/>
                <w:szCs w:val="11"/>
                <w:b w:val="1"/>
                <w:bCs w:val="1"/>
                <w:color w:val="auto"/>
                <w:w w:val="91"/>
              </w:rPr>
              <w:t>controlling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6"/>
          </w:tcPr>
          <w:p>
            <w:pPr>
              <w:jc w:val="center"/>
              <w:ind w:right="220"/>
              <w:spacing w:after="0"/>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182"/>
        </w:trPr>
        <w:tc>
          <w:tcPr>
            <w:tcW w:w="280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1"/>
                <w:szCs w:val="11"/>
                <w:b w:val="1"/>
                <w:bCs w:val="1"/>
                <w:color w:val="auto"/>
              </w:rPr>
              <w:t>in-Capital</w:t>
            </w:r>
          </w:p>
        </w:tc>
        <w:tc>
          <w:tcPr>
            <w:tcW w:w="6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1"/>
                <w:szCs w:val="11"/>
                <w:b w:val="1"/>
                <w:bCs w:val="1"/>
                <w:color w:val="auto"/>
              </w:rPr>
              <w:t>Deficit</w:t>
            </w:r>
          </w:p>
        </w:tc>
        <w:tc>
          <w:tcPr>
            <w:tcW w:w="4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5"/>
              </w:rPr>
              <w:t>Interest</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center"/>
              <w:ind w:right="223"/>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Borders>
              <w:bottom w:val="single" w:sz="8" w:color="CFF0FC"/>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800" w:type="dxa"/>
            <w:vAlign w:val="bottom"/>
            <w:shd w:val="clear" w:color="auto" w:fill="CFF0FC"/>
          </w:tcPr>
          <w:p>
            <w:pPr>
              <w:spacing w:after="0"/>
              <w:rPr>
                <w:sz w:val="20"/>
                <w:szCs w:val="20"/>
                <w:color w:val="auto"/>
              </w:rPr>
            </w:pPr>
            <w:r>
              <w:rPr>
                <w:rFonts w:ascii="Arial" w:cs="Arial" w:eastAsia="Arial" w:hAnsi="Arial"/>
                <w:sz w:val="11"/>
                <w:szCs w:val="11"/>
                <w:color w:val="auto"/>
              </w:rPr>
              <w:t>Balance — January 1, 2020</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jc w:val="right"/>
              <w:ind w:right="65"/>
              <w:spacing w:after="0"/>
              <w:rPr>
                <w:sz w:val="20"/>
                <w:szCs w:val="20"/>
                <w:color w:val="auto"/>
              </w:rPr>
            </w:pPr>
            <w:r>
              <w:rPr>
                <w:rFonts w:ascii="Arial" w:cs="Arial" w:eastAsia="Arial" w:hAnsi="Arial"/>
                <w:sz w:val="10"/>
                <w:szCs w:val="10"/>
                <w:color w:val="auto"/>
                <w:w w:val="71"/>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0"/>
              </w:rPr>
              <w:t>28,686,116</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5"/>
              </w:rPr>
              <w:t>149,840</w:t>
            </w:r>
          </w:p>
        </w:tc>
        <w:tc>
          <w:tcPr>
            <w:tcW w:w="60" w:type="dxa"/>
            <w:vAlign w:val="bottom"/>
            <w:shd w:val="clear" w:color="auto" w:fill="CFF0FC"/>
          </w:tcPr>
          <w:p>
            <w:pPr>
              <w:spacing w:after="0"/>
              <w:rPr>
                <w:sz w:val="11"/>
                <w:szCs w:val="11"/>
                <w:color w:val="auto"/>
              </w:rPr>
            </w:pPr>
          </w:p>
        </w:tc>
        <w:tc>
          <w:tcPr>
            <w:tcW w:w="240" w:type="dxa"/>
            <w:vAlign w:val="bottom"/>
            <w:gridSpan w:val="2"/>
            <w:shd w:val="clear" w:color="auto" w:fill="CFF0FC"/>
          </w:tcPr>
          <w:p>
            <w:pPr>
              <w:ind w:left="180"/>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spacing w:after="0"/>
              <w:rPr>
                <w:sz w:val="11"/>
                <w:szCs w:val="11"/>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w w:val="92"/>
              </w:rPr>
              <w:t>(75,686)</w:t>
            </w:r>
          </w:p>
        </w:tc>
        <w:tc>
          <w:tcPr>
            <w:tcW w:w="580" w:type="dxa"/>
            <w:vAlign w:val="bottom"/>
            <w:tcBorders>
              <w:right w:val="single" w:sz="8" w:color="CFF0FC"/>
            </w:tcBorders>
            <w:gridSpan w:val="2"/>
            <w:shd w:val="clear" w:color="auto" w:fill="CFF0FC"/>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4"/>
              </w:rPr>
              <w:t>2,500</w:t>
            </w:r>
          </w:p>
        </w:tc>
        <w:tc>
          <w:tcPr>
            <w:tcW w:w="100" w:type="dxa"/>
            <w:vAlign w:val="bottom"/>
            <w:shd w:val="clear" w:color="auto" w:fill="CFF0FC"/>
          </w:tcPr>
          <w:p>
            <w:pPr>
              <w:spacing w:after="0"/>
              <w:rPr>
                <w:sz w:val="11"/>
                <w:szCs w:val="11"/>
                <w:color w:val="auto"/>
              </w:rPr>
            </w:pPr>
          </w:p>
        </w:tc>
        <w:tc>
          <w:tcPr>
            <w:tcW w:w="380" w:type="dxa"/>
            <w:vAlign w:val="bottom"/>
            <w:tcBorders>
              <w:right w:val="single" w:sz="8" w:color="CFF0FC"/>
            </w:tcBorders>
            <w:gridSpan w:val="3"/>
            <w:shd w:val="clear" w:color="auto" w:fill="CFF0FC"/>
          </w:tcPr>
          <w:p>
            <w:pPr>
              <w:jc w:val="right"/>
              <w:ind w:right="143"/>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76,678</w:t>
            </w:r>
          </w:p>
        </w:tc>
        <w:tc>
          <w:tcPr>
            <w:tcW w:w="100" w:type="dxa"/>
            <w:vAlign w:val="bottom"/>
            <w:shd w:val="clear" w:color="auto" w:fill="CFF0FC"/>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Issuance of common stock</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1,208,169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2020 Private Placement shares, net of costs</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0"/>
              </w:rPr>
              <w:t>660,000</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2,300,000</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12,115</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12,115</w:t>
            </w:r>
          </w:p>
        </w:tc>
        <w:tc>
          <w:tcPr>
            <w:tcW w:w="100" w:type="dxa"/>
            <w:vAlign w:val="bottom"/>
            <w:shd w:val="clear" w:color="auto" w:fill="CFF0FC"/>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2020 Private Placement Warrants, net of costs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4,621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4,621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Beneficial conversion feature</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3,564</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3,564</w:t>
            </w:r>
          </w:p>
        </w:tc>
        <w:tc>
          <w:tcPr>
            <w:tcW w:w="100" w:type="dxa"/>
            <w:vAlign w:val="bottom"/>
            <w:shd w:val="clear" w:color="auto" w:fill="CFF0FC"/>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Dividends from subsidiaries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gridSpan w:val="3"/>
          </w:tcPr>
          <w:p>
            <w:pPr>
              <w:jc w:val="right"/>
              <w:ind w:right="7"/>
              <w:spacing w:after="0"/>
              <w:rPr>
                <w:sz w:val="20"/>
                <w:szCs w:val="20"/>
                <w:color w:val="auto"/>
              </w:rPr>
            </w:pPr>
            <w:r>
              <w:rPr>
                <w:rFonts w:ascii="Arial" w:cs="Arial" w:eastAsia="Arial" w:hAnsi="Arial"/>
                <w:sz w:val="11"/>
                <w:szCs w:val="11"/>
                <w:color w:val="auto"/>
              </w:rPr>
              <w:t>(218)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(218)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Net loss - the Company</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w w:val="92"/>
              </w:rPr>
              <w:t>(50,190)</w:t>
            </w:r>
          </w:p>
        </w:tc>
        <w:tc>
          <w:tcPr>
            <w:tcW w:w="1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(50,190)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Net loss - non-controlling interest</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gridSpan w:val="3"/>
          </w:tcPr>
          <w:p>
            <w:pPr>
              <w:jc w:val="right"/>
              <w:ind w:right="7"/>
              <w:spacing w:after="0"/>
              <w:rPr>
                <w:sz w:val="20"/>
                <w:szCs w:val="20"/>
                <w:color w:val="auto"/>
              </w:rPr>
            </w:pPr>
            <w:r>
              <w:rPr>
                <w:rFonts w:ascii="Arial" w:cs="Arial" w:eastAsia="Arial" w:hAnsi="Arial"/>
                <w:sz w:val="11"/>
                <w:szCs w:val="11"/>
                <w:color w:val="auto"/>
              </w:rPr>
              <w:t>(513)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(513)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bottom w:val="single" w:sz="8" w:color="auto"/>
              <w:right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517</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tcBorders>
              <w:bottom w:val="single" w:sz="8" w:color="auto"/>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tcBorders>
              <w:bottom w:val="single" w:sz="8" w:color="auto"/>
              <w:right w:val="single" w:sz="8" w:color="CFF0FC"/>
            </w:tcBorders>
            <w:shd w:val="clear" w:color="auto" w:fill="CFF0FC"/>
          </w:tcPr>
          <w:p>
            <w:pPr>
              <w:spacing w:after="0"/>
              <w:rPr>
                <w:sz w:val="11"/>
                <w:szCs w:val="11"/>
                <w:color w:val="auto"/>
              </w:rPr>
            </w:pPr>
          </w:p>
        </w:tc>
        <w:tc>
          <w:tcPr>
            <w:tcW w:w="180" w:type="dxa"/>
            <w:vAlign w:val="bottom"/>
            <w:tcBorders>
              <w:bottom w:val="single" w:sz="8" w:color="auto"/>
              <w:right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517</w:t>
            </w:r>
          </w:p>
        </w:tc>
        <w:tc>
          <w:tcPr>
            <w:tcW w:w="100" w:type="dxa"/>
            <w:vAlign w:val="bottom"/>
            <w:shd w:val="clear" w:color="auto" w:fill="CFF0FC"/>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Arial" w:cs="Arial" w:eastAsia="Arial" w:hAnsi="Arial"/>
                <w:sz w:val="11"/>
                <w:szCs w:val="11"/>
                <w:color w:val="auto"/>
              </w:rPr>
              <w:t>Balance — March 31, 2020</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w w:val="90"/>
              </w:rPr>
              <w:t>660,000</w:t>
            </w:r>
          </w:p>
        </w:tc>
        <w:tc>
          <w:tcPr>
            <w:tcW w:w="24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w w:val="90"/>
              </w:rPr>
              <w:t>32,194,285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24</w:t>
            </w:r>
          </w:p>
        </w:tc>
        <w:tc>
          <w:tcPr>
            <w:tcW w:w="34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w w:val="95"/>
              </w:rPr>
              <w:t>170,657</w:t>
            </w:r>
          </w:p>
        </w:tc>
        <w:tc>
          <w:tcPr>
            <w:tcW w:w="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(125,876)</w:t>
            </w:r>
          </w:p>
        </w:tc>
        <w:tc>
          <w:tcPr>
            <w:tcW w:w="580" w:type="dxa"/>
            <w:vAlign w:val="bottom"/>
            <w:gridSpan w:val="2"/>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w w:val="94"/>
              </w:rPr>
              <w:t>1,769</w:t>
            </w:r>
          </w:p>
        </w:tc>
        <w:tc>
          <w:tcPr>
            <w:tcW w:w="100" w:type="dxa"/>
            <w:vAlign w:val="bottom"/>
          </w:tcPr>
          <w:p>
            <w:pPr>
              <w:spacing w:after="0"/>
              <w:rPr>
                <w:sz w:val="14"/>
                <w:szCs w:val="14"/>
                <w:color w:val="auto"/>
              </w:rPr>
            </w:pPr>
          </w:p>
        </w:tc>
        <w:tc>
          <w:tcPr>
            <w:tcW w:w="380" w:type="dxa"/>
            <w:vAlign w:val="bottom"/>
            <w:gridSpan w:val="3"/>
          </w:tcPr>
          <w:p>
            <w:pPr>
              <w:jc w:val="right"/>
              <w:ind w:right="1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46,574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800" w:type="dxa"/>
            <w:vAlign w:val="bottom"/>
            <w:tcBorders>
              <w:top w:val="single" w:sz="8" w:color="CFF0FC"/>
            </w:tcBorders>
            <w:shd w:val="clear" w:color="auto" w:fill="CFF0FC"/>
          </w:tcPr>
          <w:p>
            <w:pPr>
              <w:ind w:left="200"/>
              <w:spacing w:after="0" w:line="111" w:lineRule="exact"/>
              <w:rPr>
                <w:sz w:val="20"/>
                <w:szCs w:val="20"/>
                <w:color w:val="auto"/>
              </w:rPr>
            </w:pPr>
            <w:r>
              <w:rPr>
                <w:rFonts w:ascii="Arial" w:cs="Arial" w:eastAsia="Arial" w:hAnsi="Arial"/>
                <w:sz w:val="11"/>
                <w:szCs w:val="11"/>
                <w:color w:val="auto"/>
              </w:rPr>
              <w:t>Issuance of common stock</w:t>
            </w:r>
          </w:p>
        </w:tc>
        <w:tc>
          <w:tcPr>
            <w:tcW w:w="580" w:type="dxa"/>
            <w:vAlign w:val="bottom"/>
            <w:tcBorders>
              <w:top w:val="single" w:sz="8" w:color="CFF0FC"/>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300" w:type="dxa"/>
            <w:vAlign w:val="bottom"/>
            <w:tcBorders>
              <w:top w:val="single" w:sz="8" w:color="CFF0FC"/>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right w:val="single" w:sz="8" w:color="CFF0FC"/>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tcBorders>
              <w:top w:val="single" w:sz="8" w:color="CFF0FC"/>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1,013,060</w:t>
            </w:r>
          </w:p>
        </w:tc>
        <w:tc>
          <w:tcPr>
            <w:tcW w:w="220" w:type="dxa"/>
            <w:vAlign w:val="bottom"/>
            <w:tcBorders>
              <w:top w:val="single" w:sz="8" w:color="CFF0FC"/>
              <w:right w:val="single" w:sz="8" w:color="CFF0FC"/>
            </w:tcBorders>
            <w:shd w:val="clear" w:color="auto" w:fill="CFF0FC"/>
          </w:tcPr>
          <w:p>
            <w:pPr>
              <w:spacing w:after="0"/>
              <w:rPr>
                <w:sz w:val="9"/>
                <w:szCs w:val="9"/>
                <w:color w:val="auto"/>
              </w:rPr>
            </w:pPr>
          </w:p>
        </w:tc>
        <w:tc>
          <w:tcPr>
            <w:tcW w:w="100" w:type="dxa"/>
            <w:vAlign w:val="bottom"/>
            <w:tcBorders>
              <w:top w:val="single" w:sz="8" w:color="auto"/>
              <w:right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3,393</w:t>
            </w:r>
          </w:p>
        </w:tc>
        <w:tc>
          <w:tcPr>
            <w:tcW w:w="6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CFF0FC"/>
            </w:tcBorders>
            <w:shd w:val="clear" w:color="auto" w:fill="CFF0FC"/>
          </w:tcPr>
          <w:p>
            <w:pPr>
              <w:spacing w:after="0"/>
              <w:rPr>
                <w:sz w:val="9"/>
                <w:szCs w:val="9"/>
                <w:color w:val="auto"/>
              </w:rPr>
            </w:pPr>
          </w:p>
        </w:tc>
        <w:tc>
          <w:tcPr>
            <w:tcW w:w="40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w w:val="90"/>
              </w:rPr>
              <w:t>—</w:t>
            </w:r>
          </w:p>
        </w:tc>
        <w:tc>
          <w:tcPr>
            <w:tcW w:w="10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24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tcBorders>
              <w:top w:val="single" w:sz="8" w:color="auto"/>
              <w:right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3,393</w:t>
            </w: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Conversion of Preferred Stock Series A</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5"/>
          </w:tcPr>
          <w:p>
            <w:pPr>
              <w:jc w:val="right"/>
              <w:ind w:right="200"/>
              <w:spacing w:after="0"/>
              <w:rPr>
                <w:sz w:val="20"/>
                <w:szCs w:val="20"/>
                <w:color w:val="auto"/>
              </w:rPr>
            </w:pPr>
            <w:r>
              <w:rPr>
                <w:rFonts w:ascii="Arial" w:cs="Arial" w:eastAsia="Arial" w:hAnsi="Arial"/>
                <w:sz w:val="11"/>
                <w:szCs w:val="11"/>
                <w:color w:val="auto"/>
              </w:rPr>
              <w:t>(660,000)</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6,600,000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Beneficial conversion feature</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(3,564)</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(3,564)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Deemed dividend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3,564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3,564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Disposal of subsidiary</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400" w:type="dxa"/>
            <w:vAlign w:val="bottom"/>
            <w:gridSpan w:val="3"/>
            <w:shd w:val="clear" w:color="auto" w:fill="CFF0FC"/>
          </w:tcPr>
          <w:p>
            <w:pPr>
              <w:jc w:val="right"/>
              <w:ind w:right="7"/>
              <w:spacing w:after="0"/>
              <w:rPr>
                <w:sz w:val="20"/>
                <w:szCs w:val="20"/>
                <w:color w:val="auto"/>
              </w:rPr>
            </w:pPr>
            <w:r>
              <w:rPr>
                <w:rFonts w:ascii="Arial" w:cs="Arial" w:eastAsia="Arial" w:hAnsi="Arial"/>
                <w:sz w:val="11"/>
                <w:szCs w:val="11"/>
                <w:color w:val="auto"/>
              </w:rPr>
              <w:t>(441)</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(441)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Net loss - the Company</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(9,588)</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(9,588)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Net loss - non-controlling interest</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400" w:type="dxa"/>
            <w:vAlign w:val="bottom"/>
            <w:gridSpan w:val="3"/>
            <w:shd w:val="clear" w:color="auto" w:fill="CFF0FC"/>
          </w:tcPr>
          <w:p>
            <w:pPr>
              <w:jc w:val="right"/>
              <w:ind w:right="7"/>
              <w:spacing w:after="0"/>
              <w:rPr>
                <w:sz w:val="20"/>
                <w:szCs w:val="20"/>
                <w:color w:val="auto"/>
              </w:rPr>
            </w:pPr>
            <w:r>
              <w:rPr>
                <w:rFonts w:ascii="Arial" w:cs="Arial" w:eastAsia="Arial" w:hAnsi="Arial"/>
                <w:sz w:val="11"/>
                <w:szCs w:val="11"/>
                <w:color w:val="auto"/>
              </w:rPr>
              <w:t>(177)</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(177)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Options exercised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22,777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bottom w:val="single" w:sz="8" w:color="auto"/>
              <w:right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539</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tcBorders>
              <w:bottom w:val="single" w:sz="8" w:color="auto"/>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tcBorders>
              <w:bottom w:val="single" w:sz="8" w:color="auto"/>
              <w:right w:val="single" w:sz="8" w:color="CFF0FC"/>
            </w:tcBorders>
            <w:shd w:val="clear" w:color="auto" w:fill="CFF0FC"/>
          </w:tcPr>
          <w:p>
            <w:pPr>
              <w:spacing w:after="0"/>
              <w:rPr>
                <w:sz w:val="11"/>
                <w:szCs w:val="11"/>
                <w:color w:val="auto"/>
              </w:rPr>
            </w:pPr>
          </w:p>
        </w:tc>
        <w:tc>
          <w:tcPr>
            <w:tcW w:w="180" w:type="dxa"/>
            <w:vAlign w:val="bottom"/>
            <w:tcBorders>
              <w:bottom w:val="single" w:sz="8" w:color="auto"/>
              <w:right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FF0FC"/>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Arial" w:cs="Arial" w:eastAsia="Arial" w:hAnsi="Arial"/>
                <w:sz w:val="11"/>
                <w:szCs w:val="11"/>
                <w:color w:val="auto"/>
              </w:rPr>
              <w:t>Balance — June 30, 2020</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w w:val="90"/>
              </w:rPr>
              <w:t>39,830,122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25</w:t>
            </w:r>
          </w:p>
        </w:tc>
        <w:tc>
          <w:tcPr>
            <w:tcW w:w="34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w w:val="95"/>
              </w:rPr>
              <w:t>174,622</w:t>
            </w:r>
          </w:p>
        </w:tc>
        <w:tc>
          <w:tcPr>
            <w:tcW w:w="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(135,464)</w:t>
            </w:r>
          </w:p>
        </w:tc>
        <w:tc>
          <w:tcPr>
            <w:tcW w:w="580" w:type="dxa"/>
            <w:vAlign w:val="bottom"/>
            <w:gridSpan w:val="2"/>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w w:val="94"/>
              </w:rPr>
              <w:t>1,151</w:t>
            </w:r>
          </w:p>
        </w:tc>
        <w:tc>
          <w:tcPr>
            <w:tcW w:w="100" w:type="dxa"/>
            <w:vAlign w:val="bottom"/>
          </w:tcPr>
          <w:p>
            <w:pPr>
              <w:spacing w:after="0"/>
              <w:rPr>
                <w:sz w:val="14"/>
                <w:szCs w:val="14"/>
                <w:color w:val="auto"/>
              </w:rPr>
            </w:pPr>
          </w:p>
        </w:tc>
        <w:tc>
          <w:tcPr>
            <w:tcW w:w="380" w:type="dxa"/>
            <w:vAlign w:val="bottom"/>
            <w:gridSpan w:val="3"/>
          </w:tcPr>
          <w:p>
            <w:pPr>
              <w:jc w:val="right"/>
              <w:ind w:right="1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40,334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800" w:type="dxa"/>
            <w:vAlign w:val="bottom"/>
            <w:tcBorders>
              <w:top w:val="single" w:sz="8" w:color="CFF0FC"/>
            </w:tcBorders>
            <w:shd w:val="clear" w:color="auto" w:fill="CFF0FC"/>
          </w:tcPr>
          <w:p>
            <w:pPr>
              <w:ind w:left="200"/>
              <w:spacing w:after="0" w:line="111" w:lineRule="exact"/>
              <w:rPr>
                <w:sz w:val="20"/>
                <w:szCs w:val="20"/>
                <w:color w:val="auto"/>
              </w:rPr>
            </w:pPr>
            <w:r>
              <w:rPr>
                <w:rFonts w:ascii="Arial" w:cs="Arial" w:eastAsia="Arial" w:hAnsi="Arial"/>
                <w:sz w:val="11"/>
                <w:szCs w:val="11"/>
                <w:color w:val="auto"/>
              </w:rPr>
              <w:t>Issuance of common stock</w:t>
            </w:r>
          </w:p>
        </w:tc>
        <w:tc>
          <w:tcPr>
            <w:tcW w:w="580" w:type="dxa"/>
            <w:vAlign w:val="bottom"/>
            <w:tcBorders>
              <w:top w:val="single" w:sz="8" w:color="CFF0FC"/>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300" w:type="dxa"/>
            <w:vAlign w:val="bottom"/>
            <w:tcBorders>
              <w:top w:val="single" w:sz="8" w:color="CFF0FC"/>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right w:val="single" w:sz="8" w:color="CFF0FC"/>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tcBorders>
              <w:top w:val="single" w:sz="8" w:color="CFF0FC"/>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1,017,655</w:t>
            </w:r>
          </w:p>
        </w:tc>
        <w:tc>
          <w:tcPr>
            <w:tcW w:w="220" w:type="dxa"/>
            <w:vAlign w:val="bottom"/>
            <w:tcBorders>
              <w:top w:val="single" w:sz="8" w:color="CFF0FC"/>
              <w:right w:val="single" w:sz="8" w:color="CFF0FC"/>
            </w:tcBorders>
            <w:shd w:val="clear" w:color="auto" w:fill="CFF0FC"/>
          </w:tcPr>
          <w:p>
            <w:pPr>
              <w:spacing w:after="0"/>
              <w:rPr>
                <w:sz w:val="9"/>
                <w:szCs w:val="9"/>
                <w:color w:val="auto"/>
              </w:rPr>
            </w:pPr>
          </w:p>
        </w:tc>
        <w:tc>
          <w:tcPr>
            <w:tcW w:w="100" w:type="dxa"/>
            <w:vAlign w:val="bottom"/>
            <w:tcBorders>
              <w:top w:val="single" w:sz="8" w:color="auto"/>
              <w:right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3,049</w:t>
            </w:r>
          </w:p>
        </w:tc>
        <w:tc>
          <w:tcPr>
            <w:tcW w:w="6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CFF0FC"/>
            </w:tcBorders>
            <w:shd w:val="clear" w:color="auto" w:fill="CFF0FC"/>
          </w:tcPr>
          <w:p>
            <w:pPr>
              <w:spacing w:after="0"/>
              <w:rPr>
                <w:sz w:val="9"/>
                <w:szCs w:val="9"/>
                <w:color w:val="auto"/>
              </w:rPr>
            </w:pPr>
          </w:p>
        </w:tc>
        <w:tc>
          <w:tcPr>
            <w:tcW w:w="40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w w:val="90"/>
              </w:rPr>
              <w:t>—</w:t>
            </w:r>
          </w:p>
        </w:tc>
        <w:tc>
          <w:tcPr>
            <w:tcW w:w="10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24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tcBorders>
              <w:top w:val="single" w:sz="8" w:color="auto"/>
              <w:right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3,049</w:t>
            </w: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Net loss - the Company</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(7,243)</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(7,243)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Net loss - non-controlling interest</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spacing w:after="0"/>
              <w:rPr>
                <w:sz w:val="11"/>
                <w:szCs w:val="11"/>
                <w:color w:val="auto"/>
              </w:rPr>
            </w:pPr>
          </w:p>
        </w:tc>
        <w:tc>
          <w:tcPr>
            <w:tcW w:w="400" w:type="dxa"/>
            <w:vAlign w:val="bottom"/>
            <w:gridSpan w:val="3"/>
            <w:shd w:val="clear" w:color="auto" w:fill="CFF0FC"/>
          </w:tcPr>
          <w:p>
            <w:pPr>
              <w:jc w:val="right"/>
              <w:ind w:right="7"/>
              <w:spacing w:after="0"/>
              <w:rPr>
                <w:sz w:val="20"/>
                <w:szCs w:val="20"/>
                <w:color w:val="auto"/>
              </w:rPr>
            </w:pPr>
            <w:r>
              <w:rPr>
                <w:rFonts w:ascii="Arial" w:cs="Arial" w:eastAsia="Arial" w:hAnsi="Arial"/>
                <w:sz w:val="11"/>
                <w:szCs w:val="11"/>
                <w:color w:val="auto"/>
              </w:rPr>
              <w:t>(78)</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Options exercised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25,811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bottom w:val="single" w:sz="8" w:color="auto"/>
              <w:right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547</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tcBorders>
              <w:bottom w:val="single" w:sz="8" w:color="auto"/>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tcBorders>
              <w:bottom w:val="single" w:sz="8" w:color="auto"/>
              <w:right w:val="single" w:sz="8" w:color="CFF0FC"/>
            </w:tcBorders>
            <w:shd w:val="clear" w:color="auto" w:fill="CFF0FC"/>
          </w:tcPr>
          <w:p>
            <w:pPr>
              <w:spacing w:after="0"/>
              <w:rPr>
                <w:sz w:val="11"/>
                <w:szCs w:val="11"/>
                <w:color w:val="auto"/>
              </w:rPr>
            </w:pPr>
          </w:p>
        </w:tc>
        <w:tc>
          <w:tcPr>
            <w:tcW w:w="180" w:type="dxa"/>
            <w:vAlign w:val="bottom"/>
            <w:tcBorders>
              <w:bottom w:val="single" w:sz="8" w:color="auto"/>
              <w:right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547</w:t>
            </w:r>
          </w:p>
        </w:tc>
        <w:tc>
          <w:tcPr>
            <w:tcW w:w="100" w:type="dxa"/>
            <w:vAlign w:val="bottom"/>
            <w:shd w:val="clear" w:color="auto" w:fill="CFF0FC"/>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20"/>
                <w:szCs w:val="20"/>
                <w:color w:val="auto"/>
              </w:rPr>
            </w:pPr>
            <w:r>
              <w:rPr>
                <w:rFonts w:ascii="Arial" w:cs="Arial" w:eastAsia="Arial" w:hAnsi="Arial"/>
                <w:sz w:val="11"/>
                <w:szCs w:val="11"/>
                <w:color w:val="auto"/>
              </w:rPr>
              <w:t>Balance — September 30, 2020</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w w:val="90"/>
              </w:rPr>
              <w:t>40,873,588</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25</w:t>
            </w:r>
          </w:p>
        </w:tc>
        <w:tc>
          <w:tcPr>
            <w:tcW w:w="34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w w:val="95"/>
              </w:rPr>
              <w:t>178,258</w:t>
            </w:r>
          </w:p>
        </w:tc>
        <w:tc>
          <w:tcPr>
            <w:tcW w:w="60" w:type="dxa"/>
            <w:vAlign w:val="bottom"/>
          </w:tcPr>
          <w:p>
            <w:pPr>
              <w:spacing w:after="0"/>
              <w:rPr>
                <w:sz w:val="11"/>
                <w:szCs w:val="11"/>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(142,707)</w:t>
            </w:r>
          </w:p>
        </w:tc>
        <w:tc>
          <w:tcPr>
            <w:tcW w:w="580" w:type="dxa"/>
            <w:vAlign w:val="bottom"/>
            <w:gridSpan w:val="2"/>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w w:val="94"/>
              </w:rPr>
              <w:t>1,073</w:t>
            </w:r>
          </w:p>
        </w:tc>
        <w:tc>
          <w:tcPr>
            <w:tcW w:w="100" w:type="dxa"/>
            <w:vAlign w:val="bottom"/>
          </w:tcPr>
          <w:p>
            <w:pPr>
              <w:spacing w:after="0"/>
              <w:rPr>
                <w:sz w:val="11"/>
                <w:szCs w:val="11"/>
                <w:color w:val="auto"/>
              </w:rPr>
            </w:pPr>
          </w:p>
        </w:tc>
        <w:tc>
          <w:tcPr>
            <w:tcW w:w="380" w:type="dxa"/>
            <w:vAlign w:val="bottom"/>
            <w:gridSpan w:val="3"/>
          </w:tcPr>
          <w:p>
            <w:pPr>
              <w:jc w:val="right"/>
              <w:ind w:right="1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36,649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7"/>
              </w:rPr>
              <w:t>Series C-</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vMerge w:val="restart"/>
          </w:tcPr>
          <w:p>
            <w:pPr>
              <w:jc w:val="right"/>
              <w:ind w:right="3"/>
              <w:spacing w:after="0"/>
              <w:rPr>
                <w:sz w:val="20"/>
                <w:szCs w:val="20"/>
                <w:color w:val="auto"/>
              </w:rPr>
            </w:pPr>
            <w:r>
              <w:rPr>
                <w:rFonts w:ascii="Arial" w:cs="Arial" w:eastAsia="Arial" w:hAnsi="Arial"/>
                <w:sz w:val="11"/>
                <w:szCs w:val="11"/>
                <w:b w:val="1"/>
                <w:bCs w:val="1"/>
                <w:color w:val="auto"/>
                <w:w w:val="92"/>
              </w:rPr>
              <w:t>Additional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4"/>
            <w:vMerge w:val="restart"/>
          </w:tcPr>
          <w:p>
            <w:pPr>
              <w:jc w:val="center"/>
              <w:ind w:right="163"/>
              <w:spacing w:after="0"/>
              <w:rPr>
                <w:sz w:val="20"/>
                <w:szCs w:val="20"/>
                <w:color w:val="auto"/>
              </w:rPr>
            </w:pPr>
            <w:r>
              <w:rPr>
                <w:rFonts w:ascii="Arial" w:cs="Arial" w:eastAsia="Arial" w:hAnsi="Arial"/>
                <w:sz w:val="11"/>
                <w:szCs w:val="11"/>
                <w:b w:val="1"/>
                <w:bCs w:val="1"/>
                <w:color w:val="auto"/>
                <w:w w:val="87"/>
              </w:rPr>
              <w:t>Non-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09"/>
        </w:trPr>
        <w:tc>
          <w:tcPr>
            <w:tcW w:w="2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800" w:type="dxa"/>
            <w:vAlign w:val="bottom"/>
          </w:tcPr>
          <w:p>
            <w:pPr>
              <w:spacing w:after="0"/>
              <w:rPr>
                <w:sz w:val="10"/>
                <w:szCs w:val="10"/>
                <w:color w:val="auto"/>
              </w:rPr>
            </w:pPr>
          </w:p>
        </w:tc>
        <w:tc>
          <w:tcPr>
            <w:tcW w:w="80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w w:val="81"/>
              </w:rPr>
              <w:t>Series A</w:t>
            </w:r>
          </w:p>
        </w:tc>
        <w:tc>
          <w:tcPr>
            <w:tcW w:w="5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86"/>
              </w:rPr>
              <w:t>Series B</w:t>
            </w:r>
          </w:p>
        </w:tc>
        <w:tc>
          <w:tcPr>
            <w:tcW w:w="220" w:type="dxa"/>
            <w:vAlign w:val="bottom"/>
          </w:tcPr>
          <w:p>
            <w:pPr>
              <w:spacing w:after="0"/>
              <w:rPr>
                <w:sz w:val="10"/>
                <w:szCs w:val="10"/>
                <w:color w:val="auto"/>
              </w:rPr>
            </w:pPr>
          </w:p>
        </w:tc>
        <w:tc>
          <w:tcPr>
            <w:tcW w:w="58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w w:val="86"/>
              </w:rPr>
              <w:t>Series C</w:t>
            </w:r>
          </w:p>
        </w:tc>
        <w:tc>
          <w:tcPr>
            <w:tcW w:w="260" w:type="dxa"/>
            <w:vAlign w:val="bottom"/>
          </w:tcPr>
          <w:p>
            <w:pPr>
              <w:spacing w:after="0"/>
              <w:rPr>
                <w:sz w:val="10"/>
                <w:szCs w:val="10"/>
                <w:color w:val="auto"/>
              </w:rPr>
            </w:pPr>
          </w:p>
        </w:tc>
        <w:tc>
          <w:tcPr>
            <w:tcW w:w="50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97"/>
              </w:rPr>
              <w:t>1</w:t>
            </w:r>
          </w:p>
        </w:tc>
        <w:tc>
          <w:tcPr>
            <w:tcW w:w="220" w:type="dxa"/>
            <w:vAlign w:val="bottom"/>
          </w:tcPr>
          <w:p>
            <w:pPr>
              <w:spacing w:after="0"/>
              <w:rPr>
                <w:sz w:val="10"/>
                <w:szCs w:val="10"/>
                <w:color w:val="auto"/>
              </w:rPr>
            </w:pPr>
          </w:p>
        </w:tc>
        <w:tc>
          <w:tcPr>
            <w:tcW w:w="54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86"/>
              </w:rPr>
              <w:t>Series D</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w w:val="89"/>
              </w:rPr>
              <w:t>Common Stock</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Paid-</w:t>
            </w:r>
          </w:p>
        </w:tc>
        <w:tc>
          <w:tcPr>
            <w:tcW w:w="240" w:type="dxa"/>
            <w:vAlign w:val="bottom"/>
          </w:tcPr>
          <w:p>
            <w:pPr>
              <w:spacing w:after="0"/>
              <w:rPr>
                <w:sz w:val="10"/>
                <w:szCs w:val="10"/>
                <w:color w:val="auto"/>
              </w:rPr>
            </w:pPr>
          </w:p>
        </w:tc>
        <w:tc>
          <w:tcPr>
            <w:tcW w:w="740" w:type="dxa"/>
            <w:vAlign w:val="bottom"/>
            <w:gridSpan w:val="4"/>
          </w:tcPr>
          <w:p>
            <w:pPr>
              <w:jc w:val="right"/>
              <w:ind w:right="63"/>
              <w:spacing w:after="0" w:line="125" w:lineRule="exact"/>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0"/>
                <w:szCs w:val="10"/>
                <w:color w:val="auto"/>
              </w:rPr>
            </w:pPr>
          </w:p>
        </w:tc>
        <w:tc>
          <w:tcPr>
            <w:tcW w:w="620" w:type="dxa"/>
            <w:vAlign w:val="bottom"/>
            <w:gridSpan w:val="5"/>
          </w:tcPr>
          <w:p>
            <w:pPr>
              <w:jc w:val="center"/>
              <w:ind w:right="23"/>
              <w:spacing w:after="0" w:line="125" w:lineRule="exact"/>
              <w:rPr>
                <w:sz w:val="20"/>
                <w:szCs w:val="20"/>
                <w:color w:val="auto"/>
              </w:rPr>
            </w:pPr>
            <w:r>
              <w:rPr>
                <w:rFonts w:ascii="Arial" w:cs="Arial" w:eastAsia="Arial" w:hAnsi="Arial"/>
                <w:sz w:val="11"/>
                <w:szCs w:val="11"/>
                <w:b w:val="1"/>
                <w:bCs w:val="1"/>
                <w:color w:val="auto"/>
                <w:w w:val="87"/>
              </w:rPr>
              <w:t>controlling</w:t>
            </w:r>
          </w:p>
        </w:tc>
        <w:tc>
          <w:tcPr>
            <w:tcW w:w="180" w:type="dxa"/>
            <w:vAlign w:val="bottom"/>
          </w:tcPr>
          <w:p>
            <w:pPr>
              <w:spacing w:after="0"/>
              <w:rPr>
                <w:sz w:val="10"/>
                <w:szCs w:val="10"/>
                <w:color w:val="auto"/>
              </w:rPr>
            </w:pPr>
          </w:p>
        </w:tc>
        <w:tc>
          <w:tcPr>
            <w:tcW w:w="680" w:type="dxa"/>
            <w:vAlign w:val="bottom"/>
            <w:gridSpan w:val="4"/>
          </w:tcPr>
          <w:p>
            <w:pPr>
              <w:jc w:val="center"/>
              <w:spacing w:after="0" w:line="125"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14"/>
        </w:trPr>
        <w:tc>
          <w:tcPr>
            <w:tcW w:w="2800" w:type="dxa"/>
            <w:vAlign w:val="bottom"/>
          </w:tcPr>
          <w:p>
            <w:pPr>
              <w:spacing w:after="0"/>
              <w:rPr>
                <w:sz w:val="9"/>
                <w:szCs w:val="9"/>
                <w:color w:val="auto"/>
              </w:rPr>
            </w:pPr>
          </w:p>
        </w:tc>
        <w:tc>
          <w:tcPr>
            <w:tcW w:w="800" w:type="dxa"/>
            <w:vAlign w:val="bottom"/>
            <w:gridSpan w:val="2"/>
          </w:tcPr>
          <w:p>
            <w:pPr>
              <w:jc w:val="center"/>
              <w:ind w:right="240"/>
              <w:spacing w:after="0" w:line="114" w:lineRule="exact"/>
              <w:rPr>
                <w:sz w:val="20"/>
                <w:szCs w:val="20"/>
                <w:color w:val="auto"/>
              </w:rPr>
            </w:pPr>
            <w:r>
              <w:rPr>
                <w:rFonts w:ascii="Arial" w:cs="Arial" w:eastAsia="Arial" w:hAnsi="Arial"/>
                <w:sz w:val="11"/>
                <w:szCs w:val="11"/>
                <w:b w:val="1"/>
                <w:bCs w:val="1"/>
                <w:color w:val="auto"/>
                <w:w w:val="89"/>
              </w:rPr>
              <w:t>Preferred</w:t>
            </w:r>
          </w:p>
        </w:tc>
        <w:tc>
          <w:tcPr>
            <w:tcW w:w="580" w:type="dxa"/>
            <w:vAlign w:val="bottom"/>
            <w:gridSpan w:val="2"/>
          </w:tcPr>
          <w:p>
            <w:pPr>
              <w:jc w:val="center"/>
              <w:spacing w:after="0" w:line="114" w:lineRule="exact"/>
              <w:rPr>
                <w:sz w:val="20"/>
                <w:szCs w:val="20"/>
                <w:color w:val="auto"/>
              </w:rPr>
            </w:pPr>
            <w:r>
              <w:rPr>
                <w:rFonts w:ascii="Arial" w:cs="Arial" w:eastAsia="Arial" w:hAnsi="Arial"/>
                <w:sz w:val="11"/>
                <w:szCs w:val="11"/>
                <w:b w:val="1"/>
                <w:bCs w:val="1"/>
                <w:color w:val="auto"/>
                <w:w w:val="89"/>
              </w:rPr>
              <w:t>Preferred</w:t>
            </w:r>
          </w:p>
        </w:tc>
        <w:tc>
          <w:tcPr>
            <w:tcW w:w="220" w:type="dxa"/>
            <w:vAlign w:val="bottom"/>
          </w:tcPr>
          <w:p>
            <w:pPr>
              <w:spacing w:after="0"/>
              <w:rPr>
                <w:sz w:val="9"/>
                <w:szCs w:val="9"/>
                <w:color w:val="auto"/>
              </w:rPr>
            </w:pPr>
          </w:p>
        </w:tc>
        <w:tc>
          <w:tcPr>
            <w:tcW w:w="580" w:type="dxa"/>
            <w:vAlign w:val="bottom"/>
            <w:gridSpan w:val="3"/>
          </w:tcPr>
          <w:p>
            <w:pPr>
              <w:jc w:val="center"/>
              <w:spacing w:after="0" w:line="114" w:lineRule="exact"/>
              <w:rPr>
                <w:sz w:val="20"/>
                <w:szCs w:val="20"/>
                <w:color w:val="auto"/>
              </w:rPr>
            </w:pPr>
            <w:r>
              <w:rPr>
                <w:rFonts w:ascii="Arial" w:cs="Arial" w:eastAsia="Arial" w:hAnsi="Arial"/>
                <w:sz w:val="11"/>
                <w:szCs w:val="11"/>
                <w:b w:val="1"/>
                <w:bCs w:val="1"/>
                <w:color w:val="auto"/>
                <w:w w:val="89"/>
              </w:rPr>
              <w:t>Preferred</w:t>
            </w:r>
          </w:p>
        </w:tc>
        <w:tc>
          <w:tcPr>
            <w:tcW w:w="260" w:type="dxa"/>
            <w:vAlign w:val="bottom"/>
          </w:tcPr>
          <w:p>
            <w:pPr>
              <w:spacing w:after="0"/>
              <w:rPr>
                <w:sz w:val="9"/>
                <w:szCs w:val="9"/>
                <w:color w:val="auto"/>
              </w:rPr>
            </w:pPr>
          </w:p>
        </w:tc>
        <w:tc>
          <w:tcPr>
            <w:tcW w:w="500" w:type="dxa"/>
            <w:vAlign w:val="bottom"/>
            <w:gridSpan w:val="2"/>
          </w:tcPr>
          <w:p>
            <w:pPr>
              <w:jc w:val="center"/>
              <w:spacing w:after="0" w:line="114" w:lineRule="exact"/>
              <w:rPr>
                <w:sz w:val="20"/>
                <w:szCs w:val="20"/>
                <w:color w:val="auto"/>
              </w:rPr>
            </w:pPr>
            <w:r>
              <w:rPr>
                <w:rFonts w:ascii="Arial" w:cs="Arial" w:eastAsia="Arial" w:hAnsi="Arial"/>
                <w:sz w:val="11"/>
                <w:szCs w:val="11"/>
                <w:b w:val="1"/>
                <w:bCs w:val="1"/>
                <w:color w:val="auto"/>
                <w:w w:val="85"/>
              </w:rPr>
              <w:t>Preferred</w:t>
            </w:r>
          </w:p>
        </w:tc>
        <w:tc>
          <w:tcPr>
            <w:tcW w:w="22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Arial" w:cs="Arial" w:eastAsia="Arial" w:hAnsi="Arial"/>
                <w:sz w:val="11"/>
                <w:szCs w:val="11"/>
                <w:b w:val="1"/>
                <w:bCs w:val="1"/>
                <w:color w:val="auto"/>
                <w:w w:val="85"/>
              </w:rPr>
              <w:t>Preferred</w:t>
            </w: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80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Shares</w:t>
            </w:r>
          </w:p>
        </w:tc>
        <w:tc>
          <w:tcPr>
            <w:tcW w:w="22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1"/>
              </w:rPr>
              <w:t>Shares</w:t>
            </w:r>
          </w:p>
        </w:tc>
        <w:tc>
          <w:tcPr>
            <w:tcW w:w="22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1"/>
              </w:rPr>
              <w:t>Shares</w:t>
            </w:r>
          </w:p>
        </w:tc>
        <w:tc>
          <w:tcPr>
            <w:tcW w:w="260" w:type="dxa"/>
            <w:vAlign w:val="bottom"/>
            <w:tcBorders>
              <w:bottom w:val="single" w:sz="8" w:color="CFF0FC"/>
            </w:tcBorders>
          </w:tcPr>
          <w:p>
            <w:pPr>
              <w:spacing w:after="0"/>
              <w:rPr>
                <w:sz w:val="11"/>
                <w:szCs w:val="11"/>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1"/>
              </w:rPr>
              <w:t>Shares</w:t>
            </w:r>
          </w:p>
        </w:tc>
        <w:tc>
          <w:tcPr>
            <w:tcW w:w="220" w:type="dxa"/>
            <w:vAlign w:val="bottom"/>
            <w:tcBorders>
              <w:bottom w:val="single" w:sz="8" w:color="CFF0FC"/>
            </w:tcBorders>
          </w:tcPr>
          <w:p>
            <w:pPr>
              <w:spacing w:after="0"/>
              <w:rPr>
                <w:sz w:val="11"/>
                <w:szCs w:val="11"/>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1"/>
              </w:rPr>
              <w:t>Shares</w:t>
            </w:r>
          </w:p>
        </w:tc>
        <w:tc>
          <w:tcPr>
            <w:tcW w:w="100" w:type="dxa"/>
            <w:vAlign w:val="bottom"/>
            <w:tcBorders>
              <w:bottom w:val="single" w:sz="8" w:color="CFF0FC"/>
              <w:right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6"/>
              </w:rPr>
              <w:t>Amount</w:t>
            </w:r>
          </w:p>
        </w:tc>
        <w:tc>
          <w:tcPr>
            <w:tcW w:w="240" w:type="dxa"/>
            <w:vAlign w:val="bottom"/>
            <w:tcBorders>
              <w:bottom w:val="single" w:sz="8" w:color="CFF0FC"/>
            </w:tcBorders>
            <w:gridSpan w:val="2"/>
          </w:tcPr>
          <w:p>
            <w:pPr>
              <w:spacing w:after="0"/>
              <w:rPr>
                <w:sz w:val="11"/>
                <w:szCs w:val="11"/>
                <w:color w:val="auto"/>
              </w:rPr>
            </w:pPr>
          </w:p>
        </w:tc>
        <w:tc>
          <w:tcPr>
            <w:tcW w:w="5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w w:val="99"/>
              </w:rPr>
              <w:t>in-Capital</w:t>
            </w: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1"/>
                <w:szCs w:val="11"/>
                <w:b w:val="1"/>
                <w:bCs w:val="1"/>
                <w:color w:val="auto"/>
                <w:w w:val="89"/>
              </w:rPr>
              <w:t>Deficit</w:t>
            </w:r>
          </w:p>
        </w:tc>
        <w:tc>
          <w:tcPr>
            <w:tcW w:w="160" w:type="dxa"/>
            <w:vAlign w:val="bottom"/>
            <w:tcBorders>
              <w:bottom w:val="single" w:sz="8" w:color="CFF0FC"/>
            </w:tcBorders>
          </w:tcPr>
          <w:p>
            <w:pPr>
              <w:spacing w:after="0"/>
              <w:rPr>
                <w:sz w:val="11"/>
                <w:szCs w:val="11"/>
                <w:color w:val="auto"/>
              </w:rPr>
            </w:pPr>
          </w:p>
        </w:tc>
        <w:tc>
          <w:tcPr>
            <w:tcW w:w="620" w:type="dxa"/>
            <w:vAlign w:val="bottom"/>
            <w:tcBorders>
              <w:bottom w:val="single" w:sz="8" w:color="auto"/>
            </w:tcBorders>
            <w:gridSpan w:val="5"/>
          </w:tcPr>
          <w:p>
            <w:pPr>
              <w:jc w:val="center"/>
              <w:ind w:right="23"/>
              <w:spacing w:after="0"/>
              <w:rPr>
                <w:sz w:val="20"/>
                <w:szCs w:val="20"/>
                <w:color w:val="auto"/>
              </w:rPr>
            </w:pPr>
            <w:r>
              <w:rPr>
                <w:rFonts w:ascii="Arial" w:cs="Arial" w:eastAsia="Arial" w:hAnsi="Arial"/>
                <w:sz w:val="11"/>
                <w:szCs w:val="11"/>
                <w:b w:val="1"/>
                <w:bCs w:val="1"/>
                <w:color w:val="auto"/>
                <w:w w:val="85"/>
              </w:rPr>
              <w:t>Interest</w:t>
            </w:r>
          </w:p>
        </w:tc>
        <w:tc>
          <w:tcPr>
            <w:tcW w:w="1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28"/>
        </w:trPr>
        <w:tc>
          <w:tcPr>
            <w:tcW w:w="2800" w:type="dxa"/>
            <w:vAlign w:val="bottom"/>
            <w:shd w:val="clear" w:color="auto" w:fill="CFF0FC"/>
          </w:tcPr>
          <w:p>
            <w:pPr>
              <w:spacing w:after="0"/>
              <w:rPr>
                <w:sz w:val="20"/>
                <w:szCs w:val="20"/>
                <w:color w:val="auto"/>
              </w:rPr>
            </w:pPr>
            <w:r>
              <w:rPr>
                <w:rFonts w:ascii="Arial" w:cs="Arial" w:eastAsia="Arial" w:hAnsi="Arial"/>
                <w:sz w:val="11"/>
                <w:szCs w:val="11"/>
                <w:color w:val="auto"/>
              </w:rPr>
              <w:t>Balance — January 1, 2019 (as restated, Note 2)</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1,264,565</w:t>
            </w:r>
          </w:p>
        </w:tc>
        <w:tc>
          <w:tcPr>
            <w:tcW w:w="22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2,632,109</w:t>
            </w: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1"/>
                <w:szCs w:val="11"/>
                <w:color w:val="auto"/>
              </w:rPr>
              <w:t>4,615,567</w:t>
            </w: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56,983</w:t>
            </w:r>
          </w:p>
        </w:tc>
        <w:tc>
          <w:tcPr>
            <w:tcW w:w="7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647,189</w:t>
            </w:r>
          </w:p>
        </w:tc>
        <w:tc>
          <w:tcPr>
            <w:tcW w:w="10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gridSpan w:val="4"/>
            <w:shd w:val="clear" w:color="auto" w:fill="CFF0FC"/>
          </w:tcPr>
          <w:p>
            <w:pPr>
              <w:jc w:val="right"/>
              <w:spacing w:after="0"/>
              <w:rPr>
                <w:sz w:val="20"/>
                <w:szCs w:val="20"/>
                <w:color w:val="auto"/>
              </w:rPr>
            </w:pPr>
            <w:r>
              <w:rPr>
                <w:rFonts w:ascii="Arial" w:cs="Arial" w:eastAsia="Arial" w:hAnsi="Arial"/>
                <w:sz w:val="11"/>
                <w:szCs w:val="11"/>
                <w:color w:val="auto"/>
              </w:rPr>
              <w:t>4,772,956</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67,495</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(35,067)</w:t>
            </w:r>
          </w:p>
        </w:tc>
        <w:tc>
          <w:tcPr>
            <w:tcW w:w="300" w:type="dxa"/>
            <w:vAlign w:val="bottom"/>
            <w:gridSpan w:val="2"/>
            <w:shd w:val="clear" w:color="auto" w:fill="CFF0FC"/>
          </w:tcPr>
          <w:p>
            <w:pPr>
              <w:jc w:val="right"/>
              <w:ind w:right="24"/>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80" w:type="dxa"/>
            <w:vAlign w:val="bottom"/>
            <w:tcBorders>
              <w:right w:val="single" w:sz="8" w:color="CFF0FC"/>
            </w:tcBorders>
            <w:gridSpan w:val="3"/>
            <w:shd w:val="clear" w:color="auto" w:fill="CFF0FC"/>
          </w:tcPr>
          <w:p>
            <w:pPr>
              <w:jc w:val="right"/>
              <w:ind w:right="23"/>
              <w:spacing w:after="0"/>
              <w:rPr>
                <w:sz w:val="20"/>
                <w:szCs w:val="20"/>
                <w:color w:val="auto"/>
              </w:rPr>
            </w:pPr>
            <w:r>
              <w:rPr>
                <w:rFonts w:ascii="Arial" w:cs="Arial" w:eastAsia="Arial" w:hAnsi="Arial"/>
                <w:sz w:val="11"/>
                <w:szCs w:val="11"/>
                <w:color w:val="auto"/>
              </w:rPr>
              <w:t>4,022</w:t>
            </w:r>
          </w:p>
        </w:tc>
        <w:tc>
          <w:tcPr>
            <w:tcW w:w="260" w:type="dxa"/>
            <w:vAlign w:val="bottom"/>
            <w:gridSpan w:val="2"/>
            <w:shd w:val="clear" w:color="auto" w:fill="CFF0FC"/>
          </w:tcPr>
          <w:p>
            <w:pPr>
              <w:jc w:val="center"/>
              <w:ind w:left="63"/>
              <w:spacing w:after="0"/>
              <w:rPr>
                <w:sz w:val="20"/>
                <w:szCs w:val="20"/>
                <w:color w:val="auto"/>
              </w:rPr>
            </w:pPr>
            <w:r>
              <w:rPr>
                <w:rFonts w:ascii="Arial" w:cs="Arial" w:eastAsia="Arial" w:hAnsi="Arial"/>
                <w:sz w:val="11"/>
                <w:szCs w:val="11"/>
                <w:color w:val="auto"/>
                <w:w w:val="97"/>
              </w:rPr>
              <w:t>$</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36,455</w:t>
            </w: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Net loss - the Company</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(5,273)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color w:val="auto"/>
              </w:rPr>
              <w:t>(5,273</w:t>
            </w: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Net income - non-controlling interest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tcBorders>
              <w:right w:val="single" w:sz="8" w:color="CFF0FC"/>
            </w:tcBorders>
            <w:gridSpan w:val="3"/>
            <w:shd w:val="clear" w:color="auto" w:fill="CFF0FC"/>
          </w:tcPr>
          <w:p>
            <w:pPr>
              <w:jc w:val="right"/>
              <w:ind w:right="23"/>
              <w:spacing w:after="0"/>
              <w:rPr>
                <w:sz w:val="20"/>
                <w:szCs w:val="20"/>
                <w:color w:val="auto"/>
              </w:rPr>
            </w:pPr>
            <w:r>
              <w:rPr>
                <w:rFonts w:ascii="Arial" w:cs="Arial" w:eastAsia="Arial" w:hAnsi="Arial"/>
                <w:sz w:val="11"/>
                <w:szCs w:val="11"/>
                <w:color w:val="auto"/>
              </w:rPr>
              <w:t>168</w:t>
            </w: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168</w:t>
            </w: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Options exercised</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3,506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375</w:t>
            </w: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right w:val="single" w:sz="8" w:color="CFF0FC"/>
            </w:tcBorders>
            <w:shd w:val="clear" w:color="auto" w:fill="CFF0FC"/>
          </w:tcPr>
          <w:p>
            <w:pPr>
              <w:jc w:val="right"/>
              <w:ind w:right="23"/>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right w:val="single" w:sz="8" w:color="CFF0FC"/>
            </w:tcBorders>
            <w:shd w:val="clear" w:color="auto" w:fill="CFF0FC"/>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375</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1"/>
                <w:szCs w:val="11"/>
                <w:color w:val="auto"/>
              </w:rPr>
              <w:t>Balance — March 31, 2019 (as restated, Note 2)</w:t>
            </w:r>
          </w:p>
        </w:tc>
        <w:tc>
          <w:tcPr>
            <w:tcW w:w="580" w:type="dxa"/>
            <w:vAlign w:val="bottom"/>
          </w:tcPr>
          <w:p>
            <w:pPr>
              <w:jc w:val="right"/>
              <w:spacing w:after="0"/>
              <w:rPr>
                <w:sz w:val="20"/>
                <w:szCs w:val="20"/>
                <w:color w:val="auto"/>
              </w:rPr>
            </w:pPr>
            <w:r>
              <w:rPr>
                <w:rFonts w:ascii="Arial" w:cs="Arial" w:eastAsia="Arial" w:hAnsi="Arial"/>
                <w:sz w:val="11"/>
                <w:szCs w:val="11"/>
                <w:color w:val="auto"/>
              </w:rPr>
              <w:t>1,264,565</w:t>
            </w:r>
          </w:p>
        </w:tc>
        <w:tc>
          <w:tcPr>
            <w:tcW w:w="2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2,632,109</w:t>
            </w:r>
          </w:p>
        </w:tc>
        <w:tc>
          <w:tcPr>
            <w:tcW w:w="22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4,615,567</w:t>
            </w:r>
          </w:p>
        </w:tc>
        <w:tc>
          <w:tcPr>
            <w:tcW w:w="2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56,983</w:t>
            </w:r>
          </w:p>
        </w:tc>
        <w:tc>
          <w:tcPr>
            <w:tcW w:w="22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647,189</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right"/>
              <w:spacing w:after="0"/>
              <w:rPr>
                <w:sz w:val="20"/>
                <w:szCs w:val="20"/>
                <w:color w:val="auto"/>
              </w:rPr>
            </w:pPr>
            <w:r>
              <w:rPr>
                <w:rFonts w:ascii="Arial" w:cs="Arial" w:eastAsia="Arial" w:hAnsi="Arial"/>
                <w:sz w:val="11"/>
                <w:szCs w:val="11"/>
                <w:color w:val="auto"/>
              </w:rPr>
              <w:t>4,776,462</w:t>
            </w:r>
          </w:p>
        </w:tc>
        <w:tc>
          <w:tcPr>
            <w:tcW w:w="22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4"/>
              </w:rPr>
              <w:t>67,877</w:t>
            </w:r>
          </w:p>
        </w:tc>
        <w:tc>
          <w:tcPr>
            <w:tcW w:w="360" w:type="dxa"/>
            <w:vAlign w:val="bottom"/>
            <w:gridSpan w:val="2"/>
          </w:tcPr>
          <w:p>
            <w:pPr>
              <w:jc w:val="right"/>
              <w:ind w:right="2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(40,340)</w:t>
            </w:r>
          </w:p>
        </w:tc>
        <w:tc>
          <w:tcPr>
            <w:tcW w:w="300" w:type="dxa"/>
            <w:vAlign w:val="bottom"/>
            <w:gridSpan w:val="2"/>
          </w:tcPr>
          <w:p>
            <w:pPr>
              <w:jc w:val="right"/>
              <w:ind w:right="2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3"/>
          </w:tcPr>
          <w:p>
            <w:pPr>
              <w:jc w:val="right"/>
              <w:ind w:right="23"/>
              <w:spacing w:after="0"/>
              <w:rPr>
                <w:sz w:val="20"/>
                <w:szCs w:val="20"/>
                <w:color w:val="auto"/>
              </w:rPr>
            </w:pPr>
            <w:r>
              <w:rPr>
                <w:rFonts w:ascii="Arial" w:cs="Arial" w:eastAsia="Arial" w:hAnsi="Arial"/>
                <w:sz w:val="11"/>
                <w:szCs w:val="11"/>
                <w:color w:val="auto"/>
              </w:rPr>
              <w:t>4,190</w:t>
            </w:r>
          </w:p>
        </w:tc>
        <w:tc>
          <w:tcPr>
            <w:tcW w:w="260" w:type="dxa"/>
            <w:vAlign w:val="bottom"/>
            <w:gridSpan w:val="2"/>
          </w:tcPr>
          <w:p>
            <w:pPr>
              <w:jc w:val="center"/>
              <w:ind w:left="63"/>
              <w:spacing w:after="0"/>
              <w:rPr>
                <w:sz w:val="20"/>
                <w:szCs w:val="20"/>
                <w:color w:val="auto"/>
              </w:rPr>
            </w:pPr>
            <w:r>
              <w:rPr>
                <w:rFonts w:ascii="Arial" w:cs="Arial" w:eastAsia="Arial" w:hAnsi="Arial"/>
                <w:sz w:val="11"/>
                <w:szCs w:val="11"/>
                <w:color w:val="auto"/>
                <w:w w:val="97"/>
              </w:rPr>
              <w:t>$</w:t>
            </w:r>
          </w:p>
        </w:tc>
        <w:tc>
          <w:tcPr>
            <w:tcW w:w="600" w:type="dxa"/>
            <w:vAlign w:val="bottom"/>
            <w:gridSpan w:val="3"/>
          </w:tcPr>
          <w:p>
            <w:pPr>
              <w:jc w:val="right"/>
              <w:spacing w:after="0"/>
              <w:rPr>
                <w:sz w:val="20"/>
                <w:szCs w:val="20"/>
                <w:color w:val="auto"/>
              </w:rPr>
            </w:pPr>
            <w:r>
              <w:rPr>
                <w:rFonts w:ascii="Arial" w:cs="Arial" w:eastAsia="Arial" w:hAnsi="Arial"/>
                <w:sz w:val="11"/>
                <w:szCs w:val="11"/>
                <w:color w:val="auto"/>
              </w:rPr>
              <w:t>31,732</w:t>
            </w: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vMerge w:val="restart"/>
            <w:shd w:val="clear" w:color="auto" w:fill="CFF0FC"/>
          </w:tcPr>
          <w:p>
            <w:pPr>
              <w:ind w:left="200"/>
              <w:spacing w:after="0"/>
              <w:rPr>
                <w:sz w:val="20"/>
                <w:szCs w:val="20"/>
                <w:color w:val="auto"/>
              </w:rPr>
            </w:pPr>
            <w:r>
              <w:rPr>
                <w:rFonts w:ascii="Arial" w:cs="Arial" w:eastAsia="Arial" w:hAnsi="Arial"/>
                <w:sz w:val="11"/>
                <w:szCs w:val="11"/>
                <w:color w:val="auto"/>
              </w:rPr>
              <w:t>Net loss - the Company</w:t>
            </w: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gridSpan w:val="2"/>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gridSpan w:val="2"/>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00" w:type="dxa"/>
            <w:vAlign w:val="bottom"/>
            <w:vMerge w:val="continue"/>
            <w:shd w:val="clear" w:color="auto" w:fill="CFF0FC"/>
          </w:tcPr>
          <w:p>
            <w:pPr>
              <w:spacing w:after="0"/>
              <w:rPr>
                <w:sz w:val="9"/>
                <w:szCs w:val="9"/>
                <w:color w:val="auto"/>
              </w:rPr>
            </w:pPr>
          </w:p>
        </w:tc>
        <w:tc>
          <w:tcPr>
            <w:tcW w:w="58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32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80" w:type="dxa"/>
            <w:vAlign w:val="bottom"/>
            <w:tcBorders>
              <w:right w:val="single" w:sz="8" w:color="CFF0FC"/>
            </w:tcBorders>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(5,910)</w:t>
            </w: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jc w:val="right"/>
              <w:ind w:right="23"/>
              <w:spacing w:after="0" w:line="111" w:lineRule="exact"/>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spacing w:after="0" w:line="111" w:lineRule="exact"/>
              <w:rPr>
                <w:sz w:val="20"/>
                <w:szCs w:val="20"/>
                <w:color w:val="auto"/>
              </w:rPr>
            </w:pPr>
            <w:r>
              <w:rPr>
                <w:rFonts w:ascii="Arial" w:cs="Arial" w:eastAsia="Arial" w:hAnsi="Arial"/>
                <w:sz w:val="11"/>
                <w:szCs w:val="11"/>
                <w:color w:val="auto"/>
              </w:rPr>
              <w:t>(5,910</w:t>
            </w: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Net income - non-controlling interest</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3"/>
          </w:tcPr>
          <w:p>
            <w:pPr>
              <w:jc w:val="right"/>
              <w:ind w:right="23"/>
              <w:spacing w:after="0"/>
              <w:rPr>
                <w:sz w:val="20"/>
                <w:szCs w:val="20"/>
                <w:color w:val="auto"/>
              </w:rPr>
            </w:pPr>
            <w:r>
              <w:rPr>
                <w:rFonts w:ascii="Arial" w:cs="Arial" w:eastAsia="Arial" w:hAnsi="Arial"/>
                <w:sz w:val="11"/>
                <w:szCs w:val="11"/>
                <w:color w:val="auto"/>
              </w:rPr>
              <w:t>432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color w:val="auto"/>
              </w:rPr>
              <w:t>432</w:t>
            </w: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1,044</w:t>
            </w: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right w:val="single" w:sz="8" w:color="CFF0FC"/>
            </w:tcBorders>
            <w:shd w:val="clear" w:color="auto" w:fill="CFF0FC"/>
          </w:tcPr>
          <w:p>
            <w:pPr>
              <w:jc w:val="right"/>
              <w:ind w:right="23"/>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right w:val="single" w:sz="8" w:color="CFF0FC"/>
            </w:tcBorders>
            <w:shd w:val="clear" w:color="auto" w:fill="CFF0FC"/>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1,044</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1"/>
                <w:szCs w:val="11"/>
                <w:color w:val="auto"/>
              </w:rPr>
              <w:t>Balance — June 30, 2019 (as restated, Note 2)</w:t>
            </w:r>
          </w:p>
        </w:tc>
        <w:tc>
          <w:tcPr>
            <w:tcW w:w="580" w:type="dxa"/>
            <w:vAlign w:val="bottom"/>
          </w:tcPr>
          <w:p>
            <w:pPr>
              <w:jc w:val="right"/>
              <w:spacing w:after="0"/>
              <w:rPr>
                <w:sz w:val="20"/>
                <w:szCs w:val="20"/>
                <w:color w:val="auto"/>
              </w:rPr>
            </w:pPr>
            <w:r>
              <w:rPr>
                <w:rFonts w:ascii="Arial" w:cs="Arial" w:eastAsia="Arial" w:hAnsi="Arial"/>
                <w:sz w:val="11"/>
                <w:szCs w:val="11"/>
                <w:color w:val="auto"/>
              </w:rPr>
              <w:t>1,264,565</w:t>
            </w:r>
          </w:p>
        </w:tc>
        <w:tc>
          <w:tcPr>
            <w:tcW w:w="2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2,632,109</w:t>
            </w:r>
          </w:p>
        </w:tc>
        <w:tc>
          <w:tcPr>
            <w:tcW w:w="22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4,615,567</w:t>
            </w:r>
          </w:p>
        </w:tc>
        <w:tc>
          <w:tcPr>
            <w:tcW w:w="2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56,983</w:t>
            </w:r>
          </w:p>
        </w:tc>
        <w:tc>
          <w:tcPr>
            <w:tcW w:w="22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647,189</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right"/>
              <w:spacing w:after="0"/>
              <w:rPr>
                <w:sz w:val="20"/>
                <w:szCs w:val="20"/>
                <w:color w:val="auto"/>
              </w:rPr>
            </w:pPr>
            <w:r>
              <w:rPr>
                <w:rFonts w:ascii="Arial" w:cs="Arial" w:eastAsia="Arial" w:hAnsi="Arial"/>
                <w:sz w:val="11"/>
                <w:szCs w:val="11"/>
                <w:color w:val="auto"/>
              </w:rPr>
              <w:t>4,776,462</w:t>
            </w:r>
          </w:p>
        </w:tc>
        <w:tc>
          <w:tcPr>
            <w:tcW w:w="22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4"/>
              </w:rPr>
              <w:t>68,921</w:t>
            </w:r>
          </w:p>
        </w:tc>
        <w:tc>
          <w:tcPr>
            <w:tcW w:w="360" w:type="dxa"/>
            <w:vAlign w:val="bottom"/>
            <w:gridSpan w:val="2"/>
          </w:tcPr>
          <w:p>
            <w:pPr>
              <w:jc w:val="right"/>
              <w:ind w:right="2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(46,250)</w:t>
            </w:r>
          </w:p>
        </w:tc>
        <w:tc>
          <w:tcPr>
            <w:tcW w:w="300" w:type="dxa"/>
            <w:vAlign w:val="bottom"/>
            <w:gridSpan w:val="2"/>
          </w:tcPr>
          <w:p>
            <w:pPr>
              <w:jc w:val="right"/>
              <w:ind w:right="2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3"/>
          </w:tcPr>
          <w:p>
            <w:pPr>
              <w:jc w:val="right"/>
              <w:ind w:right="23"/>
              <w:spacing w:after="0"/>
              <w:rPr>
                <w:sz w:val="20"/>
                <w:szCs w:val="20"/>
                <w:color w:val="auto"/>
              </w:rPr>
            </w:pPr>
            <w:r>
              <w:rPr>
                <w:rFonts w:ascii="Arial" w:cs="Arial" w:eastAsia="Arial" w:hAnsi="Arial"/>
                <w:sz w:val="11"/>
                <w:szCs w:val="11"/>
                <w:color w:val="auto"/>
              </w:rPr>
              <w:t>4,622</w:t>
            </w:r>
          </w:p>
        </w:tc>
        <w:tc>
          <w:tcPr>
            <w:tcW w:w="260" w:type="dxa"/>
            <w:vAlign w:val="bottom"/>
            <w:gridSpan w:val="2"/>
          </w:tcPr>
          <w:p>
            <w:pPr>
              <w:jc w:val="center"/>
              <w:ind w:left="63"/>
              <w:spacing w:after="0"/>
              <w:rPr>
                <w:sz w:val="20"/>
                <w:szCs w:val="20"/>
                <w:color w:val="auto"/>
              </w:rPr>
            </w:pPr>
            <w:r>
              <w:rPr>
                <w:rFonts w:ascii="Arial" w:cs="Arial" w:eastAsia="Arial" w:hAnsi="Arial"/>
                <w:sz w:val="11"/>
                <w:szCs w:val="11"/>
                <w:color w:val="auto"/>
                <w:w w:val="97"/>
              </w:rPr>
              <w:t>$</w:t>
            </w:r>
          </w:p>
        </w:tc>
        <w:tc>
          <w:tcPr>
            <w:tcW w:w="600" w:type="dxa"/>
            <w:vAlign w:val="bottom"/>
            <w:gridSpan w:val="3"/>
          </w:tcPr>
          <w:p>
            <w:pPr>
              <w:jc w:val="right"/>
              <w:spacing w:after="0"/>
              <w:rPr>
                <w:sz w:val="20"/>
                <w:szCs w:val="20"/>
                <w:color w:val="auto"/>
              </w:rPr>
            </w:pPr>
            <w:r>
              <w:rPr>
                <w:rFonts w:ascii="Arial" w:cs="Arial" w:eastAsia="Arial" w:hAnsi="Arial"/>
                <w:sz w:val="11"/>
                <w:szCs w:val="11"/>
                <w:color w:val="auto"/>
              </w:rPr>
              <w:t>27,298</w:t>
            </w: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vMerge w:val="restart"/>
            <w:shd w:val="clear" w:color="auto" w:fill="CFF0FC"/>
          </w:tcPr>
          <w:p>
            <w:pPr>
              <w:ind w:left="200"/>
              <w:spacing w:after="0"/>
              <w:rPr>
                <w:sz w:val="20"/>
                <w:szCs w:val="20"/>
                <w:color w:val="auto"/>
              </w:rPr>
            </w:pPr>
            <w:r>
              <w:rPr>
                <w:rFonts w:ascii="Arial" w:cs="Arial" w:eastAsia="Arial" w:hAnsi="Arial"/>
                <w:sz w:val="11"/>
                <w:szCs w:val="11"/>
                <w:color w:val="auto"/>
              </w:rPr>
              <w:t>Net loss - the Company</w:t>
            </w: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gridSpan w:val="2"/>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gridSpan w:val="2"/>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00" w:type="dxa"/>
            <w:vAlign w:val="bottom"/>
            <w:vMerge w:val="continue"/>
            <w:shd w:val="clear" w:color="auto" w:fill="CFF0FC"/>
          </w:tcPr>
          <w:p>
            <w:pPr>
              <w:spacing w:after="0"/>
              <w:rPr>
                <w:sz w:val="9"/>
                <w:szCs w:val="9"/>
                <w:color w:val="auto"/>
              </w:rPr>
            </w:pPr>
          </w:p>
        </w:tc>
        <w:tc>
          <w:tcPr>
            <w:tcW w:w="58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32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80" w:type="dxa"/>
            <w:vAlign w:val="bottom"/>
            <w:tcBorders>
              <w:right w:val="single" w:sz="8" w:color="CFF0FC"/>
            </w:tcBorders>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(8,640)</w:t>
            </w: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jc w:val="right"/>
              <w:ind w:right="23"/>
              <w:spacing w:after="0" w:line="111" w:lineRule="exact"/>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spacing w:after="0" w:line="111" w:lineRule="exact"/>
              <w:rPr>
                <w:sz w:val="20"/>
                <w:szCs w:val="20"/>
                <w:color w:val="auto"/>
              </w:rPr>
            </w:pPr>
            <w:r>
              <w:rPr>
                <w:rFonts w:ascii="Arial" w:cs="Arial" w:eastAsia="Arial" w:hAnsi="Arial"/>
                <w:sz w:val="11"/>
                <w:szCs w:val="11"/>
                <w:color w:val="auto"/>
              </w:rPr>
              <w:t>(8,640</w:t>
            </w: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Net income - non-controlling interest</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(337)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color w:val="auto"/>
              </w:rPr>
              <w:t>(337</w:t>
            </w: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Acquisition of non-controlling interest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43"/>
              <w:spacing w:after="0"/>
              <w:rPr>
                <w:sz w:val="20"/>
                <w:szCs w:val="20"/>
                <w:color w:val="auto"/>
              </w:rPr>
            </w:pPr>
            <w:r>
              <w:rPr>
                <w:rFonts w:ascii="Arial" w:cs="Arial" w:eastAsia="Arial" w:hAnsi="Arial"/>
                <w:sz w:val="11"/>
                <w:szCs w:val="11"/>
                <w:color w:val="auto"/>
              </w:rPr>
              <w:t>(191)</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tcBorders>
              <w:right w:val="single" w:sz="8" w:color="CFF0FC"/>
            </w:tcBorders>
            <w:gridSpan w:val="3"/>
            <w:shd w:val="clear" w:color="auto" w:fill="CFF0FC"/>
          </w:tcPr>
          <w:p>
            <w:pPr>
              <w:jc w:val="right"/>
              <w:ind w:right="23"/>
              <w:spacing w:after="0"/>
              <w:rPr>
                <w:sz w:val="20"/>
                <w:szCs w:val="20"/>
                <w:color w:val="auto"/>
              </w:rPr>
            </w:pPr>
            <w:r>
              <w:rPr>
                <w:rFonts w:ascii="Arial" w:cs="Arial" w:eastAsia="Arial" w:hAnsi="Arial"/>
                <w:sz w:val="11"/>
                <w:szCs w:val="11"/>
                <w:color w:val="auto"/>
              </w:rPr>
              <w:t>68</w:t>
            </w: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36"/>
        </w:trPr>
        <w:tc>
          <w:tcPr>
            <w:tcW w:w="2800" w:type="dxa"/>
            <w:vAlign w:val="bottom"/>
          </w:tcPr>
          <w:p>
            <w:pPr>
              <w:ind w:left="200"/>
              <w:spacing w:after="0"/>
              <w:rPr>
                <w:sz w:val="20"/>
                <w:szCs w:val="20"/>
                <w:color w:val="auto"/>
              </w:rPr>
            </w:pPr>
            <w:r>
              <w:rPr>
                <w:rFonts w:ascii="Arial" w:cs="Arial" w:eastAsia="Arial" w:hAnsi="Arial"/>
                <w:sz w:val="11"/>
                <w:szCs w:val="11"/>
                <w:color w:val="auto"/>
              </w:rPr>
              <w:t>Options exercised</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4"/>
          </w:tcPr>
          <w:p>
            <w:pPr>
              <w:jc w:val="right"/>
              <w:spacing w:after="0"/>
              <w:rPr>
                <w:sz w:val="20"/>
                <w:szCs w:val="20"/>
                <w:color w:val="auto"/>
              </w:rPr>
            </w:pPr>
            <w:r>
              <w:rPr>
                <w:rFonts w:ascii="Arial" w:cs="Arial" w:eastAsia="Arial" w:hAnsi="Arial"/>
                <w:sz w:val="11"/>
                <w:szCs w:val="11"/>
                <w:color w:val="auto"/>
              </w:rPr>
              <w:t>172,230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348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color w:val="auto"/>
              </w:rPr>
              <w:t>348</w:t>
            </w: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313</w:t>
            </w: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right w:val="single" w:sz="8" w:color="CFF0FC"/>
            </w:tcBorders>
            <w:shd w:val="clear" w:color="auto" w:fill="CFF0FC"/>
          </w:tcPr>
          <w:p>
            <w:pPr>
              <w:jc w:val="right"/>
              <w:ind w:right="23"/>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right w:val="single" w:sz="8" w:color="CFF0FC"/>
            </w:tcBorders>
            <w:shd w:val="clear" w:color="auto" w:fill="CFF0FC"/>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313</w:t>
            </w:r>
          </w:p>
        </w:tc>
        <w:tc>
          <w:tcPr>
            <w:tcW w:w="0" w:type="dxa"/>
            <w:vAlign w:val="bottom"/>
          </w:tcPr>
          <w:p>
            <w:pPr>
              <w:spacing w:after="0"/>
              <w:rPr>
                <w:sz w:val="1"/>
                <w:szCs w:val="1"/>
                <w:color w:val="auto"/>
              </w:rPr>
            </w:pPr>
          </w:p>
        </w:tc>
      </w:tr>
      <w:tr>
        <w:trPr>
          <w:trHeight w:val="128"/>
        </w:trPr>
        <w:tc>
          <w:tcPr>
            <w:tcW w:w="2800" w:type="dxa"/>
            <w:vAlign w:val="bottom"/>
          </w:tcPr>
          <w:p>
            <w:pPr>
              <w:spacing w:after="0"/>
              <w:rPr>
                <w:sz w:val="20"/>
                <w:szCs w:val="20"/>
                <w:color w:val="auto"/>
              </w:rPr>
            </w:pPr>
            <w:r>
              <w:rPr>
                <w:rFonts w:ascii="Arial" w:cs="Arial" w:eastAsia="Arial" w:hAnsi="Arial"/>
                <w:sz w:val="11"/>
                <w:szCs w:val="11"/>
                <w:color w:val="auto"/>
              </w:rPr>
              <w:t>Balance — September 30, 2019 (as restated, Note 2)</w:t>
            </w:r>
          </w:p>
        </w:tc>
        <w:tc>
          <w:tcPr>
            <w:tcW w:w="580" w:type="dxa"/>
            <w:vAlign w:val="bottom"/>
          </w:tcPr>
          <w:p>
            <w:pPr>
              <w:jc w:val="right"/>
              <w:spacing w:after="0"/>
              <w:rPr>
                <w:sz w:val="20"/>
                <w:szCs w:val="20"/>
                <w:color w:val="auto"/>
              </w:rPr>
            </w:pPr>
            <w:r>
              <w:rPr>
                <w:rFonts w:ascii="Arial" w:cs="Arial" w:eastAsia="Arial" w:hAnsi="Arial"/>
                <w:sz w:val="11"/>
                <w:szCs w:val="11"/>
                <w:color w:val="auto"/>
              </w:rPr>
              <w:t>1,264,565</w:t>
            </w:r>
          </w:p>
        </w:tc>
        <w:tc>
          <w:tcPr>
            <w:tcW w:w="22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2,632,109</w:t>
            </w:r>
          </w:p>
        </w:tc>
        <w:tc>
          <w:tcPr>
            <w:tcW w:w="800" w:type="dxa"/>
            <w:vAlign w:val="bottom"/>
            <w:gridSpan w:val="4"/>
          </w:tcPr>
          <w:p>
            <w:pPr>
              <w:jc w:val="right"/>
              <w:spacing w:after="0"/>
              <w:rPr>
                <w:sz w:val="20"/>
                <w:szCs w:val="20"/>
                <w:color w:val="auto"/>
              </w:rPr>
            </w:pPr>
            <w:r>
              <w:rPr>
                <w:rFonts w:ascii="Arial" w:cs="Arial" w:eastAsia="Arial" w:hAnsi="Arial"/>
                <w:sz w:val="11"/>
                <w:szCs w:val="11"/>
                <w:color w:val="auto"/>
              </w:rPr>
              <w:t>4,615,567</w:t>
            </w:r>
          </w:p>
        </w:tc>
        <w:tc>
          <w:tcPr>
            <w:tcW w:w="26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56,983</w:t>
            </w:r>
          </w:p>
        </w:tc>
        <w:tc>
          <w:tcPr>
            <w:tcW w:w="760" w:type="dxa"/>
            <w:vAlign w:val="bottom"/>
            <w:gridSpan w:val="3"/>
          </w:tcPr>
          <w:p>
            <w:pPr>
              <w:jc w:val="right"/>
              <w:spacing w:after="0"/>
              <w:rPr>
                <w:sz w:val="20"/>
                <w:szCs w:val="20"/>
                <w:color w:val="auto"/>
              </w:rPr>
            </w:pPr>
            <w:r>
              <w:rPr>
                <w:rFonts w:ascii="Arial" w:cs="Arial" w:eastAsia="Arial" w:hAnsi="Arial"/>
                <w:sz w:val="11"/>
                <w:szCs w:val="11"/>
                <w:color w:val="auto"/>
              </w:rPr>
              <w:t>647,189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4"/>
          </w:tcPr>
          <w:p>
            <w:pPr>
              <w:jc w:val="right"/>
              <w:spacing w:after="0"/>
              <w:rPr>
                <w:sz w:val="20"/>
                <w:szCs w:val="20"/>
                <w:color w:val="auto"/>
              </w:rPr>
            </w:pPr>
            <w:r>
              <w:rPr>
                <w:rFonts w:ascii="Arial" w:cs="Arial" w:eastAsia="Arial" w:hAnsi="Arial"/>
                <w:sz w:val="11"/>
                <w:szCs w:val="11"/>
                <w:color w:val="auto"/>
              </w:rPr>
              <w:t>4,948,692</w:t>
            </w:r>
          </w:p>
        </w:tc>
        <w:tc>
          <w:tcPr>
            <w:tcW w:w="40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4"/>
              </w:rPr>
              <w:t>69,391</w:t>
            </w:r>
          </w:p>
        </w:tc>
        <w:tc>
          <w:tcPr>
            <w:tcW w:w="360" w:type="dxa"/>
            <w:vAlign w:val="bottom"/>
            <w:gridSpan w:val="2"/>
          </w:tcPr>
          <w:p>
            <w:pPr>
              <w:jc w:val="right"/>
              <w:ind w:right="2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(54,890)</w:t>
            </w:r>
          </w:p>
        </w:tc>
        <w:tc>
          <w:tcPr>
            <w:tcW w:w="300" w:type="dxa"/>
            <w:vAlign w:val="bottom"/>
            <w:gridSpan w:val="2"/>
          </w:tcPr>
          <w:p>
            <w:pPr>
              <w:jc w:val="right"/>
              <w:ind w:right="2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gridSpan w:val="3"/>
          </w:tcPr>
          <w:p>
            <w:pPr>
              <w:jc w:val="right"/>
              <w:ind w:right="23"/>
              <w:spacing w:after="0"/>
              <w:rPr>
                <w:sz w:val="20"/>
                <w:szCs w:val="20"/>
                <w:color w:val="auto"/>
              </w:rPr>
            </w:pPr>
            <w:r>
              <w:rPr>
                <w:rFonts w:ascii="Arial" w:cs="Arial" w:eastAsia="Arial" w:hAnsi="Arial"/>
                <w:sz w:val="11"/>
                <w:szCs w:val="11"/>
                <w:color w:val="auto"/>
              </w:rPr>
              <w:t>4,353</w:t>
            </w:r>
          </w:p>
        </w:tc>
        <w:tc>
          <w:tcPr>
            <w:tcW w:w="260" w:type="dxa"/>
            <w:vAlign w:val="bottom"/>
            <w:gridSpan w:val="2"/>
          </w:tcPr>
          <w:p>
            <w:pPr>
              <w:jc w:val="center"/>
              <w:ind w:left="63"/>
              <w:spacing w:after="0"/>
              <w:rPr>
                <w:sz w:val="20"/>
                <w:szCs w:val="20"/>
                <w:color w:val="auto"/>
              </w:rPr>
            </w:pPr>
            <w:r>
              <w:rPr>
                <w:rFonts w:ascii="Arial" w:cs="Arial" w:eastAsia="Arial" w:hAnsi="Arial"/>
                <w:sz w:val="11"/>
                <w:szCs w:val="11"/>
                <w:color w:val="auto"/>
                <w:w w:val="97"/>
              </w:rPr>
              <w:t>$</w:t>
            </w:r>
          </w:p>
        </w:tc>
        <w:tc>
          <w:tcPr>
            <w:tcW w:w="600" w:type="dxa"/>
            <w:vAlign w:val="bottom"/>
            <w:gridSpan w:val="3"/>
          </w:tcPr>
          <w:p>
            <w:pPr>
              <w:jc w:val="right"/>
              <w:spacing w:after="0"/>
              <w:rPr>
                <w:sz w:val="20"/>
                <w:szCs w:val="20"/>
                <w:color w:val="auto"/>
              </w:rPr>
            </w:pPr>
            <w:r>
              <w:rPr>
                <w:rFonts w:ascii="Arial" w:cs="Arial" w:eastAsia="Arial" w:hAnsi="Arial"/>
                <w:sz w:val="11"/>
                <w:szCs w:val="11"/>
                <w:color w:val="auto"/>
              </w:rPr>
              <w:t>18,859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340"/>
          </w:cols>
          <w:pgMar w:left="320" w:top="307" w:right="239" w:bottom="1440" w:gutter="0" w:footer="0" w:header="0"/>
        </w:sectPr>
      </w:pPr>
    </w:p>
    <w:bookmarkStart w:id="6" w:name="page7"/>
    <w:bookmarkEnd w:id="6"/>
    <w:p>
      <w:pPr>
        <w:ind w:left="4800"/>
        <w:spacing w:after="0"/>
        <w:rPr>
          <w:sz w:val="20"/>
          <w:szCs w:val="20"/>
          <w:color w:val="auto"/>
        </w:rPr>
      </w:pPr>
      <w:r>
        <w:rPr>
          <w:rFonts w:ascii="Arial" w:cs="Arial" w:eastAsia="Arial" w:hAnsi="Arial"/>
          <w:sz w:val="15"/>
          <w:szCs w:val="15"/>
          <w:b w:val="1"/>
          <w:bCs w:val="1"/>
          <w:color w:val="auto"/>
        </w:rPr>
        <w:t>VENUS CONCEPT INC.</w:t>
      </w:r>
    </w:p>
    <w:p>
      <w:pPr>
        <w:spacing w:after="0" w:line="100"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(in thousands)</w:t>
      </w:r>
    </w:p>
    <w:p>
      <w:pPr>
        <w:spacing w:after="0" w:line="187" w:lineRule="exact"/>
        <w:rPr>
          <w:sz w:val="20"/>
          <w:szCs w:val="20"/>
          <w:color w:val="auto"/>
        </w:rPr>
      </w:pPr>
    </w:p>
    <w:p>
      <w:pPr>
        <w:jc w:val="center"/>
        <w:ind w:left="7640"/>
        <w:spacing w:after="0"/>
        <w:rPr>
          <w:sz w:val="20"/>
          <w:szCs w:val="20"/>
          <w:color w:val="auto"/>
        </w:rPr>
      </w:pPr>
      <w:r>
        <w:rPr>
          <w:rFonts w:ascii="Arial" w:cs="Arial" w:eastAsia="Arial" w:hAnsi="Arial"/>
          <w:sz w:val="11"/>
          <w:szCs w:val="11"/>
          <w:b w:val="1"/>
          <w:bCs w:val="1"/>
          <w:color w:val="auto"/>
        </w:rPr>
        <w:t>Nine Months</w:t>
      </w:r>
    </w:p>
    <w:p>
      <w:pPr>
        <w:jc w:val="center"/>
        <w:ind w:left="7640"/>
        <w:spacing w:after="0" w:line="222" w:lineRule="auto"/>
        <w:rPr>
          <w:sz w:val="20"/>
          <w:szCs w:val="20"/>
          <w:color w:val="auto"/>
        </w:rPr>
      </w:pPr>
      <w:r>
        <w:rPr>
          <w:rFonts w:ascii="Arial" w:cs="Arial" w:eastAsia="Arial" w:hAnsi="Arial"/>
          <w:sz w:val="11"/>
          <w:szCs w:val="11"/>
          <w:b w:val="1"/>
          <w:bCs w:val="1"/>
          <w:color w:val="auto"/>
        </w:rPr>
        <w:t>Ended September 30</w:t>
      </w:r>
    </w:p>
    <w:tbl>
      <w:tblPr>
        <w:tblLayout w:type="fixed"/>
        <w:tblInd w:w="0" w:type="dxa"/>
        <w:tblCellMar>
          <w:top w:w="0" w:type="dxa"/>
          <w:left w:w="0" w:type="dxa"/>
          <w:bottom w:w="0" w:type="dxa"/>
          <w:right w:w="0" w:type="dxa"/>
        </w:tblCellMar>
      </w:tblPr>
      <w:tr>
        <w:trPr>
          <w:trHeight w:val="116"/>
        </w:trPr>
        <w:tc>
          <w:tcPr>
            <w:tcW w:w="7740" w:type="dxa"/>
            <w:vAlign w:val="bottom"/>
            <w:tcBorders>
              <w:bottom w:val="single" w:sz="8" w:color="CFF0FC"/>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132"/>
              <w:spacing w:after="0" w:line="116" w:lineRule="exact"/>
              <w:rPr>
                <w:sz w:val="20"/>
                <w:szCs w:val="20"/>
                <w:color w:val="auto"/>
              </w:rPr>
            </w:pPr>
            <w:r>
              <w:rPr>
                <w:rFonts w:ascii="Arial" w:cs="Arial" w:eastAsia="Arial" w:hAnsi="Arial"/>
                <w:sz w:val="11"/>
                <w:szCs w:val="11"/>
                <w:b w:val="1"/>
                <w:bCs w:val="1"/>
                <w:color w:val="auto"/>
              </w:rPr>
              <w:t>2020</w:t>
            </w:r>
          </w:p>
        </w:tc>
        <w:tc>
          <w:tcPr>
            <w:tcW w:w="50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CFF0FC"/>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tcPr>
          <w:p>
            <w:pPr>
              <w:jc w:val="right"/>
              <w:ind w:right="627"/>
              <w:spacing w:after="0" w:line="116" w:lineRule="exact"/>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740" w:type="dxa"/>
            <w:vAlign w:val="bottom"/>
            <w:shd w:val="clear" w:color="auto" w:fill="CFF0FC"/>
          </w:tcPr>
          <w:p>
            <w:pPr>
              <w:spacing w:after="0" w:line="116" w:lineRule="exact"/>
              <w:rPr>
                <w:sz w:val="20"/>
                <w:szCs w:val="20"/>
                <w:color w:val="auto"/>
              </w:rPr>
            </w:pPr>
            <w:r>
              <w:rPr>
                <w:rFonts w:ascii="Arial" w:cs="Arial" w:eastAsia="Arial" w:hAnsi="Arial"/>
                <w:sz w:val="11"/>
                <w:szCs w:val="11"/>
                <w:b w:val="1"/>
                <w:bCs w:val="1"/>
                <w:color w:val="auto"/>
              </w:rPr>
              <w:t>CASH FLOWS FROM OPERATING ACTIVITIES: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60" w:type="dxa"/>
            <w:vAlign w:val="bottom"/>
          </w:tcPr>
          <w:p>
            <w:pPr>
              <w:jc w:val="right"/>
              <w:ind w:right="95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(67,789)</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(19,560)</w:t>
            </w: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Adjustments to reconcile net loss to net cash used in operating activities: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Goodwill impairment</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27,450</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Depreciation and amortization</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3,695</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1,064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Stock-based compensation</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1,603</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1,732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Provision for bad debt</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8,450</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2,906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Provision for inventory obsolescence</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703</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496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Finance expenses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5,286</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629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Deferred tax expense (benefit)</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(1,245)</w:t>
            </w: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467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Interest on convertible promissory notes</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line="125" w:lineRule="exact"/>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370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Change in fair value of earn-out liability</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291</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678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Loss on sale of subsidiary</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385</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Gain on disposal of property and equipment</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35</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Changes in operating assets and liabilities: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400"/>
              <w:spacing w:after="0" w:line="125" w:lineRule="exact"/>
              <w:rPr>
                <w:sz w:val="20"/>
                <w:szCs w:val="20"/>
                <w:color w:val="auto"/>
              </w:rPr>
            </w:pPr>
            <w:r>
              <w:rPr>
                <w:rFonts w:ascii="Arial" w:cs="Arial" w:eastAsia="Arial" w:hAnsi="Arial"/>
                <w:sz w:val="11"/>
                <w:szCs w:val="11"/>
                <w:color w:val="auto"/>
              </w:rPr>
              <w:t>Accounts receivable short- and long-term</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5,298</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(19,102)</w:t>
            </w: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400"/>
              <w:spacing w:after="0" w:line="125" w:lineRule="exact"/>
              <w:rPr>
                <w:sz w:val="20"/>
                <w:szCs w:val="20"/>
                <w:color w:val="auto"/>
              </w:rPr>
            </w:pPr>
            <w:r>
              <w:rPr>
                <w:rFonts w:ascii="Arial" w:cs="Arial" w:eastAsia="Arial" w:hAnsi="Arial"/>
                <w:sz w:val="11"/>
                <w:szCs w:val="11"/>
                <w:color w:val="auto"/>
              </w:rPr>
              <w:t>Inventories</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line="125" w:lineRule="exact"/>
              <w:rPr>
                <w:sz w:val="20"/>
                <w:szCs w:val="20"/>
                <w:color w:val="auto"/>
              </w:rPr>
            </w:pPr>
            <w:r>
              <w:rPr>
                <w:rFonts w:ascii="Arial" w:cs="Arial" w:eastAsia="Arial" w:hAnsi="Arial"/>
                <w:sz w:val="11"/>
                <w:szCs w:val="11"/>
                <w:color w:val="auto"/>
              </w:rPr>
              <w:t>(1,612)</w:t>
            </w: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3,988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400"/>
              <w:spacing w:after="0" w:line="125" w:lineRule="exact"/>
              <w:rPr>
                <w:sz w:val="20"/>
                <w:szCs w:val="20"/>
                <w:color w:val="auto"/>
              </w:rPr>
            </w:pPr>
            <w:r>
              <w:rPr>
                <w:rFonts w:ascii="Arial" w:cs="Arial" w:eastAsia="Arial" w:hAnsi="Arial"/>
                <w:sz w:val="11"/>
                <w:szCs w:val="11"/>
                <w:color w:val="auto"/>
              </w:rPr>
              <w:t>Prepaid expenses</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493</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371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400"/>
              <w:spacing w:after="0" w:line="125" w:lineRule="exact"/>
              <w:rPr>
                <w:sz w:val="20"/>
                <w:szCs w:val="20"/>
                <w:color w:val="auto"/>
              </w:rPr>
            </w:pPr>
            <w:r>
              <w:rPr>
                <w:rFonts w:ascii="Arial" w:cs="Arial" w:eastAsia="Arial" w:hAnsi="Arial"/>
                <w:sz w:val="11"/>
                <w:szCs w:val="11"/>
                <w:color w:val="auto"/>
              </w:rPr>
              <w:t>Other current assets</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line="125" w:lineRule="exact"/>
              <w:rPr>
                <w:sz w:val="20"/>
                <w:szCs w:val="20"/>
                <w:color w:val="auto"/>
              </w:rPr>
            </w:pPr>
            <w:r>
              <w:rPr>
                <w:rFonts w:ascii="Arial" w:cs="Arial" w:eastAsia="Arial" w:hAnsi="Arial"/>
                <w:sz w:val="11"/>
                <w:szCs w:val="11"/>
                <w:color w:val="auto"/>
              </w:rPr>
              <w:t>(3,533)</w:t>
            </w: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(2,865)</w:t>
            </w:r>
          </w:p>
        </w:tc>
        <w:tc>
          <w:tcPr>
            <w:tcW w:w="0" w:type="dxa"/>
            <w:vAlign w:val="bottom"/>
          </w:tcPr>
          <w:p>
            <w:pPr>
              <w:spacing w:after="0"/>
              <w:rPr>
                <w:sz w:val="1"/>
                <w:szCs w:val="1"/>
                <w:color w:val="auto"/>
              </w:rPr>
            </w:pPr>
          </w:p>
        </w:tc>
      </w:tr>
      <w:tr>
        <w:trPr>
          <w:trHeight w:val="125"/>
        </w:trPr>
        <w:tc>
          <w:tcPr>
            <w:tcW w:w="7740" w:type="dxa"/>
            <w:vAlign w:val="bottom"/>
          </w:tcPr>
          <w:p>
            <w:pPr>
              <w:ind w:left="400"/>
              <w:spacing w:after="0" w:line="125" w:lineRule="exact"/>
              <w:rPr>
                <w:sz w:val="20"/>
                <w:szCs w:val="20"/>
                <w:color w:val="auto"/>
              </w:rPr>
            </w:pPr>
            <w:r>
              <w:rPr>
                <w:rFonts w:ascii="Arial" w:cs="Arial" w:eastAsia="Arial" w:hAnsi="Arial"/>
                <w:sz w:val="11"/>
                <w:szCs w:val="11"/>
                <w:color w:val="auto"/>
              </w:rPr>
              <w:t>Other long-term assets</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6</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400"/>
              <w:spacing w:after="0" w:line="125" w:lineRule="exact"/>
              <w:rPr>
                <w:sz w:val="20"/>
                <w:szCs w:val="20"/>
                <w:color w:val="auto"/>
              </w:rPr>
            </w:pPr>
            <w:r>
              <w:rPr>
                <w:rFonts w:ascii="Arial" w:cs="Arial" w:eastAsia="Arial" w:hAnsi="Arial"/>
                <w:sz w:val="11"/>
                <w:szCs w:val="11"/>
                <w:color w:val="auto"/>
              </w:rPr>
              <w:t>Trade payables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447</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(860)</w:t>
            </w:r>
          </w:p>
        </w:tc>
        <w:tc>
          <w:tcPr>
            <w:tcW w:w="0" w:type="dxa"/>
            <w:vAlign w:val="bottom"/>
          </w:tcPr>
          <w:p>
            <w:pPr>
              <w:spacing w:after="0"/>
              <w:rPr>
                <w:sz w:val="1"/>
                <w:szCs w:val="1"/>
                <w:color w:val="auto"/>
              </w:rPr>
            </w:pPr>
          </w:p>
        </w:tc>
      </w:tr>
      <w:tr>
        <w:trPr>
          <w:trHeight w:val="125"/>
        </w:trPr>
        <w:tc>
          <w:tcPr>
            <w:tcW w:w="7740" w:type="dxa"/>
            <w:vAlign w:val="bottom"/>
          </w:tcPr>
          <w:p>
            <w:pPr>
              <w:ind w:left="400"/>
              <w:spacing w:after="0" w:line="125" w:lineRule="exact"/>
              <w:rPr>
                <w:sz w:val="20"/>
                <w:szCs w:val="20"/>
                <w:color w:val="auto"/>
              </w:rPr>
            </w:pPr>
            <w:r>
              <w:rPr>
                <w:rFonts w:ascii="Arial" w:cs="Arial" w:eastAsia="Arial" w:hAnsi="Arial"/>
                <w:sz w:val="11"/>
                <w:szCs w:val="11"/>
                <w:color w:val="auto"/>
              </w:rPr>
              <w:t>Accrued expenses and other current liabilities</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(6,584)</w:t>
            </w: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4,193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400"/>
              <w:spacing w:after="0" w:line="125" w:lineRule="exact"/>
              <w:rPr>
                <w:sz w:val="20"/>
                <w:szCs w:val="20"/>
                <w:color w:val="auto"/>
              </w:rPr>
            </w:pPr>
            <w:r>
              <w:rPr>
                <w:rFonts w:ascii="Arial" w:cs="Arial" w:eastAsia="Arial" w:hAnsi="Arial"/>
                <w:sz w:val="11"/>
                <w:szCs w:val="11"/>
                <w:color w:val="auto"/>
              </w:rPr>
              <w:t>Severance pay funds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142</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25"/>
        </w:trPr>
        <w:tc>
          <w:tcPr>
            <w:tcW w:w="7740" w:type="dxa"/>
            <w:vAlign w:val="bottom"/>
          </w:tcPr>
          <w:p>
            <w:pPr>
              <w:ind w:left="400"/>
              <w:spacing w:after="0" w:line="125" w:lineRule="exact"/>
              <w:rPr>
                <w:sz w:val="20"/>
                <w:szCs w:val="20"/>
                <w:color w:val="auto"/>
              </w:rPr>
            </w:pPr>
            <w:r>
              <w:rPr>
                <w:rFonts w:ascii="Arial" w:cs="Arial" w:eastAsia="Arial" w:hAnsi="Arial"/>
                <w:sz w:val="11"/>
                <w:szCs w:val="11"/>
                <w:color w:val="auto"/>
              </w:rPr>
              <w:t>Unearned interest income</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(1,630)</w:t>
            </w: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158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400"/>
              <w:spacing w:after="0" w:line="125" w:lineRule="exact"/>
              <w:rPr>
                <w:sz w:val="20"/>
                <w:szCs w:val="20"/>
                <w:color w:val="auto"/>
              </w:rPr>
            </w:pPr>
            <w:r>
              <w:rPr>
                <w:rFonts w:ascii="Arial" w:cs="Arial" w:eastAsia="Arial" w:hAnsi="Arial"/>
                <w:sz w:val="11"/>
                <w:szCs w:val="11"/>
                <w:color w:val="auto"/>
              </w:rPr>
              <w:t>Other long-term liabilities</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line="125" w:lineRule="exact"/>
              <w:rPr>
                <w:sz w:val="20"/>
                <w:szCs w:val="20"/>
                <w:color w:val="auto"/>
              </w:rPr>
            </w:pPr>
            <w:r>
              <w:rPr>
                <w:rFonts w:ascii="Arial" w:cs="Arial" w:eastAsia="Arial" w:hAnsi="Arial"/>
                <w:sz w:val="11"/>
                <w:szCs w:val="11"/>
                <w:color w:val="auto"/>
              </w:rPr>
              <w:t>(671)</w:t>
            </w: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16"/>
        </w:trPr>
        <w:tc>
          <w:tcPr>
            <w:tcW w:w="7740" w:type="dxa"/>
            <w:vAlign w:val="bottom"/>
            <w:tcBorders>
              <w:bottom w:val="single" w:sz="8" w:color="CFF0FC"/>
            </w:tcBorders>
          </w:tcPr>
          <w:p>
            <w:pPr>
              <w:ind w:left="620"/>
              <w:spacing w:after="0" w:line="116" w:lineRule="exact"/>
              <w:rPr>
                <w:sz w:val="20"/>
                <w:szCs w:val="20"/>
                <w:color w:val="auto"/>
              </w:rPr>
            </w:pPr>
            <w:r>
              <w:rPr>
                <w:rFonts w:ascii="Arial" w:cs="Arial" w:eastAsia="Arial" w:hAnsi="Arial"/>
                <w:sz w:val="11"/>
                <w:szCs w:val="11"/>
                <w:color w:val="auto"/>
              </w:rPr>
              <w:t>Net cash used in operating activities</w:t>
            </w:r>
          </w:p>
        </w:tc>
        <w:tc>
          <w:tcPr>
            <w:tcW w:w="10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(28,780)</w:t>
            </w:r>
          </w:p>
        </w:tc>
        <w:tc>
          <w:tcPr>
            <w:tcW w:w="300" w:type="dxa"/>
            <w:vAlign w:val="bottom"/>
            <w:tcBorders>
              <w:bottom w:val="single" w:sz="8" w:color="CFF0FC"/>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(25,867)</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740" w:type="dxa"/>
            <w:vAlign w:val="bottom"/>
            <w:shd w:val="clear" w:color="auto" w:fill="CFF0FC"/>
          </w:tcPr>
          <w:p>
            <w:pPr>
              <w:spacing w:after="0" w:line="116" w:lineRule="exact"/>
              <w:rPr>
                <w:sz w:val="20"/>
                <w:szCs w:val="20"/>
                <w:color w:val="auto"/>
              </w:rPr>
            </w:pPr>
            <w:r>
              <w:rPr>
                <w:rFonts w:ascii="Arial" w:cs="Arial" w:eastAsia="Arial" w:hAnsi="Arial"/>
                <w:sz w:val="11"/>
                <w:szCs w:val="11"/>
                <w:b w:val="1"/>
                <w:bCs w:val="1"/>
                <w:color w:val="auto"/>
              </w:rPr>
              <w:t>CASH FLOWS FROM INVESTING ACTIVITIES: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Issuance of subordinated promissory notes</w:t>
            </w:r>
          </w:p>
        </w:tc>
        <w:tc>
          <w:tcPr>
            <w:tcW w:w="1060" w:type="dxa"/>
            <w:vAlign w:val="bottom"/>
          </w:tcPr>
          <w:p>
            <w:pPr>
              <w:spacing w:after="0"/>
              <w:rPr>
                <w:sz w:val="10"/>
                <w:szCs w:val="10"/>
                <w:color w:val="auto"/>
              </w:rPr>
            </w:pPr>
          </w:p>
        </w:tc>
        <w:tc>
          <w:tcPr>
            <w:tcW w:w="800" w:type="dxa"/>
            <w:vAlign w:val="bottom"/>
            <w:gridSpan w:val="2"/>
          </w:tcPr>
          <w:p>
            <w:pPr>
              <w:jc w:val="right"/>
              <w:ind w:right="300"/>
              <w:spacing w:after="0" w:line="125"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(4,500)</w:t>
            </w: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Purchases of property and equipment</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line="125" w:lineRule="exact"/>
              <w:rPr>
                <w:sz w:val="20"/>
                <w:szCs w:val="20"/>
                <w:color w:val="auto"/>
              </w:rPr>
            </w:pPr>
            <w:r>
              <w:rPr>
                <w:rFonts w:ascii="Arial" w:cs="Arial" w:eastAsia="Arial" w:hAnsi="Arial"/>
                <w:sz w:val="11"/>
                <w:szCs w:val="11"/>
                <w:color w:val="auto"/>
              </w:rPr>
              <w:t>(208)</w:t>
            </w: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(617)</w:t>
            </w: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Cash paid for purchase of non-controlling interest</w:t>
            </w:r>
          </w:p>
        </w:tc>
        <w:tc>
          <w:tcPr>
            <w:tcW w:w="1060" w:type="dxa"/>
            <w:vAlign w:val="bottom"/>
          </w:tcPr>
          <w:p>
            <w:pPr>
              <w:spacing w:after="0"/>
              <w:rPr>
                <w:sz w:val="10"/>
                <w:szCs w:val="10"/>
                <w:color w:val="auto"/>
              </w:rPr>
            </w:pPr>
          </w:p>
        </w:tc>
        <w:tc>
          <w:tcPr>
            <w:tcW w:w="800" w:type="dxa"/>
            <w:vAlign w:val="bottom"/>
            <w:gridSpan w:val="2"/>
          </w:tcPr>
          <w:p>
            <w:pPr>
              <w:jc w:val="right"/>
              <w:ind w:right="300"/>
              <w:spacing w:after="0" w:line="125"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Cash received from sale of subsidiary, net of cash relinquished</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89</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6"/>
        </w:trPr>
        <w:tc>
          <w:tcPr>
            <w:tcW w:w="7740" w:type="dxa"/>
            <w:vAlign w:val="bottom"/>
            <w:tcBorders>
              <w:bottom w:val="single" w:sz="8" w:color="CFF0FC"/>
            </w:tcBorders>
          </w:tcPr>
          <w:p>
            <w:pPr>
              <w:ind w:left="620"/>
              <w:spacing w:after="0" w:line="116" w:lineRule="exact"/>
              <w:rPr>
                <w:sz w:val="20"/>
                <w:szCs w:val="20"/>
                <w:color w:val="auto"/>
              </w:rPr>
            </w:pPr>
            <w:r>
              <w:rPr>
                <w:rFonts w:ascii="Arial" w:cs="Arial" w:eastAsia="Arial" w:hAnsi="Arial"/>
                <w:sz w:val="11"/>
                <w:szCs w:val="11"/>
                <w:color w:val="auto"/>
              </w:rPr>
              <w:t>Net cash used in investing activities</w:t>
            </w:r>
          </w:p>
        </w:tc>
        <w:tc>
          <w:tcPr>
            <w:tcW w:w="10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(119)</w:t>
            </w:r>
          </w:p>
        </w:tc>
        <w:tc>
          <w:tcPr>
            <w:tcW w:w="300" w:type="dxa"/>
            <w:vAlign w:val="bottom"/>
            <w:tcBorders>
              <w:bottom w:val="single" w:sz="8" w:color="CFF0FC"/>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(5,240)</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740" w:type="dxa"/>
            <w:vAlign w:val="bottom"/>
            <w:shd w:val="clear" w:color="auto" w:fill="CFF0FC"/>
          </w:tcPr>
          <w:p>
            <w:pPr>
              <w:spacing w:after="0" w:line="116" w:lineRule="exact"/>
              <w:rPr>
                <w:sz w:val="20"/>
                <w:szCs w:val="20"/>
                <w:color w:val="auto"/>
              </w:rPr>
            </w:pPr>
            <w:r>
              <w:rPr>
                <w:rFonts w:ascii="Arial" w:cs="Arial" w:eastAsia="Arial" w:hAnsi="Arial"/>
                <w:sz w:val="11"/>
                <w:szCs w:val="11"/>
                <w:b w:val="1"/>
                <w:bCs w:val="1"/>
                <w:color w:val="auto"/>
              </w:rPr>
              <w:t>CASH FLOWS FROM FINANCING ACTIVITIES: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Issuance of long-term debt, net of financing fees</w:t>
            </w:r>
          </w:p>
        </w:tc>
        <w:tc>
          <w:tcPr>
            <w:tcW w:w="1060" w:type="dxa"/>
            <w:vAlign w:val="bottom"/>
          </w:tcPr>
          <w:p>
            <w:pPr>
              <w:spacing w:after="0"/>
              <w:rPr>
                <w:sz w:val="10"/>
                <w:szCs w:val="10"/>
                <w:color w:val="auto"/>
              </w:rPr>
            </w:pPr>
          </w:p>
        </w:tc>
        <w:tc>
          <w:tcPr>
            <w:tcW w:w="800" w:type="dxa"/>
            <w:vAlign w:val="bottom"/>
            <w:gridSpan w:val="2"/>
          </w:tcPr>
          <w:p>
            <w:pPr>
              <w:jc w:val="right"/>
              <w:ind w:right="300"/>
              <w:spacing w:after="0" w:line="125"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9,740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(Repayment of) proceeds from line-of-credit</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line="125" w:lineRule="exact"/>
              <w:rPr>
                <w:sz w:val="20"/>
                <w:szCs w:val="20"/>
                <w:color w:val="auto"/>
              </w:rPr>
            </w:pPr>
            <w:r>
              <w:rPr>
                <w:rFonts w:ascii="Arial" w:cs="Arial" w:eastAsia="Arial" w:hAnsi="Arial"/>
                <w:sz w:val="11"/>
                <w:szCs w:val="11"/>
                <w:color w:val="auto"/>
              </w:rPr>
              <w:t>(3,912)</w:t>
            </w: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1,917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Proceeds from government assistance loans</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4,110</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Proceeds from issuance of common stock</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6,206</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Proceeds from 2020 Private Placement, net of costs of $1,950</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20,300</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Dividends from subsidiaries paid to non-controlling interest</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line="125" w:lineRule="exact"/>
              <w:rPr>
                <w:sz w:val="20"/>
                <w:szCs w:val="20"/>
                <w:color w:val="auto"/>
              </w:rPr>
            </w:pPr>
            <w:r>
              <w:rPr>
                <w:rFonts w:ascii="Arial" w:cs="Arial" w:eastAsia="Arial" w:hAnsi="Arial"/>
                <w:sz w:val="11"/>
                <w:szCs w:val="11"/>
                <w:color w:val="auto"/>
              </w:rPr>
              <w:t>(218)</w:t>
            </w: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Proceeds from issuance of convertible promissory notes, net of cash issuance costs of $280</w:t>
            </w:r>
          </w:p>
        </w:tc>
        <w:tc>
          <w:tcPr>
            <w:tcW w:w="1060" w:type="dxa"/>
            <w:vAlign w:val="bottom"/>
          </w:tcPr>
          <w:p>
            <w:pPr>
              <w:spacing w:after="0"/>
              <w:rPr>
                <w:sz w:val="10"/>
                <w:szCs w:val="10"/>
                <w:color w:val="auto"/>
              </w:rPr>
            </w:pPr>
          </w:p>
        </w:tc>
        <w:tc>
          <w:tcPr>
            <w:tcW w:w="800" w:type="dxa"/>
            <w:vAlign w:val="bottom"/>
            <w:gridSpan w:val="2"/>
          </w:tcPr>
          <w:p>
            <w:pPr>
              <w:jc w:val="right"/>
              <w:ind w:right="300"/>
              <w:spacing w:after="0" w:line="125"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28,770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Payment of earn-out liability</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line="125" w:lineRule="exact"/>
              <w:rPr>
                <w:sz w:val="20"/>
                <w:szCs w:val="20"/>
                <w:color w:val="auto"/>
              </w:rPr>
            </w:pPr>
            <w:r>
              <w:rPr>
                <w:rFonts w:ascii="Arial" w:cs="Arial" w:eastAsia="Arial" w:hAnsi="Arial"/>
                <w:sz w:val="11"/>
                <w:szCs w:val="11"/>
                <w:color w:val="auto"/>
              </w:rPr>
              <w:t>(549)</w:t>
            </w: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(451)</w:t>
            </w: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Installment payments</w:t>
            </w:r>
          </w:p>
        </w:tc>
        <w:tc>
          <w:tcPr>
            <w:tcW w:w="1060" w:type="dxa"/>
            <w:vAlign w:val="bottom"/>
          </w:tcPr>
          <w:p>
            <w:pPr>
              <w:spacing w:after="0"/>
              <w:rPr>
                <w:sz w:val="10"/>
                <w:szCs w:val="10"/>
                <w:color w:val="auto"/>
              </w:rPr>
            </w:pPr>
          </w:p>
        </w:tc>
        <w:tc>
          <w:tcPr>
            <w:tcW w:w="800" w:type="dxa"/>
            <w:vAlign w:val="bottom"/>
            <w:gridSpan w:val="2"/>
          </w:tcPr>
          <w:p>
            <w:pPr>
              <w:jc w:val="right"/>
              <w:ind w:right="300"/>
              <w:spacing w:after="0" w:line="125"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Proceeds from exercise of options</w:t>
            </w:r>
          </w:p>
        </w:tc>
        <w:tc>
          <w:tcPr>
            <w:tcW w:w="106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74</w:t>
            </w:r>
          </w:p>
        </w:tc>
        <w:tc>
          <w:tcPr>
            <w:tcW w:w="300" w:type="dxa"/>
            <w:vAlign w:val="bottom"/>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2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355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740" w:type="dxa"/>
            <w:vAlign w:val="bottom"/>
            <w:tcBorders>
              <w:bottom w:val="single" w:sz="8" w:color="CFF0FC"/>
            </w:tcBorders>
          </w:tcPr>
          <w:p>
            <w:pPr>
              <w:ind w:left="620"/>
              <w:spacing w:after="0" w:line="116" w:lineRule="exact"/>
              <w:rPr>
                <w:sz w:val="20"/>
                <w:szCs w:val="20"/>
                <w:color w:val="auto"/>
              </w:rPr>
            </w:pPr>
            <w:r>
              <w:rPr>
                <w:rFonts w:ascii="Arial" w:cs="Arial" w:eastAsia="Arial" w:hAnsi="Arial"/>
                <w:sz w:val="11"/>
                <w:szCs w:val="11"/>
                <w:color w:val="auto"/>
              </w:rPr>
              <w:t>Net cash provided by financing activities</w:t>
            </w:r>
          </w:p>
        </w:tc>
        <w:tc>
          <w:tcPr>
            <w:tcW w:w="1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26,011</w:t>
            </w:r>
          </w:p>
        </w:tc>
        <w:tc>
          <w:tcPr>
            <w:tcW w:w="30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40,081</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740" w:type="dxa"/>
            <w:vAlign w:val="bottom"/>
            <w:shd w:val="clear" w:color="auto" w:fill="CFF0FC"/>
          </w:tcPr>
          <w:p>
            <w:pPr>
              <w:spacing w:after="0" w:line="116" w:lineRule="exact"/>
              <w:rPr>
                <w:sz w:val="20"/>
                <w:szCs w:val="20"/>
                <w:color w:val="auto"/>
              </w:rPr>
            </w:pPr>
            <w:r>
              <w:rPr>
                <w:rFonts w:ascii="Arial" w:cs="Arial" w:eastAsia="Arial" w:hAnsi="Arial"/>
                <w:sz w:val="11"/>
                <w:szCs w:val="11"/>
                <w:color w:val="auto"/>
              </w:rPr>
              <w:t>NET (DECREASE) INCREASE IN CASH AND CASH EQUIVALENTS AND RESTRICTED CASH</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(2,888)</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8,974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Borders>
              <w:bottom w:val="single" w:sz="8" w:color="CFF0FC"/>
            </w:tcBorders>
          </w:tcPr>
          <w:p>
            <w:pPr>
              <w:spacing w:after="0" w:line="125" w:lineRule="exact"/>
              <w:rPr>
                <w:sz w:val="20"/>
                <w:szCs w:val="20"/>
                <w:color w:val="auto"/>
              </w:rPr>
            </w:pPr>
            <w:r>
              <w:rPr>
                <w:rFonts w:ascii="Arial" w:cs="Arial" w:eastAsia="Arial" w:hAnsi="Arial"/>
                <w:sz w:val="11"/>
                <w:szCs w:val="11"/>
                <w:color w:val="auto"/>
              </w:rPr>
              <w:t>CASH AND CASH EQUIVALENTS AND RESTRICTED CASH — Beginning of period</w:t>
            </w:r>
          </w:p>
        </w:tc>
        <w:tc>
          <w:tcPr>
            <w:tcW w:w="1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15,749</w:t>
            </w:r>
          </w:p>
        </w:tc>
        <w:tc>
          <w:tcPr>
            <w:tcW w:w="30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6,758</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740" w:type="dxa"/>
            <w:vAlign w:val="bottom"/>
            <w:tcBorders>
              <w:bottom w:val="single" w:sz="8" w:color="CFF0FC"/>
            </w:tcBorders>
            <w:shd w:val="clear" w:color="auto" w:fill="CFF0FC"/>
          </w:tcPr>
          <w:p>
            <w:pPr>
              <w:spacing w:after="0" w:line="116" w:lineRule="exact"/>
              <w:rPr>
                <w:sz w:val="20"/>
                <w:szCs w:val="20"/>
                <w:color w:val="auto"/>
              </w:rPr>
            </w:pPr>
            <w:r>
              <w:rPr>
                <w:rFonts w:ascii="Arial" w:cs="Arial" w:eastAsia="Arial" w:hAnsi="Arial"/>
                <w:sz w:val="11"/>
                <w:szCs w:val="11"/>
                <w:color w:val="auto"/>
              </w:rPr>
              <w:t>CASH AND CASH EQUIVALENTS AND RESTRICTED CASH — End of period</w:t>
            </w:r>
          </w:p>
        </w:tc>
        <w:tc>
          <w:tcPr>
            <w:tcW w:w="1060" w:type="dxa"/>
            <w:vAlign w:val="bottom"/>
            <w:tcBorders>
              <w:bottom w:val="single" w:sz="8" w:color="auto"/>
            </w:tcBorders>
            <w:shd w:val="clear" w:color="auto" w:fill="CFF0FC"/>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12,861</w:t>
            </w:r>
          </w:p>
        </w:tc>
        <w:tc>
          <w:tcPr>
            <w:tcW w:w="30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15,732</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77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Cash paid for income taxes</w:t>
            </w:r>
          </w:p>
        </w:tc>
        <w:tc>
          <w:tcPr>
            <w:tcW w:w="1060" w:type="dxa"/>
            <w:vAlign w:val="bottom"/>
            <w:tcBorders>
              <w:bottom w:val="single" w:sz="8" w:color="auto"/>
            </w:tcBorders>
            <w:shd w:val="clear" w:color="auto" w:fill="CFF0FC"/>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461</w:t>
            </w:r>
          </w:p>
        </w:tc>
        <w:tc>
          <w:tcPr>
            <w:tcW w:w="300" w:type="dxa"/>
            <w:vAlign w:val="bottom"/>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529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740" w:type="dxa"/>
            <w:vAlign w:val="bottom"/>
            <w:tcBorders>
              <w:bottom w:val="single" w:sz="8" w:color="CFF0FC"/>
            </w:tcBorders>
          </w:tcPr>
          <w:p>
            <w:pPr>
              <w:ind w:left="200"/>
              <w:spacing w:after="0" w:line="116" w:lineRule="exact"/>
              <w:rPr>
                <w:sz w:val="20"/>
                <w:szCs w:val="20"/>
                <w:color w:val="auto"/>
              </w:rPr>
            </w:pPr>
            <w:r>
              <w:rPr>
                <w:rFonts w:ascii="Arial" w:cs="Arial" w:eastAsia="Arial" w:hAnsi="Arial"/>
                <w:sz w:val="11"/>
                <w:szCs w:val="11"/>
                <w:color w:val="auto"/>
              </w:rPr>
              <w:t>Cash paid for interest</w:t>
            </w:r>
          </w:p>
        </w:tc>
        <w:tc>
          <w:tcPr>
            <w:tcW w:w="1060" w:type="dxa"/>
            <w:vAlign w:val="bottom"/>
            <w:tcBorders>
              <w:bottom w:val="single" w:sz="8" w:color="auto"/>
            </w:tcBorders>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988</w:t>
            </w:r>
          </w:p>
        </w:tc>
        <w:tc>
          <w:tcPr>
            <w:tcW w:w="30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4,620</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7740" w:type="dxa"/>
            <w:vAlign w:val="bottom"/>
            <w:shd w:val="clear" w:color="auto" w:fill="CFF0FC"/>
          </w:tcPr>
          <w:p>
            <w:pPr>
              <w:spacing w:after="0" w:line="101" w:lineRule="exact"/>
              <w:rPr>
                <w:sz w:val="20"/>
                <w:szCs w:val="20"/>
                <w:color w:val="auto"/>
              </w:rPr>
            </w:pPr>
            <w:r>
              <w:rPr>
                <w:rFonts w:ascii="Arial" w:cs="Arial" w:eastAsia="Arial" w:hAnsi="Arial"/>
                <w:sz w:val="11"/>
                <w:szCs w:val="11"/>
                <w:b w:val="1"/>
                <w:bCs w:val="1"/>
                <w:color w:val="auto"/>
              </w:rPr>
              <w:t>SUPPLEMENTAL DISCLOSURES OF NON-CASH INVESTING AND</w:t>
            </w:r>
          </w:p>
        </w:tc>
        <w:tc>
          <w:tcPr>
            <w:tcW w:w="106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77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FINANCING INFORMATION:</w:t>
            </w:r>
          </w:p>
        </w:tc>
        <w:tc>
          <w:tcPr>
            <w:tcW w:w="10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Purchase of non-controlling interest</w:t>
            </w:r>
          </w:p>
        </w:tc>
        <w:tc>
          <w:tcPr>
            <w:tcW w:w="1060" w:type="dxa"/>
            <w:vAlign w:val="bottom"/>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Beneficial conversion feature of preferred stock recorded as deemed dividend</w:t>
            </w:r>
          </w:p>
        </w:tc>
        <w:tc>
          <w:tcPr>
            <w:tcW w:w="1060" w:type="dxa"/>
            <w:vAlign w:val="bottom"/>
            <w:shd w:val="clear" w:color="auto" w:fill="CFF0FC"/>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3,564</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Common stock issuance costs</w:t>
            </w:r>
          </w:p>
        </w:tc>
        <w:tc>
          <w:tcPr>
            <w:tcW w:w="1060" w:type="dxa"/>
            <w:vAlign w:val="bottom"/>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620</w:t>
            </w:r>
          </w:p>
        </w:tc>
        <w:tc>
          <w:tcPr>
            <w:tcW w:w="300" w:type="dxa"/>
            <w:vAlign w:val="bottom"/>
          </w:tcPr>
          <w:p>
            <w:pPr>
              <w:spacing w:after="0"/>
              <w:rPr>
                <w:sz w:val="10"/>
                <w:szCs w:val="10"/>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40" w:type="dxa"/>
            <w:vAlign w:val="bottom"/>
            <w:tcBorders>
              <w:bottom w:val="single" w:sz="8" w:color="CFF0FC"/>
            </w:tcBorders>
            <w:shd w:val="clear" w:color="auto" w:fill="CFF0FC"/>
          </w:tcPr>
          <w:p>
            <w:pPr>
              <w:ind w:left="200"/>
              <w:spacing w:after="0" w:line="125" w:lineRule="exact"/>
              <w:rPr>
                <w:sz w:val="20"/>
                <w:szCs w:val="20"/>
                <w:color w:val="auto"/>
              </w:rPr>
            </w:pPr>
            <w:r>
              <w:rPr>
                <w:rFonts w:ascii="Arial" w:cs="Arial" w:eastAsia="Arial" w:hAnsi="Arial"/>
                <w:sz w:val="11"/>
                <w:szCs w:val="11"/>
                <w:color w:val="auto"/>
              </w:rPr>
              <w:t>Conversion of Series A convertible preferred stock</w:t>
            </w:r>
          </w:p>
        </w:tc>
        <w:tc>
          <w:tcPr>
            <w:tcW w:w="1060" w:type="dxa"/>
            <w:vAlign w:val="bottom"/>
            <w:tcBorders>
              <w:bottom w:val="single" w:sz="8" w:color="auto"/>
            </w:tcBorders>
            <w:shd w:val="clear" w:color="auto" w:fill="CFF0FC"/>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660</w:t>
            </w:r>
          </w:p>
        </w:tc>
        <w:tc>
          <w:tcPr>
            <w:tcW w:w="30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7" w:name="page8"/>
    <w:bookmarkEnd w:id="7"/>
    <w:p>
      <w:pPr>
        <w:jc w:val="center"/>
        <w:ind w:right="380"/>
        <w:spacing w:after="0"/>
        <w:rPr>
          <w:sz w:val="20"/>
          <w:szCs w:val="20"/>
          <w:color w:val="auto"/>
        </w:rPr>
      </w:pPr>
      <w:r>
        <w:rPr>
          <w:rFonts w:ascii="Arial" w:cs="Arial" w:eastAsia="Arial" w:hAnsi="Arial"/>
          <w:sz w:val="15"/>
          <w:szCs w:val="15"/>
          <w:b w:val="1"/>
          <w:bCs w:val="1"/>
          <w:color w:val="auto"/>
        </w:rPr>
        <w:t>VENUS CONCEPT INC.</w:t>
      </w:r>
    </w:p>
    <w:p>
      <w:pPr>
        <w:spacing w:after="0" w:line="22"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i w:val="1"/>
          <w:iCs w:val="1"/>
          <w:color w:val="auto"/>
        </w:rPr>
        <w:t>(in thousands, unless otherwise noted, except for shares and per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w:t>
      </w:r>
    </w:p>
    <w:p>
      <w:pPr>
        <w:spacing w:after="0" w:line="195"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Venus Concept Inc. (formerly Restoration Robotics,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enables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condensed consolidated financial statements, the “Company”, “Venus Concept,” refers to Venus Concept Inc. and its subsidiaries on a consolidated basis.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Going Concern</w:t>
      </w:r>
    </w:p>
    <w:p>
      <w:pPr>
        <w:spacing w:after="0" w:line="195"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The accompanying condensed consolidated financial statements have been prepared on a going concern basis, which contemplates the realization of assets and the satisfaction of liabilities in the normal course of business for the foreseeable future,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The Company has had recurring net operating losses and negative cash flows from operations. As of September 30, 2020 and December 31, 2019, the Company had an accumulated deficit of $142,707 and $75,686, respectively. The Company was in compliance with all required covenants as of September 30, 2020 and as of December 31, 2019. The Company’s recurring losses from operations and negative cash flows raise substantial doubt about the Company’s ability to continue as a going concern within 12 months from the date that the condensed consolidated financial statements are issued. In addition, the coronavirus pandemic (“COVID-19” or “pandemic”) has had a significant negative impact on the Company’s condensed consolidated financial statements as of September 30, 2020 and for the nine months then ended, and management expects the pandemic to continue to have a negative impact in the foreseeable future, the extent of which is uncertain and largely subject to whether the severity of the pandemic worsens, or duration lengthens. In the event that the COVID-19 pandemic and the economic disruptions it has caused continue for an extended period of time the Company cannot assure that it will remain in compliance with the financial covenants in its credit facilities.</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In March 2020, the Company completed a private placement that raised net proceeds of $20,300, as described below. On June 16, 2020, the Company entered into a purchase agreement (the “Equity Purchase Agreement”) with Lincoln Park Capital Fund, LLC (“Lincoln Park”), which provides that, upon the terms and subject to the conditions and limitations set forth therein, the Company may sell to Lincoln Park up to $31,000 of shares of its common stock from time to time over the two-year term of the agreement. Any shares of common stock sold to Lincoln Park will be sold at a purchase price that is based on the prevailing prices of the common stock at the time of each sale. During the nine months ended September 30, 2020, the Company raised net cash proceeds of $6,206 under the Equity Purchase Agreement as described below. Until the Company generates revenue at a level to support its cost structure, the Company expects to continue to incur substantial operating losses and net cash outflows from operating activities.</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Given the COVID-19 pandemic,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331"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900"/>
          </w:cols>
          <w:pgMar w:left="680" w:top="307" w:right="3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Merger of the Company with Venus Concept Ltd.</w:t>
      </w:r>
    </w:p>
    <w:p>
      <w:pPr>
        <w:spacing w:after="0" w:line="195"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On November 7, 2019, the Company (formerly Restoration Robotics, Inc.), completed its business combination with Venus Concept Ltd., in accordance with the terms of the Agreement and Plan of Merger and Reorganization, dated as of March 15, 2019, as amended from time to time (the “Merger Agreement”), by and among the Company, Venus Concept Ltd. and Radiant Merger Sub Ltd., a company organized under the laws of Israel and a direct, wholly-owned subsidiary of the Company (“Merger Sub”). Under the Merger Agreement, Merger Sub merged with and into Venus Concept Ltd., with Venus Concept Ltd. surviving as a wholly owned subsidiary of the Company (the “Merger”). Following the completion of the Merger, the Company changed its corporate name to Venus Concept Inc., and the business conducted by Venus Concept Ltd. became the primary business conducted by the Company.</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At the effective time of the Merger, each outstanding ordinary and preferred share of Venus Concept Ltd., other than shares held by Venus Concept Ltd. as treasury stock or held by the Company or Merger Sub, were converted into the right to receive 8.6506, or Exchange Ratio, validly issued, fully paid and non-assessable shares of common stock, and each outstanding stock option and warrant issued and outstanding by Venus Concept Ltd. was assumed by Restoration Robotics, Inc. and converted into and became an option or warrant (as applicable) exercisable for shares of common stock with the number and exercise price adjusted by the Exchange Ratio.</w:t>
      </w:r>
    </w:p>
    <w:p>
      <w:pPr>
        <w:spacing w:after="0" w:line="144" w:lineRule="exact"/>
        <w:rPr>
          <w:sz w:val="20"/>
          <w:szCs w:val="20"/>
          <w:color w:val="auto"/>
        </w:rPr>
      </w:pPr>
    </w:p>
    <w:p>
      <w:pPr>
        <w:ind w:right="40"/>
        <w:spacing w:after="0" w:line="358" w:lineRule="auto"/>
        <w:rPr>
          <w:sz w:val="20"/>
          <w:szCs w:val="20"/>
          <w:color w:val="auto"/>
        </w:rPr>
      </w:pPr>
      <w:r>
        <w:rPr>
          <w:rFonts w:ascii="Arial" w:cs="Arial" w:eastAsia="Arial" w:hAnsi="Arial"/>
          <w:sz w:val="13"/>
          <w:szCs w:val="13"/>
          <w:color w:val="auto"/>
        </w:rPr>
        <w:t>The Merger was accounted for as a reverse acquisition with Venus Concept Ltd. as the acquiring company for accounting purposes, and Restoration Robotics, Inc. as the legal acquirer. As a result, upon consummation of the Merger, the historical financial statements of Venus Concept Ltd. became the historical financial statements of Venus Concept Inc.</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2020 Private Placement</w:t>
      </w:r>
    </w:p>
    <w:p>
      <w:pPr>
        <w:spacing w:after="0" w:line="195"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On March 18, 2020, the Company entered into a securities purchase agreement (the “Securities Purchase Agreement”) with certain investors (collectively, the “Investors”) pursuant to which the Company issued and sold to the Investors an aggregate of 2,300,000 shares of common stock, par value $0.0001 per share, 660,000 shares of Series A Convertible Preferred Stock, par value $0.0001 per share (the “Series A Preferred Stock”), which are convertible into 6,600,000 shares of common stock upon receipt of stockholder approval, and warrants (the “2020 Private Placement Warrants”) to purchase up to 6,675,000 shares of common stock with an exercise price of $3.50 per share (the “2020 Private Placement”). The 2020 Private Placement Warrants have a five-year term and are exercisable beginning 181 days after their issue date. The 2020 Private Placement was completed on March 19, 2020. On June 16, 2020 the Company’s stockholders approved the issuance of 6,600,000 shares of common stock upon the conversion of the 660,000 shares of Series A Preferred Stock issued by the Company in connection with the 2020 Private Placement and all outstanding shares of Series A Preferred Stock were converted into 6,600,000 shares of common stock. The gross proceeds from the securities sold in the 2020 Private Placement was $22,250. The costs incurred with respect to the 2020 Private Placement totaled $1,950 and were recorded in the condensed consolidated statements of stockholders’ equity. The accounting effects of the 2020 Private Placement transaction and subsequent conversion of Series A Preferred Stock are discussed in Note 13.</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Purchase Agreement with Lincoln Park</w:t>
      </w:r>
    </w:p>
    <w:p>
      <w:pPr>
        <w:spacing w:after="0" w:line="195"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On June 16, 2020, the Company entered into the Equity Purchase Agreement with Lincoln Park, which provides that, upon the terms and subject to the conditions and limitations set forth therein, the Company may sell to Lincoln Park up to $31,000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7,763,411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42"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307" w:right="339" w:bottom="1440" w:gutter="0" w:footer="0" w:header="0"/>
        </w:sectPr>
      </w:pPr>
    </w:p>
    <w:bookmarkStart w:id="9" w:name="page10"/>
    <w:bookmarkEnd w:id="9"/>
    <w:p>
      <w:pPr>
        <w:spacing w:after="0" w:line="278" w:lineRule="auto"/>
        <w:rPr>
          <w:sz w:val="20"/>
          <w:szCs w:val="20"/>
          <w:color w:val="auto"/>
        </w:rPr>
      </w:pPr>
      <w:r>
        <w:rPr>
          <w:rFonts w:ascii="Arial" w:cs="Arial" w:eastAsia="Arial" w:hAnsi="Arial"/>
          <w:sz w:val="14"/>
          <w:szCs w:val="14"/>
          <w:color w:val="auto"/>
        </w:rPr>
        <w:t>As of September 30, 2020, the Company issued and sold to Lincoln Park 2,030,715 shares of its common stock at an average price of $3.36 per share, and 209,566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condensed consolidated balance sheet. These costs will be amortized into condensed consolidated statements of stockholders’ equity proportionally based on proceeds received during the period and the expected total proceeds to be raised over the term of the Equity Purchase Agreement. Gross proceeds from common stock issuances as of September 30, 2020 were $6,826, which were then reduced by the amortization of deferred issuance costs of $384. Gross proceeds in the amount of $6,826 reduced by the value of the Commitment Shares of $620 were recorded in the condensed consolidated statements of cash flows as net cash proceeds from issuance of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 of subsidiary</w:t>
      </w:r>
    </w:p>
    <w:p>
      <w:pPr>
        <w:spacing w:after="0" w:line="195"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On May 4, 2020, the Company entered into a share sale and purchase agreement with Med Group Consult Ltd., an unrelated third party, and transferred its entire interest (51%) in Venus Concept Central Eastern Europe Ltd. for cash consideration of Euro (“EUR”) 473 which is equivalent to $531. As of September 30, 2020, the Company received several payments totaling EUR 279 (which is equivalent to $312). Another two payments totaling EUR 97 (which is equivalent to $111) were received by November 3, 2020, and the remainder is payable to the Company by December 31, 2020. As Venus Concept Central Eastern Europe Ltd.’s operating revenue was about 1% of the Company’s revenue and the disposal did not constitute a strategic shift that will have a major effect on the Company’s operations and financial results, the results of operations for Venus Concept Central Eastern Europe Ltd. were not reported as discontinued operations under the guidance of Accounting Standards Codification (“ASC”) 205-20-45. The sale resulted in loss of approximately $385 recognized in the condensed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91"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The accompanying unaudited condensed consolidated financial statements of Venus Concept Inc. have been prepared in accordance with accounting principles generally accepted in the United States (“U.S. GAAP”) and with the instructions to Form 10-Q and Article 10 of Regulation S-X. Accordingly, they do not include all of the information and footnotes required by U.S. GAAP for complete financial statements. These condensed consolidated financial statements should be read in conjunction with the Company’s audited consolidated financial statements included in its Annual Report on Form 10-K for the year ended December 31, 2019, filed with the SEC on March 30, 2020. In the opinion of management, all adjustments (consisting only of normal recurring adjustments) considered necessary for fair presentation have been included. Operating results for the nine months ended September 30, 2020 are not necessarily indicative of the results that may be expected for the year ending December 31, 2020. For further information, refer to the consolidated financial statements and footnotes thereto included in Item 8 of the Company’s most recent Annual Report on Form 10-K.</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The preparation of these unaudited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and the unknown future impacts of COVID-19 as of September 30, 2020 and through the date of this report filing. The accounting matters assessed included, but were not limited to, the allowance for doubtful accounts and the carrying value of goodwill, intangible and long-lived assets. Based on the assessment performed, the Company recorded COVID-19 related additional allowance for doubtful accounts of $367 and $3,821 for the three and nine months ended September 30, 2020, respectively. The Company recorded goodwill impairment of $27,450 (Note 7), which represents the entire value of goodwill, as of March 31, 2020.</w:t>
      </w:r>
    </w:p>
    <w:p>
      <w:pPr>
        <w:spacing w:after="0" w:line="164"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Restatement of Comparative Amounts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Venus Concept Ltd. previously classified the issuance of common stock and preferred stock as a credit to common stock. In accordance with U.S. GAAP, amounts issued in excess of par value are required to be accounted for in additional paid in capital (“APIC”). The error is a reclassification from common stock into APIC and has an overall immaterial impact on the consolidated statement of stockholders’ equity and consolidated balance sheet. Items previously reported have been reclassified to conform to U.S. GAAP and the reclassification did not have any impact on the Company’s consolidated statements of operations, consolidated statements of comprehensive loss, consolidated statements of cash flows and net loss per share calculations.</w:t>
      </w:r>
    </w:p>
    <w:p>
      <w:pPr>
        <w:spacing w:after="0" w:line="160"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60"/>
          </w:cols>
          <w:pgMar w:left="680" w:top="492"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The following table summarizes the impact of the restatement adjustments on Venus Concept Ltd.’s previously reported condensed consolidated financial statements:</w:t>
      </w:r>
    </w:p>
    <w:p>
      <w:pPr>
        <w:spacing w:after="0" w:line="192"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As</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0"/>
              </w:rPr>
              <w:t>As</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110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9"/>
              </w:rPr>
              <w:t>previously</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rPr>
              <w:t>Adjustment</w:t>
            </w: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reported</w:t>
            </w:r>
          </w:p>
        </w:tc>
        <w:tc>
          <w:tcPr>
            <w:tcW w:w="1100" w:type="dxa"/>
            <w:vAlign w:val="bottom"/>
            <w:gridSpan w:val="2"/>
            <w:vMerge w:val="continue"/>
          </w:tcPr>
          <w:p>
            <w:pPr>
              <w:spacing w:after="0"/>
              <w:rPr>
                <w:sz w:val="12"/>
                <w:szCs w:val="12"/>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restated</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9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89"/>
              </w:rPr>
              <w:t>$</w:t>
            </w:r>
          </w:p>
        </w:tc>
        <w:tc>
          <w:tcPr>
            <w:tcW w:w="180" w:type="dxa"/>
            <w:vAlign w:val="bottom"/>
          </w:tcPr>
          <w:p>
            <w:pPr>
              <w:spacing w:after="0"/>
              <w:rPr>
                <w:sz w:val="11"/>
                <w:szCs w:val="11"/>
                <w:color w:val="auto"/>
              </w:rPr>
            </w:pPr>
          </w:p>
        </w:tc>
        <w:tc>
          <w:tcPr>
            <w:tcW w:w="920" w:type="dxa"/>
            <w:vAlign w:val="bottom"/>
            <w:tcBorders>
              <w:top w:val="single" w:sz="8" w:color="auto"/>
            </w:tcBorders>
          </w:tcPr>
          <w:p>
            <w:pPr>
              <w:jc w:val="right"/>
              <w:ind w:right="367"/>
              <w:spacing w:after="0" w:line="128"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94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89"/>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w w:val="96"/>
              </w:rPr>
              <w:t>Consolidated balance sheet and consolidated statement of stockholders'</w:t>
            </w:r>
          </w:p>
        </w:tc>
        <w:tc>
          <w:tcPr>
            <w:tcW w:w="9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equity</w:t>
            </w: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January 1, 2019</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Common Stock</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57,101</w:t>
            </w:r>
          </w:p>
        </w:tc>
        <w:tc>
          <w:tcPr>
            <w:tcW w:w="1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(57,096)</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Additional paid in capital</w:t>
            </w:r>
          </w:p>
        </w:tc>
        <w:tc>
          <w:tcPr>
            <w:tcW w:w="920" w:type="dxa"/>
            <w:vAlign w:val="bottom"/>
          </w:tcPr>
          <w:p>
            <w:pPr>
              <w:jc w:val="right"/>
              <w:spacing w:after="0"/>
              <w:rPr>
                <w:sz w:val="20"/>
                <w:szCs w:val="20"/>
                <w:color w:val="auto"/>
              </w:rPr>
            </w:pPr>
            <w:r>
              <w:rPr>
                <w:rFonts w:ascii="Arial" w:cs="Arial" w:eastAsia="Arial" w:hAnsi="Arial"/>
                <w:sz w:val="15"/>
                <w:szCs w:val="15"/>
                <w:color w:val="auto"/>
              </w:rPr>
              <w:t>10,399</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57,096</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67,495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March 31, 2019</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Common Stock</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57,108</w:t>
            </w:r>
          </w:p>
        </w:tc>
        <w:tc>
          <w:tcPr>
            <w:tcW w:w="1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(57,103)</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Additional paid in capital</w:t>
            </w:r>
          </w:p>
        </w:tc>
        <w:tc>
          <w:tcPr>
            <w:tcW w:w="920" w:type="dxa"/>
            <w:vAlign w:val="bottom"/>
          </w:tcPr>
          <w:p>
            <w:pPr>
              <w:jc w:val="right"/>
              <w:spacing w:after="0"/>
              <w:rPr>
                <w:sz w:val="20"/>
                <w:szCs w:val="20"/>
                <w:color w:val="auto"/>
              </w:rPr>
            </w:pPr>
            <w:r>
              <w:rPr>
                <w:rFonts w:ascii="Arial" w:cs="Arial" w:eastAsia="Arial" w:hAnsi="Arial"/>
                <w:sz w:val="15"/>
                <w:szCs w:val="15"/>
                <w:color w:val="auto"/>
              </w:rPr>
              <w:t>10,774</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57,103</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67,877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June 30, 2019</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Common Stock</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57,108</w:t>
            </w:r>
          </w:p>
        </w:tc>
        <w:tc>
          <w:tcPr>
            <w:tcW w:w="1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(57,103)</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Additional paid in capital</w:t>
            </w:r>
          </w:p>
        </w:tc>
        <w:tc>
          <w:tcPr>
            <w:tcW w:w="920" w:type="dxa"/>
            <w:vAlign w:val="bottom"/>
          </w:tcPr>
          <w:p>
            <w:pPr>
              <w:jc w:val="right"/>
              <w:spacing w:after="0"/>
              <w:rPr>
                <w:sz w:val="20"/>
                <w:szCs w:val="20"/>
                <w:color w:val="auto"/>
              </w:rPr>
            </w:pPr>
            <w:r>
              <w:rPr>
                <w:rFonts w:ascii="Arial" w:cs="Arial" w:eastAsia="Arial" w:hAnsi="Arial"/>
                <w:sz w:val="15"/>
                <w:szCs w:val="15"/>
                <w:color w:val="auto"/>
              </w:rPr>
              <w:t>11,818</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57,103</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68,921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September 30, 2019</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Common Stock</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57,459</w:t>
            </w:r>
          </w:p>
        </w:tc>
        <w:tc>
          <w:tcPr>
            <w:tcW w:w="1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(57,454)</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Additional paid in capital</w:t>
            </w:r>
          </w:p>
        </w:tc>
        <w:tc>
          <w:tcPr>
            <w:tcW w:w="920" w:type="dxa"/>
            <w:vAlign w:val="bottom"/>
          </w:tcPr>
          <w:p>
            <w:pPr>
              <w:jc w:val="right"/>
              <w:spacing w:after="0"/>
              <w:rPr>
                <w:sz w:val="20"/>
                <w:szCs w:val="20"/>
                <w:color w:val="auto"/>
              </w:rPr>
            </w:pPr>
            <w:r>
              <w:rPr>
                <w:rFonts w:ascii="Arial" w:cs="Arial" w:eastAsia="Arial" w:hAnsi="Arial"/>
                <w:sz w:val="15"/>
                <w:szCs w:val="15"/>
                <w:color w:val="auto"/>
              </w:rPr>
              <w:t>11,937</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57,454</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69,391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Accounting policies</w:t>
      </w:r>
    </w:p>
    <w:p>
      <w:pPr>
        <w:spacing w:after="0" w:line="191" w:lineRule="exact"/>
        <w:rPr>
          <w:sz w:val="20"/>
          <w:szCs w:val="20"/>
          <w:color w:val="auto"/>
        </w:rPr>
      </w:pPr>
    </w:p>
    <w:p>
      <w:pPr>
        <w:jc w:val="both"/>
        <w:ind w:right="100"/>
        <w:spacing w:after="0" w:line="265" w:lineRule="auto"/>
        <w:rPr>
          <w:sz w:val="20"/>
          <w:szCs w:val="20"/>
          <w:color w:val="auto"/>
        </w:rPr>
      </w:pPr>
      <w:r>
        <w:rPr>
          <w:rFonts w:ascii="Arial" w:cs="Arial" w:eastAsia="Arial" w:hAnsi="Arial"/>
          <w:sz w:val="15"/>
          <w:szCs w:val="15"/>
          <w:color w:val="auto"/>
        </w:rPr>
        <w:t>The accounting policies the Company follows are set forth in the Company’s audited consolidated financial statements for fiscal year 2019. For further information, refer to the consolidated financial statements and footnotes thereto included in Item 8 of the Company’s most recent Annual Report on Form 10-K. There have been no material changes to these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JOBS Act Accounting Election</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and Uncertainties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The Company has considered the impact of COVID-19 on its condensed consolidated financial statements. COVID-19 has had a significant negative impact on the Company’s condensed consolidated financial statements as of September 30, 2020 and for the three and nine months then ended, and management expects the pandemic to continue to have a negative impact in the foreseeable future, the extent of which is uncertain and largely subject to whether the severity of the pandemic worsens, or duration lengthens. These impacts could include, but may not be limited to, risks and uncertainty related to the ability of the Company’s sales and marketing personnel and distributors to access the Company’s customer base, disruptions to the Company’s global supply chain, reduced demand and/or suspension of operations by the Company’s subscription customers which could impact their ability to make monthly payments, or deferral of aesthetic or hair restoration procedures which would impact the Company’s revenues. Consequently, these have negatively impacted the Company’s results of operations, cash flows and its overall financial condition. In addition, the impact of COVID-19 may subject the Company to future risk of material intangible and long-lived assets impairments, increased reserves for uncollectible accounts, and adjustments for inventory and market volatility for items subject to fair value measurements.</w:t>
      </w:r>
    </w:p>
    <w:p>
      <w:pPr>
        <w:spacing w:after="0" w:line="161"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492"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i w:val="1"/>
          <w:iCs w:val="1"/>
          <w:color w:val="auto"/>
        </w:rPr>
        <w:t>Recently Issued Accounting Standards Not Yet Adopted</w:t>
      </w:r>
    </w:p>
    <w:p>
      <w:pPr>
        <w:spacing w:after="0" w:line="214"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In April 2020, Financial Accounting Standards Board (the “FASB”) issued a Staff Question-and-Answer Document (Q&amp;A): ASC Topic 842 and ASC Topic 840: Accounting for Lease Concessions Related to the Effects of the COVID-19 Pandemic, that focuses on the application of the lease guidance for lease concessions related solely to the effects of COVID-19. The FASB issued the guidelines to reduce the burden and complexity for companies to account for such lease concessions (e.g., rent abatements or other economic incentives) under current lease accounting rules due to COVID-19 by providing certain practical expedients that can be used. This guidance can be applied immediately. The Company anticipates that the adoption of the guidance will not have a material impact on the Company’s condensed consolidated financial statements.</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is expected to be phased out at the end of calendar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may no longer be applied after December 31, 2022. The Company is currently assessing the impact of applying this guidance as well as when to adopt this guidance.</w:t>
      </w:r>
    </w:p>
    <w:p>
      <w:pPr>
        <w:spacing w:after="0" w:line="167"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In February 2020, the FASB issued authoritative guidance (ASU 2020-02 – Financial Instruments – Credit Losses (Topic 326) and Leases (Topic 842)) that amends and clarifies Topic 326 and Topic 842. For Topic 326, the codification was updated to include the Securities and Exchange Commission staff interpretations associated with registrants engaged in lending activities. ASC Topic 326 is effective for annual periods beginning after January 1, 2023, including interim periods within those fiscal years. The Company is currently evaluating the impact of applying this guidance on its financial instruments, such as accounts receivable.</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If adopted early, the Company must adopt all the amendments in the same period. The amendments have differing adoption methods including retrospectively, prospectively and/or modified retrospective basis through a cumulative-effect adjustment to retained earnings as of the beginning of the fiscal year of adoption, depending on the specific change. The Company is currently evaluating the impact of applying this guidance and believes that it has transactions that may fall under the scope of this guidance.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LOSS PER SHARE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Loss Per Share</w:t>
      </w:r>
    </w:p>
    <w:p>
      <w:pPr>
        <w:spacing w:after="0" w:line="191"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 The net loss attributable to common stockholders’ is adjusted for the preferred stock deemed dividend related to the beneficial conversion feature for the periods in which the preferred stock is outstanding.</w:t>
      </w:r>
    </w:p>
    <w:p>
      <w:pPr>
        <w:spacing w:after="0" w:line="326"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515" w:right="339" w:bottom="1440" w:gutter="0" w:footer="0" w:header="0"/>
        </w:sectPr>
      </w:pPr>
    </w:p>
    <w:bookmarkStart w:id="12" w:name="page13"/>
    <w:bookmarkEnd w:id="12"/>
    <w:p>
      <w:pPr>
        <w:ind w:right="200"/>
        <w:spacing w:after="0" w:line="278" w:lineRule="auto"/>
        <w:rPr>
          <w:sz w:val="20"/>
          <w:szCs w:val="20"/>
          <w:color w:val="auto"/>
        </w:rPr>
      </w:pPr>
      <w:r>
        <w:rPr>
          <w:rFonts w:ascii="Arial" w:cs="Arial" w:eastAsia="Arial" w:hAnsi="Arial"/>
          <w:sz w:val="15"/>
          <w:szCs w:val="15"/>
          <w:color w:val="auto"/>
        </w:rPr>
        <w:t>The following table sets forth the computation of basic and diluted net loss and the weighted average number of shares used in computing basic and diluted net loss per share (in thousands, except per share data):</w:t>
      </w:r>
    </w:p>
    <w:p>
      <w:pPr>
        <w:spacing w:after="0" w:line="135" w:lineRule="exact"/>
        <w:rPr>
          <w:sz w:val="20"/>
          <w:szCs w:val="20"/>
          <w:color w:val="auto"/>
        </w:rPr>
      </w:pPr>
    </w:p>
    <w:tbl>
      <w:tblPr>
        <w:tblLayout w:type="fixed"/>
        <w:tblInd w:w="108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Three Months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Nine Months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2"/>
                <w:szCs w:val="12"/>
                <w:b w:val="1"/>
                <w:bCs w:val="1"/>
                <w:color w:val="auto"/>
              </w:rPr>
              <w:t>Ended September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2"/>
                <w:szCs w:val="12"/>
                <w:b w:val="1"/>
                <w:bCs w:val="1"/>
                <w:color w:val="auto"/>
              </w:rPr>
              <w:t>Ended September 30</w:t>
            </w:r>
          </w:p>
        </w:tc>
      </w:tr>
      <w:tr>
        <w:trPr>
          <w:trHeight w:val="128"/>
        </w:trPr>
        <w:tc>
          <w:tcPr>
            <w:tcW w:w="40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51"/>
              <w:spacing w:after="0" w:line="128"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CFF0FC"/>
            </w:tcBorders>
          </w:tcPr>
          <w:p>
            <w:pPr>
              <w:spacing w:after="0"/>
              <w:rPr>
                <w:sz w:val="11"/>
                <w:szCs w:val="11"/>
                <w:color w:val="auto"/>
              </w:rPr>
            </w:pPr>
          </w:p>
        </w:tc>
        <w:tc>
          <w:tcPr>
            <w:tcW w:w="60" w:type="dxa"/>
            <w:vAlign w:val="bottom"/>
            <w:tcBorders>
              <w:top w:val="single" w:sz="8" w:color="auto"/>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47"/>
              <w:spacing w:after="0" w:line="128" w:lineRule="exact"/>
              <w:rPr>
                <w:sz w:val="20"/>
                <w:szCs w:val="20"/>
                <w:color w:val="auto"/>
              </w:rPr>
            </w:pPr>
            <w:r>
              <w:rPr>
                <w:rFonts w:ascii="Arial" w:cs="Arial" w:eastAsia="Arial" w:hAnsi="Arial"/>
                <w:sz w:val="12"/>
                <w:szCs w:val="12"/>
                <w:b w:val="1"/>
                <w:bCs w:val="1"/>
                <w:color w:val="auto"/>
                <w:w w:val="89"/>
              </w:rPr>
              <w:t>2019</w:t>
            </w: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51"/>
              <w:spacing w:after="0" w:line="128"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47"/>
              <w:spacing w:after="0" w:line="128" w:lineRule="exact"/>
              <w:rPr>
                <w:sz w:val="20"/>
                <w:szCs w:val="20"/>
                <w:color w:val="auto"/>
              </w:rPr>
            </w:pPr>
            <w:r>
              <w:rPr>
                <w:rFonts w:ascii="Arial" w:cs="Arial" w:eastAsia="Arial" w:hAnsi="Arial"/>
                <w:sz w:val="12"/>
                <w:szCs w:val="12"/>
                <w:b w:val="1"/>
                <w:bCs w:val="1"/>
                <w:color w:val="auto"/>
                <w:w w:val="97"/>
              </w:rPr>
              <w:t>2019</w:t>
            </w:r>
          </w:p>
        </w:tc>
        <w:tc>
          <w:tcPr>
            <w:tcW w:w="100" w:type="dxa"/>
            <w:vAlign w:val="bottom"/>
            <w:tcBorders>
              <w:bottom w:val="single" w:sz="8" w:color="CFF0FC"/>
            </w:tcBorders>
          </w:tcPr>
          <w:p>
            <w:pPr>
              <w:spacing w:after="0"/>
              <w:rPr>
                <w:sz w:val="11"/>
                <w:szCs w:val="11"/>
                <w:color w:val="auto"/>
              </w:rPr>
            </w:pPr>
          </w:p>
        </w:tc>
      </w:tr>
      <w:tr>
        <w:trPr>
          <w:trHeight w:val="18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Numerator:</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2"/>
        </w:trPr>
        <w:tc>
          <w:tcPr>
            <w:tcW w:w="4060" w:type="dxa"/>
            <w:vAlign w:val="bottom"/>
          </w:tcPr>
          <w:p>
            <w:pPr>
              <w:ind w:left="200"/>
              <w:spacing w:after="0"/>
              <w:rPr>
                <w:sz w:val="20"/>
                <w:szCs w:val="20"/>
                <w:color w:val="auto"/>
              </w:rPr>
            </w:pPr>
            <w:r>
              <w:rPr>
                <w:rFonts w:ascii="Arial" w:cs="Arial" w:eastAsia="Arial" w:hAnsi="Arial"/>
                <w:sz w:val="15"/>
                <w:szCs w:val="15"/>
                <w:color w:val="auto"/>
              </w:rPr>
              <w:t>Net loss</w:t>
            </w: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(7,321)</w:t>
            </w:r>
          </w:p>
        </w:tc>
        <w:tc>
          <w:tcPr>
            <w:tcW w:w="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(8,977)</w:t>
            </w:r>
          </w:p>
        </w:tc>
        <w:tc>
          <w:tcPr>
            <w:tcW w:w="2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(67,789)</w:t>
            </w: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(19,560)</w:t>
            </w:r>
          </w:p>
        </w:tc>
      </w:tr>
      <w:tr>
        <w:trPr>
          <w:trHeight w:val="194"/>
        </w:trPr>
        <w:tc>
          <w:tcPr>
            <w:tcW w:w="40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loss allocated to stockholders of the Company</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(7,243)</w:t>
            </w: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(8,640)</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(70,585)</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(19,823)</w:t>
            </w:r>
          </w:p>
        </w:tc>
      </w:tr>
      <w:tr>
        <w:trPr>
          <w:trHeight w:val="184"/>
        </w:trPr>
        <w:tc>
          <w:tcPr>
            <w:tcW w:w="4060" w:type="dxa"/>
            <w:vAlign w:val="bottom"/>
          </w:tcPr>
          <w:p>
            <w:pPr>
              <w:spacing w:after="0"/>
              <w:rPr>
                <w:sz w:val="20"/>
                <w:szCs w:val="20"/>
                <w:color w:val="auto"/>
              </w:rPr>
            </w:pPr>
            <w:r>
              <w:rPr>
                <w:rFonts w:ascii="Arial" w:cs="Arial" w:eastAsia="Arial" w:hAnsi="Arial"/>
                <w:sz w:val="15"/>
                <w:szCs w:val="15"/>
                <w:color w:val="auto"/>
              </w:rPr>
              <w:t>Denominator:</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w w:val="95"/>
              </w:rPr>
              <w:t>Weighted-average shares of common stock outstanding used in</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2"/>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computing net loss per share, basic and diluted</w:t>
            </w:r>
          </w:p>
        </w:tc>
        <w:tc>
          <w:tcPr>
            <w:tcW w:w="24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40,466</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4,884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34,553</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4,812</w:t>
            </w:r>
          </w:p>
        </w:tc>
        <w:tc>
          <w:tcPr>
            <w:tcW w:w="100" w:type="dxa"/>
            <w:vAlign w:val="bottom"/>
            <w:shd w:val="clear" w:color="auto" w:fill="CFF0FC"/>
          </w:tcPr>
          <w:p>
            <w:pPr>
              <w:spacing w:after="0"/>
              <w:rPr>
                <w:sz w:val="16"/>
                <w:szCs w:val="16"/>
                <w:color w:val="auto"/>
              </w:rPr>
            </w:pPr>
          </w:p>
        </w:tc>
      </w:tr>
      <w:tr>
        <w:trPr>
          <w:trHeight w:val="184"/>
        </w:trPr>
        <w:tc>
          <w:tcPr>
            <w:tcW w:w="4060" w:type="dxa"/>
            <w:vAlign w:val="bottom"/>
          </w:tcPr>
          <w:p>
            <w:pPr>
              <w:spacing w:after="0"/>
              <w:rPr>
                <w:sz w:val="20"/>
                <w:szCs w:val="20"/>
                <w:color w:val="auto"/>
              </w:rPr>
            </w:pPr>
            <w:r>
              <w:rPr>
                <w:rFonts w:ascii="Arial" w:cs="Arial" w:eastAsia="Arial" w:hAnsi="Arial"/>
                <w:sz w:val="15"/>
                <w:szCs w:val="15"/>
                <w:color w:val="auto"/>
              </w:rPr>
              <w:t>Net loss per share: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40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Basic and diluted</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(0.18)</w:t>
            </w: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(1.77)</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(2.04)</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(4.12)</w:t>
            </w: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71"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Due to the net loss, all the outstanding shares of common stock equivalents were excluded from the calculation of diluted net loss per share attributable to common stockholders because including them would have been antidilutive:</w:t>
      </w:r>
    </w:p>
    <w:p>
      <w:pPr>
        <w:spacing w:after="0" w:line="135"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5480" w:type="dxa"/>
            <w:vAlign w:val="bottom"/>
          </w:tcPr>
          <w:p>
            <w:pPr>
              <w:spacing w:after="0"/>
              <w:rPr>
                <w:sz w:val="12"/>
                <w:szCs w:val="12"/>
                <w:color w:val="auto"/>
              </w:rPr>
            </w:pP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2"/>
                <w:szCs w:val="12"/>
                <w:color w:val="auto"/>
              </w:rPr>
            </w:pP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45"/>
        </w:trPr>
        <w:tc>
          <w:tcPr>
            <w:tcW w:w="5480" w:type="dxa"/>
            <w:vAlign w:val="bottom"/>
            <w:vMerge w:val="restart"/>
          </w:tcPr>
          <w:p>
            <w:pPr>
              <w:spacing w:after="0"/>
              <w:rPr>
                <w:sz w:val="20"/>
                <w:szCs w:val="20"/>
                <w:color w:val="auto"/>
              </w:rPr>
            </w:pPr>
            <w:r>
              <w:rPr>
                <w:rFonts w:ascii="Arial" w:cs="Arial" w:eastAsia="Arial" w:hAnsi="Arial"/>
                <w:sz w:val="15"/>
                <w:szCs w:val="15"/>
                <w:color w:val="auto"/>
              </w:rPr>
              <w:t>Options to purchase common stock</w:t>
            </w:r>
          </w:p>
        </w:tc>
        <w:tc>
          <w:tcPr>
            <w:tcW w:w="1060" w:type="dxa"/>
            <w:vAlign w:val="bottom"/>
            <w:tcBorders>
              <w:bottom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80" w:type="dxa"/>
            <w:vAlign w:val="bottom"/>
            <w:vMerge w:val="continue"/>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2,894,591</w:t>
            </w:r>
          </w:p>
        </w:tc>
        <w:tc>
          <w:tcPr>
            <w:tcW w:w="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2,516,617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80" w:type="dxa"/>
            <w:vAlign w:val="bottom"/>
            <w:shd w:val="clear" w:color="auto" w:fill="CFF0FC"/>
          </w:tcPr>
          <w:p>
            <w:pPr>
              <w:spacing w:after="0"/>
              <w:rPr>
                <w:sz w:val="20"/>
                <w:szCs w:val="20"/>
                <w:color w:val="auto"/>
              </w:rPr>
            </w:pPr>
            <w:r>
              <w:rPr>
                <w:rFonts w:ascii="Arial" w:cs="Arial" w:eastAsia="Arial" w:hAnsi="Arial"/>
                <w:sz w:val="15"/>
                <w:szCs w:val="15"/>
                <w:color w:val="auto"/>
              </w:rPr>
              <w:t>Preferred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9,216,413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rPr>
                <w:sz w:val="20"/>
                <w:szCs w:val="20"/>
                <w:color w:val="auto"/>
              </w:rPr>
            </w:pPr>
            <w:r>
              <w:rPr>
                <w:rFonts w:ascii="Arial" w:cs="Arial" w:eastAsia="Arial" w:hAnsi="Arial"/>
                <w:sz w:val="15"/>
                <w:szCs w:val="15"/>
                <w:color w:val="auto"/>
              </w:rPr>
              <w:t>Warrants for common stock</w:t>
            </w:r>
          </w:p>
        </w:tc>
        <w:tc>
          <w:tcPr>
            <w:tcW w:w="1060" w:type="dxa"/>
            <w:vAlign w:val="bottom"/>
          </w:tcPr>
          <w:p>
            <w:pPr>
              <w:jc w:val="right"/>
              <w:spacing w:after="0"/>
              <w:rPr>
                <w:sz w:val="20"/>
                <w:szCs w:val="20"/>
                <w:color w:val="auto"/>
              </w:rPr>
            </w:pPr>
            <w:r>
              <w:rPr>
                <w:rFonts w:ascii="Arial" w:cs="Arial" w:eastAsia="Arial" w:hAnsi="Arial"/>
                <w:sz w:val="15"/>
                <w:szCs w:val="15"/>
                <w:color w:val="auto"/>
              </w:rPr>
              <w:t>10,665,067</w:t>
            </w:r>
          </w:p>
        </w:tc>
        <w:tc>
          <w:tcPr>
            <w:tcW w:w="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179,932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5"/>
                <w:szCs w:val="15"/>
                <w:color w:val="auto"/>
              </w:rPr>
              <w:t>Total potential dilutive shares</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13,559,658</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11,912,962</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FAIR VALUE MEASUREMENTS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Financial assets and financial liabilities are initially recognized at fair value when the Company becomes a party to the contractual provision of the financial instrument.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Subsequently, all financial instruments are measured at amortized cost using the effective interest method.</w:t>
      </w:r>
    </w:p>
    <w:p>
      <w:pPr>
        <w:spacing w:after="0" w:line="18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The financial instruments of the Company consist of cash and cash equivalents, restricted cash, accounts receivable, long-term receivables, line of credit, trade payables, government assistance loans, accrued expenses and other current liabilities, earn-out liability, other long-term liabilities and long-term debt. In view of their nature, the fair value of most of the financial instruments approximates their carrying amounts.</w:t>
      </w:r>
    </w:p>
    <w:p>
      <w:pPr>
        <w:spacing w:after="0" w:line="156"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The Company measures the fair value of its financial assets and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 Quoted prices in active markets for identical assets or liabilities.</w:t>
      </w:r>
    </w:p>
    <w:p>
      <w:pPr>
        <w:spacing w:after="0" w:line="191"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i w:val="1"/>
          <w:iCs w:val="1"/>
          <w:color w:val="auto"/>
        </w:rPr>
        <w:t xml:space="preserve">Level 2 </w:t>
      </w:r>
      <w:r>
        <w:rPr>
          <w:rFonts w:ascii="Arial" w:cs="Arial" w:eastAsia="Arial" w:hAnsi="Arial"/>
          <w:sz w:val="15"/>
          <w:szCs w:val="15"/>
          <w:color w:val="auto"/>
        </w:rPr>
        <w:t>- Inputs other than Level 1 that are observable, either directly or indirectly, such as quoted prices in markets that are not active, or other inputs that are observable or can be</w:t>
      </w:r>
      <w:r>
        <w:rPr>
          <w:rFonts w:ascii="Arial" w:cs="Arial" w:eastAsia="Arial" w:hAnsi="Arial"/>
          <w:sz w:val="15"/>
          <w:szCs w:val="15"/>
          <w:i w:val="1"/>
          <w:iCs w:val="1"/>
          <w:color w:val="auto"/>
        </w:rPr>
        <w:t xml:space="preserve"> </w:t>
      </w:r>
      <w:r>
        <w:rPr>
          <w:rFonts w:ascii="Arial" w:cs="Arial" w:eastAsia="Arial" w:hAnsi="Arial"/>
          <w:sz w:val="15"/>
          <w:szCs w:val="15"/>
          <w:color w:val="auto"/>
        </w:rPr>
        <w:t>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Level 3 </w:t>
      </w:r>
      <w:r>
        <w:rPr>
          <w:rFonts w:ascii="Arial" w:cs="Arial" w:eastAsia="Arial" w:hAnsi="Arial"/>
          <w:sz w:val="15"/>
          <w:szCs w:val="15"/>
          <w:color w:val="auto"/>
        </w:rPr>
        <w:t>- Unobservable inputs that are supported by little or no market activity and that are significant to the fair value of the assets or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categorization of a financial instrument within the valuation hierarchy is based on the lowest level of input that is significant to the fair value measurement.</w:t>
      </w:r>
    </w:p>
    <w:p>
      <w:pPr>
        <w:spacing w:after="0" w:line="191"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900"/>
          </w:cols>
          <w:pgMar w:left="680" w:top="311" w:right="319" w:bottom="1440" w:gutter="0" w:footer="0" w:header="0"/>
        </w:sectPr>
      </w:pPr>
    </w:p>
    <w:bookmarkStart w:id="13" w:name="page14"/>
    <w:bookmarkEnd w:id="13"/>
    <w:p>
      <w:pPr>
        <w:jc w:val="both"/>
        <w:spacing w:after="0" w:line="265" w:lineRule="auto"/>
        <w:rPr>
          <w:sz w:val="20"/>
          <w:szCs w:val="20"/>
          <w:color w:val="auto"/>
        </w:rPr>
      </w:pPr>
      <w:r>
        <w:rPr>
          <w:rFonts w:ascii="Arial" w:cs="Arial" w:eastAsia="Arial" w:hAnsi="Arial"/>
          <w:sz w:val="15"/>
          <w:szCs w:val="15"/>
          <w:color w:val="auto"/>
        </w:rPr>
        <w:t>The Company classifies its restricted cash and guaranteed investment certificates within Level 2 as it uses alternative pricing sources and models utilizing market observable inputs. Contingent earn-out consideration is classified within Level 3. The following tables set forth the fair value of the Company’s Level 2 and Level 3 financial assets and liabilities within the fair value hierarchy:</w:t>
      </w:r>
    </w:p>
    <w:p>
      <w:pPr>
        <w:spacing w:after="0" w:line="215"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00" w:type="dxa"/>
            <w:vAlign w:val="bottom"/>
            <w:tcBorders>
              <w:bottom w:val="single" w:sz="8" w:color="auto"/>
            </w:tcBorders>
            <w:gridSpan w:val="11"/>
          </w:tcPr>
          <w:p>
            <w:pPr>
              <w:jc w:val="right"/>
              <w:spacing w:after="0"/>
              <w:rPr>
                <w:sz w:val="20"/>
                <w:szCs w:val="20"/>
                <w:color w:val="auto"/>
              </w:rPr>
            </w:pPr>
            <w:r>
              <w:rPr>
                <w:rFonts w:ascii="Arial" w:cs="Arial" w:eastAsia="Arial" w:hAnsi="Arial"/>
                <w:sz w:val="12"/>
                <w:szCs w:val="12"/>
                <w:b w:val="1"/>
                <w:bCs w:val="1"/>
                <w:color w:val="auto"/>
              </w:rPr>
              <w:t>Fair Value Measurements as of September 30, 2020</w:t>
            </w:r>
          </w:p>
        </w:tc>
        <w:tc>
          <w:tcPr>
            <w:tcW w:w="6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jc w:val="center"/>
              <w:ind w:left="97"/>
              <w:spacing w:after="0" w:line="108" w:lineRule="exact"/>
              <w:rPr>
                <w:sz w:val="20"/>
                <w:szCs w:val="20"/>
                <w:color w:val="auto"/>
              </w:rPr>
            </w:pPr>
            <w:r>
              <w:rPr>
                <w:rFonts w:ascii="Arial" w:cs="Arial" w:eastAsia="Arial" w:hAnsi="Arial"/>
                <w:sz w:val="12"/>
                <w:szCs w:val="12"/>
                <w:b w:val="1"/>
                <w:bCs w:val="1"/>
                <w:color w:val="auto"/>
                <w:w w:val="95"/>
              </w:rPr>
              <w:t>Quoted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97"/>
              <w:spacing w:after="0" w:line="125" w:lineRule="exact"/>
              <w:rPr>
                <w:sz w:val="20"/>
                <w:szCs w:val="20"/>
                <w:color w:val="auto"/>
              </w:rPr>
            </w:pPr>
            <w:r>
              <w:rPr>
                <w:rFonts w:ascii="Arial" w:cs="Arial" w:eastAsia="Arial" w:hAnsi="Arial"/>
                <w:sz w:val="12"/>
                <w:szCs w:val="12"/>
                <w:b w:val="1"/>
                <w:bCs w:val="1"/>
                <w:color w:val="auto"/>
                <w:w w:val="87"/>
              </w:rPr>
              <w:t>Prices in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97"/>
              <w:spacing w:after="0" w:line="125" w:lineRule="exact"/>
              <w:rPr>
                <w:sz w:val="20"/>
                <w:szCs w:val="20"/>
                <w:color w:val="auto"/>
              </w:rPr>
            </w:pPr>
            <w:r>
              <w:rPr>
                <w:rFonts w:ascii="Arial" w:cs="Arial" w:eastAsia="Arial" w:hAnsi="Arial"/>
                <w:sz w:val="12"/>
                <w:szCs w:val="12"/>
                <w:b w:val="1"/>
                <w:bCs w:val="1"/>
                <w:color w:val="auto"/>
                <w:w w:val="88"/>
              </w:rPr>
              <w:t>Active</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center"/>
              <w:ind w:right="12"/>
              <w:spacing w:after="0"/>
              <w:rPr>
                <w:sz w:val="20"/>
                <w:szCs w:val="20"/>
                <w:color w:val="auto"/>
              </w:rPr>
            </w:pPr>
            <w:r>
              <w:rPr>
                <w:rFonts w:ascii="Arial" w:cs="Arial" w:eastAsia="Arial" w:hAnsi="Arial"/>
                <w:sz w:val="12"/>
                <w:szCs w:val="12"/>
                <w:b w:val="1"/>
                <w:bCs w:val="1"/>
                <w:color w:val="auto"/>
                <w:w w:val="91"/>
              </w:rPr>
              <w:t>Significant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97"/>
              <w:spacing w:after="0" w:line="125" w:lineRule="exact"/>
              <w:rPr>
                <w:sz w:val="20"/>
                <w:szCs w:val="20"/>
                <w:color w:val="auto"/>
              </w:rPr>
            </w:pPr>
            <w:r>
              <w:rPr>
                <w:rFonts w:ascii="Arial" w:cs="Arial" w:eastAsia="Arial" w:hAnsi="Arial"/>
                <w:sz w:val="12"/>
                <w:szCs w:val="12"/>
                <w:b w:val="1"/>
                <w:bCs w:val="1"/>
                <w:color w:val="auto"/>
                <w:w w:val="96"/>
              </w:rPr>
              <w:t>Markets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1"/>
              </w:rPr>
              <w:t>Significant</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97"/>
              <w:spacing w:after="0" w:line="125" w:lineRule="exact"/>
              <w:rPr>
                <w:sz w:val="20"/>
                <w:szCs w:val="20"/>
                <w:color w:val="auto"/>
              </w:rPr>
            </w:pPr>
            <w:r>
              <w:rPr>
                <w:rFonts w:ascii="Arial" w:cs="Arial" w:eastAsia="Arial" w:hAnsi="Arial"/>
                <w:sz w:val="12"/>
                <w:szCs w:val="12"/>
                <w:b w:val="1"/>
                <w:bCs w:val="1"/>
                <w:color w:val="auto"/>
                <w:w w:val="87"/>
              </w:rPr>
              <w:t>using</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2"/>
              <w:spacing w:after="0" w:line="125"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97"/>
              <w:spacing w:after="0" w:line="125" w:lineRule="exact"/>
              <w:rPr>
                <w:sz w:val="20"/>
                <w:szCs w:val="20"/>
                <w:color w:val="auto"/>
              </w:rPr>
            </w:pPr>
            <w:r>
              <w:rPr>
                <w:rFonts w:ascii="Arial" w:cs="Arial" w:eastAsia="Arial" w:hAnsi="Arial"/>
                <w:sz w:val="12"/>
                <w:szCs w:val="12"/>
                <w:b w:val="1"/>
                <w:bCs w:val="1"/>
                <w:color w:val="auto"/>
                <w:w w:val="90"/>
              </w:rPr>
              <w:t>Identical</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2"/>
              <w:spacing w:after="0" w:line="125" w:lineRule="exact"/>
              <w:rPr>
                <w:sz w:val="20"/>
                <w:szCs w:val="20"/>
                <w:color w:val="auto"/>
              </w:rPr>
            </w:pPr>
            <w:r>
              <w:rPr>
                <w:rFonts w:ascii="Arial" w:cs="Arial" w:eastAsia="Arial" w:hAnsi="Arial"/>
                <w:sz w:val="12"/>
                <w:szCs w:val="12"/>
                <w:b w:val="1"/>
                <w:bCs w:val="1"/>
                <w:color w:val="auto"/>
                <w:w w:val="91"/>
              </w:rPr>
              <w:t>Observable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40"/>
              <w:spacing w:after="0" w:line="125" w:lineRule="exact"/>
              <w:rPr>
                <w:sz w:val="20"/>
                <w:szCs w:val="20"/>
                <w:color w:val="auto"/>
              </w:rPr>
            </w:pPr>
            <w:r>
              <w:rPr>
                <w:rFonts w:ascii="Arial" w:cs="Arial" w:eastAsia="Arial" w:hAnsi="Arial"/>
                <w:sz w:val="12"/>
                <w:szCs w:val="12"/>
                <w:b w:val="1"/>
                <w:bCs w:val="1"/>
                <w:color w:val="auto"/>
                <w:w w:val="90"/>
              </w:rPr>
              <w:t>Unobservable</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97"/>
              <w:spacing w:after="0" w:line="125" w:lineRule="exact"/>
              <w:rPr>
                <w:sz w:val="20"/>
                <w:szCs w:val="20"/>
                <w:color w:val="auto"/>
              </w:rPr>
            </w:pPr>
            <w:r>
              <w:rPr>
                <w:rFonts w:ascii="Arial" w:cs="Arial" w:eastAsia="Arial" w:hAnsi="Arial"/>
                <w:sz w:val="12"/>
                <w:szCs w:val="12"/>
                <w:b w:val="1"/>
                <w:bCs w:val="1"/>
                <w:color w:val="auto"/>
                <w:w w:val="81"/>
              </w:rPr>
              <w:t>Assets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4"/>
              </w:rPr>
              <w:t>Inputs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300"/>
              <w:spacing w:after="0" w:line="125" w:lineRule="exact"/>
              <w:rPr>
                <w:sz w:val="20"/>
                <w:szCs w:val="20"/>
                <w:color w:val="auto"/>
              </w:rPr>
            </w:pPr>
            <w:r>
              <w:rPr>
                <w:rFonts w:ascii="Arial" w:cs="Arial" w:eastAsia="Arial" w:hAnsi="Arial"/>
                <w:sz w:val="12"/>
                <w:szCs w:val="12"/>
                <w:b w:val="1"/>
                <w:bCs w:val="1"/>
                <w:color w:val="auto"/>
                <w:w w:val="94"/>
              </w:rPr>
              <w:t>Inputs</w:t>
            </w:r>
          </w:p>
        </w:tc>
        <w:tc>
          <w:tcPr>
            <w:tcW w:w="20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ind w:left="97"/>
              <w:spacing w:after="0"/>
              <w:rPr>
                <w:sz w:val="20"/>
                <w:szCs w:val="20"/>
                <w:color w:val="auto"/>
              </w:rPr>
            </w:pPr>
            <w:r>
              <w:rPr>
                <w:rFonts w:ascii="Arial" w:cs="Arial" w:eastAsia="Arial" w:hAnsi="Arial"/>
                <w:sz w:val="12"/>
                <w:szCs w:val="12"/>
                <w:b w:val="1"/>
                <w:bCs w:val="1"/>
                <w:color w:val="auto"/>
                <w:w w:val="90"/>
              </w:rPr>
              <w:t>(Level 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2"/>
              <w:spacing w:after="0"/>
              <w:rPr>
                <w:sz w:val="20"/>
                <w:szCs w:val="20"/>
                <w:color w:val="auto"/>
              </w:rPr>
            </w:pPr>
            <w:r>
              <w:rPr>
                <w:rFonts w:ascii="Arial" w:cs="Arial" w:eastAsia="Arial" w:hAnsi="Arial"/>
                <w:sz w:val="12"/>
                <w:szCs w:val="12"/>
                <w:b w:val="1"/>
                <w:bCs w:val="1"/>
                <w:color w:val="auto"/>
                <w:w w:val="90"/>
              </w:rPr>
              <w:t>(Level 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(Level 3)</w:t>
            </w: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5"/>
                <w:szCs w:val="15"/>
                <w:color w:val="auto"/>
              </w:rPr>
              <w:t>Assets</w:t>
            </w:r>
          </w:p>
        </w:tc>
        <w:tc>
          <w:tcPr>
            <w:tcW w:w="64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left w:val="single" w:sz="8" w:color="CFF0FC"/>
            </w:tcBorders>
            <w:shd w:val="clear" w:color="auto" w:fill="CFF0FC"/>
          </w:tcPr>
          <w:p>
            <w:pPr>
              <w:spacing w:after="0"/>
              <w:rPr>
                <w:sz w:val="16"/>
                <w:szCs w:val="16"/>
                <w:color w:val="auto"/>
              </w:rPr>
            </w:pPr>
          </w:p>
        </w:tc>
        <w:tc>
          <w:tcPr>
            <w:tcW w:w="18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right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CFF0FC"/>
            </w:tcBorders>
            <w:shd w:val="clear" w:color="auto" w:fill="CFF0FC"/>
          </w:tcPr>
          <w:p>
            <w:pPr>
              <w:spacing w:after="0"/>
              <w:rPr>
                <w:sz w:val="16"/>
                <w:szCs w:val="16"/>
                <w:color w:val="auto"/>
              </w:rPr>
            </w:pPr>
          </w:p>
        </w:tc>
        <w:tc>
          <w:tcPr>
            <w:tcW w:w="140" w:type="dxa"/>
            <w:vAlign w:val="bottom"/>
            <w:tcBorders>
              <w:top w:val="single" w:sz="8" w:color="CFF0FC"/>
              <w:right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right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ind w:left="180"/>
              <w:spacing w:after="0"/>
              <w:rPr>
                <w:sz w:val="20"/>
                <w:szCs w:val="20"/>
                <w:color w:val="auto"/>
              </w:rPr>
            </w:pPr>
            <w:r>
              <w:rPr>
                <w:rFonts w:ascii="Arial" w:cs="Arial" w:eastAsia="Arial" w:hAnsi="Arial"/>
                <w:sz w:val="15"/>
                <w:szCs w:val="15"/>
                <w:color w:val="auto"/>
              </w:rPr>
              <w:t>Restricted cash</w:t>
            </w:r>
          </w:p>
        </w:tc>
        <w:tc>
          <w:tcPr>
            <w:tcW w:w="640" w:type="dxa"/>
            <w:vAlign w:val="bottom"/>
          </w:tcPr>
          <w:p>
            <w:pPr>
              <w:spacing w:after="0"/>
              <w:rPr>
                <w:sz w:val="16"/>
                <w:szCs w:val="16"/>
                <w:color w:val="auto"/>
              </w:rPr>
            </w:pPr>
          </w:p>
        </w:tc>
        <w:tc>
          <w:tcPr>
            <w:tcW w:w="680" w:type="dxa"/>
            <w:vAlign w:val="bottom"/>
          </w:tcPr>
          <w:p>
            <w:pPr>
              <w:jc w:val="right"/>
              <w:ind w:right="53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133"/>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shd w:val="clear" w:color="auto" w:fill="CFF0FC"/>
          </w:tcPr>
          <w:p>
            <w:pPr>
              <w:spacing w:after="0"/>
              <w:rPr>
                <w:sz w:val="20"/>
                <w:szCs w:val="20"/>
                <w:color w:val="auto"/>
              </w:rPr>
            </w:pPr>
            <w:r>
              <w:rPr>
                <w:rFonts w:ascii="Arial" w:cs="Arial" w:eastAsia="Arial" w:hAnsi="Arial"/>
                <w:sz w:val="15"/>
                <w:szCs w:val="15"/>
                <w:color w:val="auto"/>
              </w:rPr>
              <w:t>Total assets</w:t>
            </w:r>
          </w:p>
        </w:tc>
        <w:tc>
          <w:tcPr>
            <w:tcW w:w="640" w:type="dxa"/>
            <w:vAlign w:val="bottom"/>
            <w:shd w:val="clear" w:color="auto" w:fill="CFF0FC"/>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540" w:type="dxa"/>
            <w:vAlign w:val="bottom"/>
            <w:gridSpan w:val="2"/>
            <w:vMerge w:val="continue"/>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tcBorders>
              <w:left w:val="single" w:sz="8" w:color="CFF0FC"/>
            </w:tcBorders>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83</w:t>
            </w:r>
          </w:p>
        </w:tc>
        <w:tc>
          <w:tcPr>
            <w:tcW w:w="8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jc w:val="right"/>
              <w:ind w:right="133"/>
              <w:spacing w:after="0"/>
              <w:rPr>
                <w:sz w:val="20"/>
                <w:szCs w:val="20"/>
                <w:color w:val="auto"/>
              </w:rPr>
            </w:pPr>
            <w:r>
              <w:rPr>
                <w:rFonts w:ascii="Arial" w:cs="Arial" w:eastAsia="Arial" w:hAnsi="Arial"/>
                <w:sz w:val="5"/>
                <w:szCs w:val="5"/>
                <w:color w:val="auto"/>
                <w:w w:val="70"/>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83</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5"/>
                <w:szCs w:val="15"/>
                <w:color w:val="auto"/>
              </w:rPr>
              <w:t>Liabilities</w:t>
            </w:r>
          </w:p>
        </w:tc>
        <w:tc>
          <w:tcPr>
            <w:tcW w:w="6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FF0FC"/>
          </w:tcPr>
          <w:p>
            <w:pPr>
              <w:spacing w:after="0"/>
              <w:rPr>
                <w:sz w:val="16"/>
                <w:szCs w:val="16"/>
                <w:color w:val="auto"/>
              </w:rPr>
            </w:pPr>
          </w:p>
        </w:tc>
        <w:tc>
          <w:tcPr>
            <w:tcW w:w="3520" w:type="dxa"/>
            <w:vAlign w:val="bottom"/>
            <w:shd w:val="clear" w:color="auto" w:fill="CFF0FC"/>
          </w:tcPr>
          <w:p>
            <w:pPr>
              <w:ind w:left="180"/>
              <w:spacing w:after="0"/>
              <w:rPr>
                <w:sz w:val="20"/>
                <w:szCs w:val="20"/>
                <w:color w:val="auto"/>
              </w:rPr>
            </w:pPr>
            <w:r>
              <w:rPr>
                <w:rFonts w:ascii="Arial" w:cs="Arial" w:eastAsia="Arial" w:hAnsi="Arial"/>
                <w:sz w:val="15"/>
                <w:szCs w:val="15"/>
                <w:color w:val="auto"/>
              </w:rPr>
              <w:t>Contingent earn-out consideration</w:t>
            </w:r>
          </w:p>
        </w:tc>
        <w:tc>
          <w:tcPr>
            <w:tcW w:w="640" w:type="dxa"/>
            <w:vAlign w:val="bottom"/>
            <w:shd w:val="clear" w:color="auto" w:fill="CFF0FC"/>
          </w:tcPr>
          <w:p>
            <w:pPr>
              <w:spacing w:after="0"/>
              <w:rPr>
                <w:sz w:val="16"/>
                <w:szCs w:val="16"/>
                <w:color w:val="auto"/>
              </w:rPr>
            </w:pPr>
          </w:p>
        </w:tc>
        <w:tc>
          <w:tcPr>
            <w:tcW w:w="680" w:type="dxa"/>
            <w:vAlign w:val="bottom"/>
            <w:tcBorders>
              <w:left w:val="single" w:sz="8" w:color="CFF0FC"/>
              <w:bottom w:val="single" w:sz="8" w:color="auto"/>
            </w:tcBorders>
            <w:shd w:val="clear" w:color="auto" w:fill="CFF0FC"/>
          </w:tcPr>
          <w:p>
            <w:pPr>
              <w:spacing w:after="0"/>
              <w:rPr>
                <w:sz w:val="16"/>
                <w:szCs w:val="16"/>
                <w:color w:val="auto"/>
              </w:rPr>
            </w:pPr>
          </w:p>
        </w:tc>
        <w:tc>
          <w:tcPr>
            <w:tcW w:w="1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Arial" w:cs="Arial" w:eastAsia="Arial" w:hAnsi="Arial"/>
                <w:sz w:val="15"/>
                <w:szCs w:val="15"/>
                <w:color w:val="auto"/>
              </w:rPr>
              <w:t>397</w:t>
            </w:r>
          </w:p>
        </w:tc>
        <w:tc>
          <w:tcPr>
            <w:tcW w:w="14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397</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4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640" w:type="dxa"/>
            <w:vAlign w:val="bottom"/>
          </w:tcPr>
          <w:p>
            <w:pPr>
              <w:spacing w:after="0"/>
              <w:rPr>
                <w:sz w:val="15"/>
                <w:szCs w:val="15"/>
                <w:color w:val="auto"/>
              </w:rPr>
            </w:pPr>
          </w:p>
        </w:tc>
        <w:tc>
          <w:tcPr>
            <w:tcW w:w="680" w:type="dxa"/>
            <w:vAlign w:val="bottom"/>
          </w:tcPr>
          <w:p>
            <w:pPr>
              <w:jc w:val="right"/>
              <w:ind w:right="53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0"/>
              <w:spacing w:after="0"/>
              <w:rPr>
                <w:sz w:val="20"/>
                <w:szCs w:val="20"/>
                <w:color w:val="auto"/>
              </w:rPr>
            </w:pPr>
            <w:r>
              <w:rPr>
                <w:rFonts w:ascii="Arial" w:cs="Arial" w:eastAsia="Arial" w:hAnsi="Arial"/>
                <w:sz w:val="15"/>
                <w:szCs w:val="15"/>
                <w:color w:val="auto"/>
              </w:rPr>
              <w:t>397</w:t>
            </w:r>
          </w:p>
        </w:tc>
        <w:tc>
          <w:tcPr>
            <w:tcW w:w="140" w:type="dxa"/>
            <w:vAlign w:val="bottom"/>
          </w:tcPr>
          <w:p>
            <w:pPr>
              <w:spacing w:after="0"/>
              <w:rPr>
                <w:sz w:val="15"/>
                <w:szCs w:val="15"/>
                <w:color w:val="auto"/>
              </w:rPr>
            </w:pPr>
          </w:p>
        </w:tc>
        <w:tc>
          <w:tcPr>
            <w:tcW w:w="200" w:type="dxa"/>
            <w:vAlign w:val="bottom"/>
          </w:tcPr>
          <w:p>
            <w:pPr>
              <w:jc w:val="right"/>
              <w:ind w:right="133"/>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Borders>
              <w:bottom w:val="single" w:sz="8" w:color="auto"/>
            </w:tcBorders>
            <w:gridSpan w:val="11"/>
          </w:tcPr>
          <w:p>
            <w:pPr>
              <w:jc w:val="center"/>
              <w:ind w:left="577"/>
              <w:spacing w:after="0"/>
              <w:rPr>
                <w:sz w:val="20"/>
                <w:szCs w:val="20"/>
                <w:color w:val="auto"/>
              </w:rPr>
            </w:pPr>
            <w:r>
              <w:rPr>
                <w:rFonts w:ascii="Arial" w:cs="Arial" w:eastAsia="Arial" w:hAnsi="Arial"/>
                <w:sz w:val="12"/>
                <w:szCs w:val="12"/>
                <w:b w:val="1"/>
                <w:bCs w:val="1"/>
                <w:color w:val="auto"/>
                <w:w w:val="91"/>
              </w:rPr>
              <w:t>Fair Value Measurements as of December 31, 2019</w:t>
            </w: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jc w:val="center"/>
              <w:ind w:left="157"/>
              <w:spacing w:after="0" w:line="108" w:lineRule="exact"/>
              <w:rPr>
                <w:sz w:val="20"/>
                <w:szCs w:val="20"/>
                <w:color w:val="auto"/>
              </w:rPr>
            </w:pPr>
            <w:r>
              <w:rPr>
                <w:rFonts w:ascii="Arial" w:cs="Arial" w:eastAsia="Arial" w:hAnsi="Arial"/>
                <w:sz w:val="12"/>
                <w:szCs w:val="12"/>
                <w:b w:val="1"/>
                <w:bCs w:val="1"/>
                <w:color w:val="auto"/>
                <w:w w:val="90"/>
              </w:rPr>
              <w:t>Quoted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177"/>
              <w:spacing w:after="0" w:line="125" w:lineRule="exact"/>
              <w:rPr>
                <w:sz w:val="20"/>
                <w:szCs w:val="20"/>
                <w:color w:val="auto"/>
              </w:rPr>
            </w:pPr>
            <w:r>
              <w:rPr>
                <w:rFonts w:ascii="Arial" w:cs="Arial" w:eastAsia="Arial" w:hAnsi="Arial"/>
                <w:sz w:val="12"/>
                <w:szCs w:val="12"/>
                <w:b w:val="1"/>
                <w:bCs w:val="1"/>
                <w:color w:val="auto"/>
                <w:w w:val="87"/>
              </w:rPr>
              <w:t>Prices in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177"/>
              <w:spacing w:after="0" w:line="125" w:lineRule="exact"/>
              <w:rPr>
                <w:sz w:val="20"/>
                <w:szCs w:val="20"/>
                <w:color w:val="auto"/>
              </w:rPr>
            </w:pPr>
            <w:r>
              <w:rPr>
                <w:rFonts w:ascii="Arial" w:cs="Arial" w:eastAsia="Arial" w:hAnsi="Arial"/>
                <w:sz w:val="12"/>
                <w:szCs w:val="12"/>
                <w:b w:val="1"/>
                <w:bCs w:val="1"/>
                <w:color w:val="auto"/>
                <w:w w:val="88"/>
              </w:rPr>
              <w:t>Active</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center"/>
              <w:ind w:right="92"/>
              <w:spacing w:after="0"/>
              <w:rPr>
                <w:sz w:val="20"/>
                <w:szCs w:val="20"/>
                <w:color w:val="auto"/>
              </w:rPr>
            </w:pPr>
            <w:r>
              <w:rPr>
                <w:rFonts w:ascii="Arial" w:cs="Arial" w:eastAsia="Arial" w:hAnsi="Arial"/>
                <w:sz w:val="12"/>
                <w:szCs w:val="12"/>
                <w:b w:val="1"/>
                <w:bCs w:val="1"/>
                <w:color w:val="auto"/>
                <w:w w:val="91"/>
              </w:rPr>
              <w:t>Significant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177"/>
              <w:spacing w:after="0" w:line="125" w:lineRule="exact"/>
              <w:rPr>
                <w:sz w:val="20"/>
                <w:szCs w:val="20"/>
                <w:color w:val="auto"/>
              </w:rPr>
            </w:pPr>
            <w:r>
              <w:rPr>
                <w:rFonts w:ascii="Arial" w:cs="Arial" w:eastAsia="Arial" w:hAnsi="Arial"/>
                <w:sz w:val="12"/>
                <w:szCs w:val="12"/>
                <w:b w:val="1"/>
                <w:bCs w:val="1"/>
                <w:color w:val="auto"/>
                <w:w w:val="96"/>
              </w:rPr>
              <w:t>Markets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2"/>
                <w:szCs w:val="12"/>
                <w:b w:val="1"/>
                <w:bCs w:val="1"/>
                <w:color w:val="auto"/>
                <w:w w:val="91"/>
              </w:rPr>
              <w:t>Significant</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177"/>
              <w:spacing w:after="0" w:line="125" w:lineRule="exact"/>
              <w:rPr>
                <w:sz w:val="20"/>
                <w:szCs w:val="20"/>
                <w:color w:val="auto"/>
              </w:rPr>
            </w:pPr>
            <w:r>
              <w:rPr>
                <w:rFonts w:ascii="Arial" w:cs="Arial" w:eastAsia="Arial" w:hAnsi="Arial"/>
                <w:sz w:val="12"/>
                <w:szCs w:val="12"/>
                <w:b w:val="1"/>
                <w:bCs w:val="1"/>
                <w:color w:val="auto"/>
                <w:w w:val="87"/>
              </w:rPr>
              <w:t>using</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12"/>
              <w:spacing w:after="0" w:line="125" w:lineRule="exact"/>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157"/>
              <w:spacing w:after="0" w:line="125" w:lineRule="exact"/>
              <w:rPr>
                <w:sz w:val="20"/>
                <w:szCs w:val="20"/>
                <w:color w:val="auto"/>
              </w:rPr>
            </w:pPr>
            <w:r>
              <w:rPr>
                <w:rFonts w:ascii="Arial" w:cs="Arial" w:eastAsia="Arial" w:hAnsi="Arial"/>
                <w:sz w:val="12"/>
                <w:szCs w:val="12"/>
                <w:b w:val="1"/>
                <w:bCs w:val="1"/>
                <w:color w:val="auto"/>
                <w:w w:val="94"/>
              </w:rPr>
              <w:t>Identical</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32"/>
              <w:spacing w:after="0" w:line="125" w:lineRule="exact"/>
              <w:rPr>
                <w:sz w:val="20"/>
                <w:szCs w:val="20"/>
                <w:color w:val="auto"/>
              </w:rPr>
            </w:pPr>
            <w:r>
              <w:rPr>
                <w:rFonts w:ascii="Arial" w:cs="Arial" w:eastAsia="Arial" w:hAnsi="Arial"/>
                <w:sz w:val="12"/>
                <w:szCs w:val="12"/>
                <w:b w:val="1"/>
                <w:bCs w:val="1"/>
                <w:color w:val="auto"/>
                <w:w w:val="88"/>
              </w:rPr>
              <w:t>Observable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80"/>
              <w:spacing w:after="0" w:line="125" w:lineRule="exact"/>
              <w:rPr>
                <w:sz w:val="20"/>
                <w:szCs w:val="20"/>
                <w:color w:val="auto"/>
              </w:rPr>
            </w:pPr>
            <w:r>
              <w:rPr>
                <w:rFonts w:ascii="Arial" w:cs="Arial" w:eastAsia="Arial" w:hAnsi="Arial"/>
                <w:sz w:val="12"/>
                <w:szCs w:val="12"/>
                <w:b w:val="1"/>
                <w:bCs w:val="1"/>
                <w:color w:val="auto"/>
                <w:w w:val="90"/>
              </w:rPr>
              <w:t>Unobservable</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ind w:left="177"/>
              <w:spacing w:after="0" w:line="125" w:lineRule="exact"/>
              <w:rPr>
                <w:sz w:val="20"/>
                <w:szCs w:val="20"/>
                <w:color w:val="auto"/>
              </w:rPr>
            </w:pPr>
            <w:r>
              <w:rPr>
                <w:rFonts w:ascii="Arial" w:cs="Arial" w:eastAsia="Arial" w:hAnsi="Arial"/>
                <w:sz w:val="12"/>
                <w:szCs w:val="12"/>
                <w:b w:val="1"/>
                <w:bCs w:val="1"/>
                <w:color w:val="auto"/>
                <w:w w:val="81"/>
              </w:rPr>
              <w:t>Assets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12"/>
              <w:spacing w:after="0" w:line="125" w:lineRule="exact"/>
              <w:rPr>
                <w:sz w:val="20"/>
                <w:szCs w:val="20"/>
                <w:color w:val="auto"/>
              </w:rPr>
            </w:pPr>
            <w:r>
              <w:rPr>
                <w:rFonts w:ascii="Arial" w:cs="Arial" w:eastAsia="Arial" w:hAnsi="Arial"/>
                <w:sz w:val="12"/>
                <w:szCs w:val="12"/>
                <w:b w:val="1"/>
                <w:bCs w:val="1"/>
                <w:color w:val="auto"/>
                <w:w w:val="94"/>
              </w:rPr>
              <w:t>Inputs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340"/>
              <w:spacing w:after="0" w:line="125" w:lineRule="exact"/>
              <w:rPr>
                <w:sz w:val="20"/>
                <w:szCs w:val="20"/>
                <w:color w:val="auto"/>
              </w:rPr>
            </w:pPr>
            <w:r>
              <w:rPr>
                <w:rFonts w:ascii="Arial" w:cs="Arial" w:eastAsia="Arial" w:hAnsi="Arial"/>
                <w:sz w:val="12"/>
                <w:szCs w:val="12"/>
                <w:b w:val="1"/>
                <w:bCs w:val="1"/>
                <w:color w:val="auto"/>
                <w:w w:val="94"/>
              </w:rPr>
              <w:t>Inputs</w:t>
            </w:r>
          </w:p>
        </w:tc>
        <w:tc>
          <w:tcPr>
            <w:tcW w:w="20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ind w:left="157"/>
              <w:spacing w:after="0"/>
              <w:rPr>
                <w:sz w:val="20"/>
                <w:szCs w:val="20"/>
                <w:color w:val="auto"/>
              </w:rPr>
            </w:pPr>
            <w:r>
              <w:rPr>
                <w:rFonts w:ascii="Arial" w:cs="Arial" w:eastAsia="Arial" w:hAnsi="Arial"/>
                <w:sz w:val="12"/>
                <w:szCs w:val="12"/>
                <w:b w:val="1"/>
                <w:bCs w:val="1"/>
                <w:color w:val="auto"/>
                <w:w w:val="94"/>
              </w:rPr>
              <w:t>(Level 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12"/>
              <w:spacing w:after="0"/>
              <w:rPr>
                <w:sz w:val="20"/>
                <w:szCs w:val="20"/>
                <w:color w:val="auto"/>
              </w:rPr>
            </w:pPr>
            <w:r>
              <w:rPr>
                <w:rFonts w:ascii="Arial" w:cs="Arial" w:eastAsia="Arial" w:hAnsi="Arial"/>
                <w:sz w:val="12"/>
                <w:szCs w:val="12"/>
                <w:b w:val="1"/>
                <w:bCs w:val="1"/>
                <w:color w:val="auto"/>
                <w:w w:val="94"/>
              </w:rPr>
              <w:t>(Level 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(Level 3)</w:t>
            </w: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Assets</w:t>
            </w:r>
          </w:p>
        </w:tc>
        <w:tc>
          <w:tcPr>
            <w:tcW w:w="64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left w:val="single" w:sz="8" w:color="CFF0FC"/>
            </w:tcBorders>
            <w:shd w:val="clear" w:color="auto" w:fill="CFF0FC"/>
          </w:tcPr>
          <w:p>
            <w:pPr>
              <w:spacing w:after="0"/>
              <w:rPr>
                <w:sz w:val="16"/>
                <w:szCs w:val="16"/>
                <w:color w:val="auto"/>
              </w:rPr>
            </w:pPr>
          </w:p>
        </w:tc>
        <w:tc>
          <w:tcPr>
            <w:tcW w:w="18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right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CFF0FC"/>
            </w:tcBorders>
            <w:shd w:val="clear" w:color="auto" w:fill="CFF0FC"/>
          </w:tcPr>
          <w:p>
            <w:pPr>
              <w:spacing w:after="0"/>
              <w:rPr>
                <w:sz w:val="16"/>
                <w:szCs w:val="16"/>
                <w:color w:val="auto"/>
              </w:rPr>
            </w:pPr>
          </w:p>
        </w:tc>
        <w:tc>
          <w:tcPr>
            <w:tcW w:w="140" w:type="dxa"/>
            <w:vAlign w:val="bottom"/>
            <w:tcBorders>
              <w:top w:val="single" w:sz="8" w:color="CFF0FC"/>
              <w:right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right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ind w:left="220"/>
              <w:spacing w:after="0"/>
              <w:rPr>
                <w:sz w:val="20"/>
                <w:szCs w:val="20"/>
                <w:color w:val="auto"/>
              </w:rPr>
            </w:pPr>
            <w:r>
              <w:rPr>
                <w:rFonts w:ascii="Arial" w:cs="Arial" w:eastAsia="Arial" w:hAnsi="Arial"/>
                <w:sz w:val="15"/>
                <w:szCs w:val="15"/>
                <w:color w:val="auto"/>
              </w:rPr>
              <w:t>Guaranteed Investment Certificates ("GIC")</w:t>
            </w:r>
          </w:p>
        </w:tc>
        <w:tc>
          <w:tcPr>
            <w:tcW w:w="1320" w:type="dxa"/>
            <w:vAlign w:val="bottom"/>
            <w:gridSpan w:val="2"/>
          </w:tcPr>
          <w:p>
            <w:pPr>
              <w:jc w:val="right"/>
              <w:ind w:right="477"/>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63</w:t>
            </w:r>
          </w:p>
        </w:tc>
        <w:tc>
          <w:tcPr>
            <w:tcW w:w="20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133"/>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Restricted cash</w:t>
            </w:r>
          </w:p>
        </w:tc>
        <w:tc>
          <w:tcPr>
            <w:tcW w:w="640" w:type="dxa"/>
            <w:vAlign w:val="bottom"/>
            <w:shd w:val="clear" w:color="auto" w:fill="CFF0FC"/>
          </w:tcPr>
          <w:p>
            <w:pPr>
              <w:spacing w:after="0"/>
              <w:rPr>
                <w:sz w:val="16"/>
                <w:szCs w:val="16"/>
                <w:color w:val="auto"/>
              </w:rPr>
            </w:pPr>
          </w:p>
        </w:tc>
        <w:tc>
          <w:tcPr>
            <w:tcW w:w="680" w:type="dxa"/>
            <w:vAlign w:val="bottom"/>
            <w:tcBorders>
              <w:left w:val="single" w:sz="8" w:color="CFF0FC"/>
              <w:bottom w:val="single" w:sz="8" w:color="auto"/>
            </w:tcBorders>
            <w:shd w:val="clear" w:color="auto" w:fill="CFF0FC"/>
          </w:tcPr>
          <w:p>
            <w:pPr>
              <w:spacing w:after="0"/>
              <w:rPr>
                <w:sz w:val="16"/>
                <w:szCs w:val="16"/>
                <w:color w:val="auto"/>
              </w:rPr>
            </w:pPr>
          </w:p>
        </w:tc>
        <w:tc>
          <w:tcPr>
            <w:tcW w:w="1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83</w:t>
            </w:r>
          </w:p>
        </w:tc>
        <w:tc>
          <w:tcPr>
            <w:tcW w:w="80" w:type="dxa"/>
            <w:vAlign w:val="bottom"/>
            <w:shd w:val="clear" w:color="auto" w:fill="CFF0FC"/>
          </w:tcPr>
          <w:p>
            <w:pPr>
              <w:spacing w:after="0"/>
              <w:rPr>
                <w:sz w:val="16"/>
                <w:szCs w:val="16"/>
                <w:color w:val="auto"/>
              </w:rPr>
            </w:pPr>
          </w:p>
        </w:tc>
        <w:tc>
          <w:tcPr>
            <w:tcW w:w="120" w:type="dxa"/>
            <w:vAlign w:val="bottom"/>
            <w:tcBorders>
              <w:bottom w:val="single" w:sz="8" w:color="auto"/>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right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rPr>
              <w:t>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40" w:type="dxa"/>
            <w:vAlign w:val="bottom"/>
            <w:gridSpan w:val="2"/>
          </w:tcPr>
          <w:p>
            <w:pPr>
              <w:ind w:left="20"/>
              <w:spacing w:after="0"/>
              <w:rPr>
                <w:sz w:val="20"/>
                <w:szCs w:val="20"/>
                <w:color w:val="auto"/>
              </w:rPr>
            </w:pPr>
            <w:r>
              <w:rPr>
                <w:rFonts w:ascii="Arial" w:cs="Arial" w:eastAsia="Arial" w:hAnsi="Arial"/>
                <w:sz w:val="15"/>
                <w:szCs w:val="15"/>
                <w:color w:val="auto"/>
              </w:rPr>
              <w:t>Total assets</w:t>
            </w:r>
          </w:p>
        </w:tc>
        <w:tc>
          <w:tcPr>
            <w:tcW w:w="1320" w:type="dxa"/>
            <w:vAlign w:val="bottom"/>
            <w:gridSpan w:val="2"/>
          </w:tcPr>
          <w:p>
            <w:pPr>
              <w:jc w:val="right"/>
              <w:ind w:right="477"/>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146</w:t>
            </w:r>
          </w:p>
        </w:tc>
        <w:tc>
          <w:tcPr>
            <w:tcW w:w="20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133"/>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20" w:type="dxa"/>
            <w:vAlign w:val="bottom"/>
            <w:tcBorders>
              <w:top w:val="single" w:sz="8" w:color="CFF0FC"/>
            </w:tcBorders>
            <w:shd w:val="clear" w:color="auto" w:fill="CFF0FC"/>
          </w:tcPr>
          <w:p>
            <w:pPr>
              <w:spacing w:after="0" w:line="167" w:lineRule="exact"/>
              <w:rPr>
                <w:sz w:val="20"/>
                <w:szCs w:val="20"/>
                <w:color w:val="auto"/>
              </w:rPr>
            </w:pPr>
            <w:r>
              <w:rPr>
                <w:rFonts w:ascii="Arial" w:cs="Arial" w:eastAsia="Arial" w:hAnsi="Arial"/>
                <w:sz w:val="15"/>
                <w:szCs w:val="15"/>
                <w:color w:val="auto"/>
              </w:rPr>
              <w:t>Liabilities</w:t>
            </w:r>
          </w:p>
        </w:tc>
        <w:tc>
          <w:tcPr>
            <w:tcW w:w="640" w:type="dxa"/>
            <w:vAlign w:val="bottom"/>
            <w:tcBorders>
              <w:top w:val="single" w:sz="8" w:color="CFF0FC"/>
            </w:tcBorders>
            <w:shd w:val="clear" w:color="auto" w:fill="CFF0FC"/>
          </w:tcPr>
          <w:p>
            <w:pPr>
              <w:spacing w:after="0"/>
              <w:rPr>
                <w:sz w:val="14"/>
                <w:szCs w:val="14"/>
                <w:color w:val="auto"/>
              </w:rPr>
            </w:pPr>
          </w:p>
        </w:tc>
        <w:tc>
          <w:tcPr>
            <w:tcW w:w="680" w:type="dxa"/>
            <w:vAlign w:val="bottom"/>
            <w:tcBorders>
              <w:top w:val="single" w:sz="8" w:color="auto"/>
              <w:left w:val="single" w:sz="8" w:color="CFF0FC"/>
            </w:tcBorders>
            <w:shd w:val="clear" w:color="auto" w:fill="CFF0FC"/>
          </w:tcPr>
          <w:p>
            <w:pPr>
              <w:spacing w:after="0"/>
              <w:rPr>
                <w:sz w:val="14"/>
                <w:szCs w:val="14"/>
                <w:color w:val="auto"/>
              </w:rPr>
            </w:pPr>
          </w:p>
        </w:tc>
        <w:tc>
          <w:tcPr>
            <w:tcW w:w="180" w:type="dxa"/>
            <w:vAlign w:val="bottom"/>
            <w:tcBorders>
              <w:top w:val="single" w:sz="8" w:color="auto"/>
              <w:right w:val="single" w:sz="8" w:color="CFF0FC"/>
            </w:tcBorders>
            <w:shd w:val="clear" w:color="auto" w:fill="CFF0FC"/>
          </w:tcPr>
          <w:p>
            <w:pPr>
              <w:spacing w:after="0"/>
              <w:rPr>
                <w:sz w:val="14"/>
                <w:szCs w:val="14"/>
                <w:color w:val="auto"/>
              </w:rPr>
            </w:pPr>
          </w:p>
        </w:tc>
        <w:tc>
          <w:tcPr>
            <w:tcW w:w="160" w:type="dxa"/>
            <w:vAlign w:val="bottom"/>
            <w:tcBorders>
              <w:top w:val="single" w:sz="8" w:color="CFF0FC"/>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right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right w:val="single" w:sz="8" w:color="CFF0FC"/>
            </w:tcBorders>
            <w:shd w:val="clear" w:color="auto" w:fill="CFF0FC"/>
          </w:tcPr>
          <w:p>
            <w:pPr>
              <w:spacing w:after="0"/>
              <w:rPr>
                <w:sz w:val="14"/>
                <w:szCs w:val="14"/>
                <w:color w:val="auto"/>
              </w:rPr>
            </w:pPr>
          </w:p>
        </w:tc>
        <w:tc>
          <w:tcPr>
            <w:tcW w:w="140" w:type="dxa"/>
            <w:vAlign w:val="bottom"/>
            <w:tcBorders>
              <w:top w:val="single" w:sz="8" w:color="CFF0FC"/>
              <w:right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right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Contingent earn-out consideration</w:t>
            </w:r>
          </w:p>
        </w:tc>
        <w:tc>
          <w:tcPr>
            <w:tcW w:w="640" w:type="dxa"/>
            <w:vAlign w:val="bottom"/>
            <w:tcBorders>
              <w:bottom w:val="single" w:sz="8" w:color="CFF0FC"/>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w:t>
            </w:r>
          </w:p>
        </w:tc>
        <w:tc>
          <w:tcPr>
            <w:tcW w:w="1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w:t>
            </w:r>
          </w:p>
        </w:tc>
        <w:tc>
          <w:tcPr>
            <w:tcW w:w="1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5"/>
                <w:szCs w:val="15"/>
                <w:color w:val="auto"/>
              </w:rPr>
              <w:t>Total liabilities</w:t>
            </w:r>
          </w:p>
        </w:tc>
        <w:tc>
          <w:tcPr>
            <w:tcW w:w="1320" w:type="dxa"/>
            <w:vAlign w:val="bottom"/>
            <w:gridSpan w:val="2"/>
            <w:shd w:val="clear" w:color="auto" w:fill="CFF0FC"/>
          </w:tcPr>
          <w:p>
            <w:pPr>
              <w:jc w:val="right"/>
              <w:ind w:right="477"/>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FF0FC"/>
            </w:tcBorders>
            <w:gridSpan w:val="2"/>
            <w:shd w:val="clear" w:color="auto" w:fill="CFF0FC"/>
          </w:tcPr>
          <w:p>
            <w:pPr>
              <w:jc w:val="center"/>
              <w:spacing w:after="0"/>
              <w:rPr>
                <w:sz w:val="20"/>
                <w:szCs w:val="20"/>
                <w:color w:val="auto"/>
              </w:rPr>
            </w:pPr>
            <w:r>
              <w:rPr>
                <w:rFonts w:ascii="Arial" w:cs="Arial" w:eastAsia="Arial" w:hAnsi="Arial"/>
                <w:sz w:val="15"/>
                <w:szCs w:val="15"/>
                <w:color w:val="auto"/>
                <w:w w:val="95"/>
              </w:rPr>
              <w:t>$</w:t>
            </w:r>
          </w:p>
        </w:tc>
        <w:tc>
          <w:tcPr>
            <w:tcW w:w="8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655</w:t>
            </w:r>
          </w:p>
        </w:tc>
        <w:tc>
          <w:tcPr>
            <w:tcW w:w="14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jc w:val="right"/>
              <w:ind w:right="133"/>
              <w:spacing w:after="0"/>
              <w:rPr>
                <w:sz w:val="20"/>
                <w:szCs w:val="20"/>
                <w:color w:val="auto"/>
              </w:rPr>
            </w:pPr>
            <w:r>
              <w:rPr>
                <w:rFonts w:ascii="Arial" w:cs="Arial" w:eastAsia="Arial" w:hAnsi="Arial"/>
                <w:sz w:val="5"/>
                <w:szCs w:val="5"/>
                <w:color w:val="auto"/>
                <w:w w:val="70"/>
              </w:rPr>
              <w:t>$</w:t>
            </w:r>
          </w:p>
        </w:tc>
        <w:tc>
          <w:tcPr>
            <w:tcW w:w="66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rPr>
              <w:t>655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earn-out liability is measured using discounted cash flow techniques, with the expected cash outflows estimated based on the probability of assessment of the acquired business achieving the revenue metrics required for payment. Expected future revenues of the acquired business and the associated estimate of probability are not observable inputs. The payments due are based on point in time measurements of the metrics quarterly for two years from the acquisition date. Changes in the fair value of the earn-out liability were recognized in finance expenses in the condensed consolidated statements of operations.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480"/>
          </w:cols>
          <w:pgMar w:left="680" w:top="492" w:right="739" w:bottom="1440" w:gutter="0" w:footer="0" w:header="0"/>
        </w:sectPr>
      </w:pPr>
    </w:p>
    <w:bookmarkStart w:id="14" w:name="page15"/>
    <w:bookmarkEnd w:id="14"/>
    <w:p>
      <w:pPr>
        <w:ind w:left="360"/>
        <w:spacing w:after="0"/>
        <w:rPr>
          <w:sz w:val="20"/>
          <w:szCs w:val="20"/>
          <w:color w:val="auto"/>
        </w:rPr>
      </w:pPr>
      <w:r>
        <w:rPr>
          <w:rFonts w:ascii="Arial" w:cs="Arial" w:eastAsia="Arial" w:hAnsi="Arial"/>
          <w:sz w:val="14"/>
          <w:szCs w:val="14"/>
          <w:color w:val="auto"/>
        </w:rPr>
        <w:t>The following table provides a roll forward of the aggregate fair values of the earn-out liability as of September 30, 2020, for which fair value is determined using Level 3 inputs:</w:t>
      </w:r>
    </w:p>
    <w:p>
      <w:pPr>
        <w:spacing w:after="0" w:line="213" w:lineRule="exact"/>
        <w:rPr>
          <w:sz w:val="20"/>
          <w:szCs w:val="20"/>
          <w:color w:val="auto"/>
        </w:rPr>
      </w:pPr>
    </w:p>
    <w:tbl>
      <w:tblPr>
        <w:tblLayout w:type="fixed"/>
        <w:tblInd w:w="1680" w:type="dxa"/>
        <w:tblCellMar>
          <w:top w:w="0" w:type="dxa"/>
          <w:left w:w="0" w:type="dxa"/>
          <w:bottom w:w="0" w:type="dxa"/>
          <w:right w:w="0" w:type="dxa"/>
        </w:tblCellMar>
      </w:tblPr>
      <w:tr>
        <w:trPr>
          <w:trHeight w:val="193"/>
        </w:trPr>
        <w:tc>
          <w:tcPr>
            <w:tcW w:w="3840" w:type="dxa"/>
            <w:vAlign w:val="bottom"/>
            <w:shd w:val="clear" w:color="auto" w:fill="CFF0FC"/>
          </w:tcPr>
          <w:p>
            <w:pPr>
              <w:spacing w:after="0"/>
              <w:rPr>
                <w:sz w:val="20"/>
                <w:szCs w:val="20"/>
                <w:color w:val="auto"/>
              </w:rPr>
            </w:pPr>
            <w:r>
              <w:rPr>
                <w:rFonts w:ascii="Arial" w:cs="Arial" w:eastAsia="Arial" w:hAnsi="Arial"/>
                <w:sz w:val="15"/>
                <w:szCs w:val="15"/>
                <w:color w:val="auto"/>
              </w:rPr>
              <w:t>Beginning balance</w:t>
            </w:r>
          </w:p>
        </w:tc>
        <w:tc>
          <w:tcPr>
            <w:tcW w:w="3180" w:type="dxa"/>
            <w:vAlign w:val="bottom"/>
            <w:gridSpan w:val="2"/>
            <w:shd w:val="clear" w:color="auto" w:fill="CFF0FC"/>
          </w:tcPr>
          <w:p>
            <w:pPr>
              <w:jc w:val="right"/>
              <w:ind w:right="48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950</w:t>
            </w:r>
          </w:p>
        </w:tc>
        <w:tc>
          <w:tcPr>
            <w:tcW w:w="80" w:type="dxa"/>
            <w:vAlign w:val="bottom"/>
            <w:shd w:val="clear" w:color="auto" w:fill="CFF0FC"/>
          </w:tcPr>
          <w:p>
            <w:pPr>
              <w:spacing w:after="0"/>
              <w:rPr>
                <w:sz w:val="16"/>
                <w:szCs w:val="16"/>
                <w:color w:val="auto"/>
              </w:rPr>
            </w:pPr>
          </w:p>
        </w:tc>
      </w:tr>
      <w:tr>
        <w:trPr>
          <w:trHeight w:val="192"/>
        </w:trPr>
        <w:tc>
          <w:tcPr>
            <w:tcW w:w="3840" w:type="dxa"/>
            <w:vAlign w:val="bottom"/>
          </w:tcPr>
          <w:p>
            <w:pPr>
              <w:ind w:left="220"/>
              <w:spacing w:after="0"/>
              <w:rPr>
                <w:sz w:val="20"/>
                <w:szCs w:val="20"/>
                <w:color w:val="auto"/>
              </w:rPr>
            </w:pPr>
            <w:r>
              <w:rPr>
                <w:rFonts w:ascii="Arial" w:cs="Arial" w:eastAsia="Arial" w:hAnsi="Arial"/>
                <w:sz w:val="15"/>
                <w:szCs w:val="15"/>
                <w:color w:val="auto"/>
              </w:rPr>
              <w:t>Payments</w:t>
            </w:r>
          </w:p>
        </w:tc>
        <w:tc>
          <w:tcPr>
            <w:tcW w:w="2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(828)</w:t>
            </w:r>
          </w:p>
        </w:tc>
      </w:tr>
      <w:tr>
        <w:trPr>
          <w:trHeight w:val="194"/>
        </w:trPr>
        <w:tc>
          <w:tcPr>
            <w:tcW w:w="38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Change in value</w:t>
            </w:r>
          </w:p>
        </w:tc>
        <w:tc>
          <w:tcPr>
            <w:tcW w:w="262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533</w:t>
            </w:r>
          </w:p>
        </w:tc>
        <w:tc>
          <w:tcPr>
            <w:tcW w:w="80" w:type="dxa"/>
            <w:vAlign w:val="bottom"/>
            <w:shd w:val="clear" w:color="auto" w:fill="CFF0FC"/>
          </w:tcPr>
          <w:p>
            <w:pPr>
              <w:spacing w:after="0"/>
              <w:rPr>
                <w:sz w:val="16"/>
                <w:szCs w:val="16"/>
                <w:color w:val="auto"/>
              </w:rPr>
            </w:pPr>
          </w:p>
        </w:tc>
      </w:tr>
      <w:tr>
        <w:trPr>
          <w:trHeight w:val="184"/>
        </w:trPr>
        <w:tc>
          <w:tcPr>
            <w:tcW w:w="38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December 31, 2019</w:t>
            </w:r>
          </w:p>
        </w:tc>
        <w:tc>
          <w:tcPr>
            <w:tcW w:w="262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w:t>
            </w:r>
          </w:p>
        </w:tc>
        <w:tc>
          <w:tcPr>
            <w:tcW w:w="80" w:type="dxa"/>
            <w:vAlign w:val="bottom"/>
            <w:tcBorders>
              <w:bottom w:val="single" w:sz="8" w:color="CFF0FC"/>
            </w:tcBorders>
          </w:tcPr>
          <w:p>
            <w:pPr>
              <w:spacing w:after="0"/>
              <w:rPr>
                <w:sz w:val="15"/>
                <w:szCs w:val="15"/>
                <w:color w:val="auto"/>
              </w:rPr>
            </w:pPr>
          </w:p>
        </w:tc>
      </w:tr>
      <w:tr>
        <w:trPr>
          <w:trHeight w:val="185"/>
        </w:trPr>
        <w:tc>
          <w:tcPr>
            <w:tcW w:w="38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Payments</w:t>
            </w:r>
          </w:p>
        </w:tc>
        <w:tc>
          <w:tcPr>
            <w:tcW w:w="26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(77)</w:t>
            </w:r>
          </w:p>
        </w:tc>
      </w:tr>
      <w:tr>
        <w:trPr>
          <w:trHeight w:val="192"/>
        </w:trPr>
        <w:tc>
          <w:tcPr>
            <w:tcW w:w="384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Change in value</w:t>
            </w:r>
          </w:p>
        </w:tc>
        <w:tc>
          <w:tcPr>
            <w:tcW w:w="262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w:t>
            </w:r>
          </w:p>
        </w:tc>
        <w:tc>
          <w:tcPr>
            <w:tcW w:w="80" w:type="dxa"/>
            <w:vAlign w:val="bottom"/>
            <w:tcBorders>
              <w:bottom w:val="single" w:sz="8" w:color="CFF0FC"/>
            </w:tcBorders>
          </w:tcPr>
          <w:p>
            <w:pPr>
              <w:spacing w:after="0"/>
              <w:rPr>
                <w:sz w:val="16"/>
                <w:szCs w:val="16"/>
                <w:color w:val="auto"/>
              </w:rPr>
            </w:pPr>
          </w:p>
        </w:tc>
      </w:tr>
      <w:tr>
        <w:trPr>
          <w:trHeight w:val="185"/>
        </w:trPr>
        <w:tc>
          <w:tcPr>
            <w:tcW w:w="3840" w:type="dxa"/>
            <w:vAlign w:val="bottom"/>
            <w:shd w:val="clear" w:color="auto" w:fill="CFF0FC"/>
          </w:tcPr>
          <w:p>
            <w:pPr>
              <w:spacing w:after="0"/>
              <w:rPr>
                <w:sz w:val="20"/>
                <w:szCs w:val="20"/>
                <w:color w:val="auto"/>
              </w:rPr>
            </w:pPr>
            <w:r>
              <w:rPr>
                <w:rFonts w:ascii="Arial" w:cs="Arial" w:eastAsia="Arial" w:hAnsi="Arial"/>
                <w:sz w:val="15"/>
                <w:szCs w:val="15"/>
                <w:color w:val="auto"/>
              </w:rPr>
              <w:t>March 31, 2020</w:t>
            </w:r>
          </w:p>
        </w:tc>
        <w:tc>
          <w:tcPr>
            <w:tcW w:w="262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757</w:t>
            </w:r>
          </w:p>
        </w:tc>
        <w:tc>
          <w:tcPr>
            <w:tcW w:w="80" w:type="dxa"/>
            <w:vAlign w:val="bottom"/>
            <w:shd w:val="clear" w:color="auto" w:fill="CFF0FC"/>
          </w:tcPr>
          <w:p>
            <w:pPr>
              <w:spacing w:after="0"/>
              <w:rPr>
                <w:sz w:val="16"/>
                <w:szCs w:val="16"/>
                <w:color w:val="auto"/>
              </w:rPr>
            </w:pPr>
          </w:p>
        </w:tc>
      </w:tr>
      <w:tr>
        <w:trPr>
          <w:trHeight w:val="184"/>
        </w:trPr>
        <w:tc>
          <w:tcPr>
            <w:tcW w:w="3840" w:type="dxa"/>
            <w:vAlign w:val="bottom"/>
          </w:tcPr>
          <w:p>
            <w:pPr>
              <w:ind w:left="220"/>
              <w:spacing w:after="0"/>
              <w:rPr>
                <w:sz w:val="20"/>
                <w:szCs w:val="20"/>
                <w:color w:val="auto"/>
              </w:rPr>
            </w:pPr>
            <w:r>
              <w:rPr>
                <w:rFonts w:ascii="Arial" w:cs="Arial" w:eastAsia="Arial" w:hAnsi="Arial"/>
                <w:sz w:val="15"/>
                <w:szCs w:val="15"/>
                <w:color w:val="auto"/>
              </w:rPr>
              <w:t>Payments</w:t>
            </w:r>
          </w:p>
        </w:tc>
        <w:tc>
          <w:tcPr>
            <w:tcW w:w="2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(79)</w:t>
            </w:r>
          </w:p>
        </w:tc>
      </w:tr>
      <w:tr>
        <w:trPr>
          <w:trHeight w:val="194"/>
        </w:trPr>
        <w:tc>
          <w:tcPr>
            <w:tcW w:w="38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Change in value</w:t>
            </w:r>
          </w:p>
        </w:tc>
        <w:tc>
          <w:tcPr>
            <w:tcW w:w="262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FF0FC"/>
          </w:tcPr>
          <w:p>
            <w:pPr>
              <w:spacing w:after="0"/>
              <w:rPr>
                <w:sz w:val="16"/>
                <w:szCs w:val="16"/>
                <w:color w:val="auto"/>
              </w:rPr>
            </w:pPr>
          </w:p>
        </w:tc>
      </w:tr>
      <w:tr>
        <w:trPr>
          <w:trHeight w:val="184"/>
        </w:trPr>
        <w:tc>
          <w:tcPr>
            <w:tcW w:w="38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June 30, 2020</w:t>
            </w:r>
          </w:p>
        </w:tc>
        <w:tc>
          <w:tcPr>
            <w:tcW w:w="262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743</w:t>
            </w:r>
          </w:p>
        </w:tc>
        <w:tc>
          <w:tcPr>
            <w:tcW w:w="80" w:type="dxa"/>
            <w:vAlign w:val="bottom"/>
            <w:tcBorders>
              <w:bottom w:val="single" w:sz="8" w:color="CFF0FC"/>
            </w:tcBorders>
          </w:tcPr>
          <w:p>
            <w:pPr>
              <w:spacing w:after="0"/>
              <w:rPr>
                <w:sz w:val="15"/>
                <w:szCs w:val="15"/>
                <w:color w:val="auto"/>
              </w:rPr>
            </w:pPr>
          </w:p>
        </w:tc>
      </w:tr>
      <w:tr>
        <w:trPr>
          <w:trHeight w:val="185"/>
        </w:trPr>
        <w:tc>
          <w:tcPr>
            <w:tcW w:w="38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Payments</w:t>
            </w:r>
          </w:p>
        </w:tc>
        <w:tc>
          <w:tcPr>
            <w:tcW w:w="26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(393)</w:t>
            </w:r>
          </w:p>
        </w:tc>
      </w:tr>
      <w:tr>
        <w:trPr>
          <w:trHeight w:val="192"/>
        </w:trPr>
        <w:tc>
          <w:tcPr>
            <w:tcW w:w="384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Change in value</w:t>
            </w:r>
          </w:p>
        </w:tc>
        <w:tc>
          <w:tcPr>
            <w:tcW w:w="262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80" w:type="dxa"/>
            <w:vAlign w:val="bottom"/>
            <w:tcBorders>
              <w:bottom w:val="single" w:sz="8" w:color="CFF0FC"/>
            </w:tcBorders>
          </w:tcPr>
          <w:p>
            <w:pPr>
              <w:spacing w:after="0"/>
              <w:rPr>
                <w:sz w:val="16"/>
                <w:szCs w:val="16"/>
                <w:color w:val="auto"/>
              </w:rPr>
            </w:pPr>
          </w:p>
        </w:tc>
      </w:tr>
      <w:tr>
        <w:trPr>
          <w:trHeight w:val="184"/>
        </w:trPr>
        <w:tc>
          <w:tcPr>
            <w:tcW w:w="3840" w:type="dxa"/>
            <w:vAlign w:val="bottom"/>
            <w:shd w:val="clear" w:color="auto" w:fill="CFF0FC"/>
          </w:tcPr>
          <w:p>
            <w:pPr>
              <w:spacing w:after="0"/>
              <w:rPr>
                <w:sz w:val="20"/>
                <w:szCs w:val="20"/>
                <w:color w:val="auto"/>
              </w:rPr>
            </w:pPr>
            <w:r>
              <w:rPr>
                <w:rFonts w:ascii="Arial" w:cs="Arial" w:eastAsia="Arial" w:hAnsi="Arial"/>
                <w:sz w:val="15"/>
                <w:szCs w:val="15"/>
                <w:color w:val="auto"/>
              </w:rPr>
              <w:t>September 30, 2020</w:t>
            </w:r>
          </w:p>
        </w:tc>
        <w:tc>
          <w:tcPr>
            <w:tcW w:w="3180" w:type="dxa"/>
            <w:vAlign w:val="bottom"/>
            <w:gridSpan w:val="2"/>
            <w:shd w:val="clear" w:color="auto" w:fill="CFF0FC"/>
          </w:tcPr>
          <w:p>
            <w:pPr>
              <w:jc w:val="right"/>
              <w:ind w:right="48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397</w:t>
            </w:r>
          </w:p>
        </w:tc>
        <w:tc>
          <w:tcPr>
            <w:tcW w:w="80" w:type="dxa"/>
            <w:vAlign w:val="bottom"/>
            <w:shd w:val="clear" w:color="auto" w:fill="CFF0FC"/>
          </w:tcPr>
          <w:p>
            <w:pPr>
              <w:spacing w:after="0"/>
              <w:rPr>
                <w:sz w:val="16"/>
                <w:szCs w:val="16"/>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26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71" w:lineRule="exact"/>
        <w:rPr>
          <w:sz w:val="20"/>
          <w:szCs w:val="20"/>
          <w:color w:val="auto"/>
        </w:rPr>
      </w:pPr>
    </w:p>
    <w:p>
      <w:pPr>
        <w:ind w:left="360" w:right="20"/>
        <w:spacing w:after="0" w:line="265" w:lineRule="auto"/>
        <w:rPr>
          <w:sz w:val="20"/>
          <w:szCs w:val="20"/>
          <w:color w:val="auto"/>
        </w:rPr>
      </w:pPr>
      <w:r>
        <w:rPr>
          <w:rFonts w:ascii="Arial" w:cs="Arial" w:eastAsia="Arial" w:hAnsi="Arial"/>
          <w:sz w:val="15"/>
          <w:szCs w:val="15"/>
          <w:color w:val="auto"/>
        </w:rPr>
        <w:t>In addition to earn-out contingent liability disclosed above, the Company has an annual installment payable of $250. On September 25, 2020, pursuant to an amendment to its master asset purchase agreement dated January 26, 2018, the Company established a payment plan for the earn out liability and annual installment payout, according to which $500 will be paid on or before December 1, 2020 and $147 will be paid on or before January 1, 2021.</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5. ACCOUNTS RECEIVABLE</w:t>
      </w:r>
    </w:p>
    <w:p>
      <w:pPr>
        <w:spacing w:after="0" w:line="195" w:lineRule="exact"/>
        <w:rPr>
          <w:sz w:val="20"/>
          <w:szCs w:val="20"/>
          <w:color w:val="auto"/>
        </w:rPr>
      </w:pPr>
    </w:p>
    <w:p>
      <w:pPr>
        <w:ind w:left="360" w:right="20"/>
        <w:spacing w:after="0" w:line="265" w:lineRule="auto"/>
        <w:rPr>
          <w:sz w:val="20"/>
          <w:szCs w:val="20"/>
          <w:color w:val="auto"/>
        </w:rPr>
      </w:pPr>
      <w:r>
        <w:rPr>
          <w:rFonts w:ascii="Arial" w:cs="Arial" w:eastAsia="Arial" w:hAnsi="Arial"/>
          <w:sz w:val="15"/>
          <w:szCs w:val="15"/>
          <w:color w:val="auto"/>
        </w:rPr>
        <w:t>The Company’s products may be sold under subscription contracts with control passing to the customer at the end of the lease term, which is generally 36 months. These arrangements are considered to be sales-type leases, where the present value of all cash flows to be received within the arrangement is recognized upon shipment to the customer as lease revenue.</w:t>
      </w:r>
    </w:p>
    <w:p>
      <w:pPr>
        <w:spacing w:after="0" w:line="156" w:lineRule="exact"/>
        <w:rPr>
          <w:sz w:val="20"/>
          <w:szCs w:val="20"/>
          <w:color w:val="auto"/>
        </w:rPr>
      </w:pPr>
    </w:p>
    <w:p>
      <w:pPr>
        <w:ind w:left="360" w:right="120"/>
        <w:spacing w:after="0" w:line="261" w:lineRule="auto"/>
        <w:rPr>
          <w:sz w:val="20"/>
          <w:szCs w:val="20"/>
          <w:color w:val="auto"/>
        </w:rPr>
      </w:pPr>
      <w:r>
        <w:rPr>
          <w:rFonts w:ascii="Arial" w:cs="Arial" w:eastAsia="Arial" w:hAnsi="Arial"/>
          <w:sz w:val="15"/>
          <w:szCs w:val="15"/>
          <w:color w:val="auto"/>
        </w:rPr>
        <w:t>A financing receivable is a contractual right to receive money, on demand or on fixed or determinable dates, that is recognized as an asset on the Company's consolidated balance sheets. The Company's financing receivables, consisting of sales-type leases, totaled $51,845 and $72,602 as of September 30, 2020 and December 31, 2019, respectively, and are included in accounts receivable and long-term receivables on the consolidated balance sheets. The Company evaluates the credit quality of an obligor at lease inception and monitors credit quality over the term of the underlying transactions.</w:t>
      </w:r>
    </w:p>
    <w:p>
      <w:pPr>
        <w:spacing w:after="0" w:line="158" w:lineRule="exact"/>
        <w:rPr>
          <w:sz w:val="20"/>
          <w:szCs w:val="20"/>
          <w:color w:val="auto"/>
        </w:rPr>
      </w:pPr>
    </w:p>
    <w:p>
      <w:pPr>
        <w:ind w:left="360" w:right="360"/>
        <w:spacing w:after="0" w:line="315" w:lineRule="auto"/>
        <w:rPr>
          <w:sz w:val="20"/>
          <w:szCs w:val="20"/>
          <w:color w:val="auto"/>
        </w:rPr>
      </w:pPr>
      <w:r>
        <w:rPr>
          <w:rFonts w:ascii="Arial" w:cs="Arial" w:eastAsia="Arial" w:hAnsi="Arial"/>
          <w:sz w:val="14"/>
          <w:szCs w:val="14"/>
          <w:color w:val="auto"/>
        </w:rPr>
        <w:t>The Company performed an assessment of the allowance for doubtful accounts as of September 30, 2020 and December 31, 2019. Based upon such assessment, the Company recorded an allowance for doubtful accounts totaling $15,141 and $10,494 as of September 30, 2020 and December 31, 2019, respectively.</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summary of the Company’s accounts receivables is presented below:</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2"/>
              </w:rPr>
              <w:t>September 30,</w:t>
            </w:r>
          </w:p>
        </w:tc>
        <w:tc>
          <w:tcPr>
            <w:tcW w:w="140" w:type="dxa"/>
            <w:vAlign w:val="bottom"/>
          </w:tcPr>
          <w:p>
            <w:pPr>
              <w:spacing w:after="0"/>
              <w:rPr>
                <w:sz w:val="12"/>
                <w:szCs w:val="12"/>
                <w:color w:val="auto"/>
              </w:rPr>
            </w:pPr>
          </w:p>
        </w:tc>
        <w:tc>
          <w:tcPr>
            <w:tcW w:w="1040" w:type="dxa"/>
            <w:vAlign w:val="bottom"/>
          </w:tcPr>
          <w:p>
            <w:pPr>
              <w:jc w:val="right"/>
              <w:ind w:right="207"/>
              <w:spacing w:after="0"/>
              <w:rPr>
                <w:sz w:val="20"/>
                <w:szCs w:val="20"/>
                <w:color w:val="auto"/>
              </w:rPr>
            </w:pPr>
            <w:r>
              <w:rPr>
                <w:rFonts w:ascii="Arial" w:cs="Arial" w:eastAsia="Arial" w:hAnsi="Arial"/>
                <w:sz w:val="12"/>
                <w:szCs w:val="12"/>
                <w:b w:val="1"/>
                <w:bCs w:val="1"/>
                <w:color w:val="auto"/>
                <w:w w:val="94"/>
              </w:rPr>
              <w:t>December 31,</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3040" w:type="dxa"/>
            <w:vAlign w:val="bottom"/>
            <w:tcBorders>
              <w:bottom w:val="single" w:sz="8" w:color="CFF0FC"/>
            </w:tcBorders>
          </w:tcPr>
          <w:p>
            <w:pPr>
              <w:spacing w:after="0"/>
              <w:rPr>
                <w:sz w:val="12"/>
                <w:szCs w:val="12"/>
                <w:color w:val="auto"/>
              </w:rPr>
            </w:pPr>
          </w:p>
        </w:tc>
        <w:tc>
          <w:tcPr>
            <w:tcW w:w="23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2019</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Gross accounts receivable</w:t>
            </w:r>
          </w:p>
        </w:tc>
        <w:tc>
          <w:tcPr>
            <w:tcW w:w="2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94,877</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rPr>
              <w:t>105,127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20" w:type="dxa"/>
            <w:vAlign w:val="bottom"/>
            <w:gridSpan w:val="2"/>
          </w:tcPr>
          <w:p>
            <w:pPr>
              <w:ind w:left="1680"/>
              <w:spacing w:after="0"/>
              <w:rPr>
                <w:sz w:val="20"/>
                <w:szCs w:val="20"/>
                <w:color w:val="auto"/>
              </w:rPr>
            </w:pPr>
            <w:r>
              <w:rPr>
                <w:rFonts w:ascii="Arial" w:cs="Arial" w:eastAsia="Arial" w:hAnsi="Arial"/>
                <w:sz w:val="15"/>
                <w:szCs w:val="15"/>
                <w:color w:val="auto"/>
              </w:rPr>
              <w:t>Unearned income</w:t>
            </w: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(3,970)</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(5,623)</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Allowance for doubtful accounts</w:t>
            </w:r>
          </w:p>
        </w:tc>
        <w:tc>
          <w:tcPr>
            <w:tcW w:w="2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(15,141)</w:t>
            </w: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(10,494)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80" w:type="dxa"/>
            <w:vAlign w:val="bottom"/>
          </w:tcPr>
          <w:p>
            <w:pPr>
              <w:spacing w:after="0"/>
              <w:rPr>
                <w:sz w:val="19"/>
                <w:szCs w:val="19"/>
                <w:color w:val="auto"/>
              </w:rPr>
            </w:pPr>
          </w:p>
        </w:tc>
        <w:tc>
          <w:tcPr>
            <w:tcW w:w="3040" w:type="dxa"/>
            <w:vAlign w:val="bottom"/>
            <w:tcBorders>
              <w:bottom w:val="single" w:sz="8" w:color="CFF0FC"/>
            </w:tcBorders>
          </w:tcPr>
          <w:p>
            <w:pPr>
              <w:spacing w:after="0"/>
              <w:rPr>
                <w:sz w:val="19"/>
                <w:szCs w:val="19"/>
                <w:color w:val="auto"/>
              </w:rPr>
            </w:pPr>
          </w:p>
        </w:tc>
        <w:tc>
          <w:tcPr>
            <w:tcW w:w="23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75,766</w:t>
            </w:r>
          </w:p>
        </w:tc>
        <w:tc>
          <w:tcPr>
            <w:tcW w:w="1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89,010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3040" w:type="dxa"/>
            <w:vAlign w:val="bottom"/>
            <w:shd w:val="clear" w:color="auto" w:fill="CFF0FC"/>
          </w:tcPr>
          <w:p>
            <w:pPr>
              <w:spacing w:after="0" w:line="167" w:lineRule="exact"/>
              <w:rPr>
                <w:sz w:val="20"/>
                <w:szCs w:val="20"/>
                <w:color w:val="auto"/>
              </w:rPr>
            </w:pPr>
            <w:r>
              <w:rPr>
                <w:rFonts w:ascii="Arial" w:cs="Arial" w:eastAsia="Arial" w:hAnsi="Arial"/>
                <w:sz w:val="15"/>
                <w:szCs w:val="15"/>
                <w:color w:val="auto"/>
              </w:rPr>
              <w:t>Reported as:</w:t>
            </w:r>
          </w:p>
        </w:tc>
        <w:tc>
          <w:tcPr>
            <w:tcW w:w="2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20" w:type="dxa"/>
            <w:vAlign w:val="bottom"/>
            <w:gridSpan w:val="2"/>
          </w:tcPr>
          <w:p>
            <w:pPr>
              <w:ind w:left="1680"/>
              <w:spacing w:after="0"/>
              <w:rPr>
                <w:sz w:val="20"/>
                <w:szCs w:val="20"/>
                <w:color w:val="auto"/>
              </w:rPr>
            </w:pPr>
            <w:r>
              <w:rPr>
                <w:rFonts w:ascii="Arial" w:cs="Arial" w:eastAsia="Arial" w:hAnsi="Arial"/>
                <w:sz w:val="15"/>
                <w:szCs w:val="15"/>
                <w:color w:val="auto"/>
              </w:rPr>
              <w:t>Current trade receivables</w:t>
            </w:r>
          </w:p>
        </w:tc>
        <w:tc>
          <w:tcPr>
            <w:tcW w:w="2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57,920</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58,977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Current unearned interest income</w:t>
            </w:r>
          </w:p>
        </w:tc>
        <w:tc>
          <w:tcPr>
            <w:tcW w:w="2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(2,675)</w:t>
            </w: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(3,942)</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20" w:type="dxa"/>
            <w:vAlign w:val="bottom"/>
            <w:gridSpan w:val="2"/>
          </w:tcPr>
          <w:p>
            <w:pPr>
              <w:ind w:left="1680"/>
              <w:spacing w:after="0"/>
              <w:rPr>
                <w:sz w:val="20"/>
                <w:szCs w:val="20"/>
                <w:color w:val="auto"/>
              </w:rPr>
            </w:pPr>
            <w:r>
              <w:rPr>
                <w:rFonts w:ascii="Arial" w:cs="Arial" w:eastAsia="Arial" w:hAnsi="Arial"/>
                <w:sz w:val="15"/>
                <w:szCs w:val="15"/>
                <w:color w:val="auto"/>
              </w:rPr>
              <w:t>Long-term trade receivables</w:t>
            </w: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21,816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35,656</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Long-term unearned interest income</w:t>
            </w:r>
          </w:p>
        </w:tc>
        <w:tc>
          <w:tcPr>
            <w:tcW w:w="2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(1,295)</w:t>
            </w: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(1,681)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75,766</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89,010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60" w:type="dxa"/>
            <w:vAlign w:val="bottom"/>
            <w:vMerge w:val="restart"/>
          </w:tcPr>
          <w:p>
            <w:pPr>
              <w:jc w:val="right"/>
              <w:ind w:right="1304"/>
              <w:spacing w:after="0"/>
              <w:rPr>
                <w:sz w:val="20"/>
                <w:szCs w:val="20"/>
                <w:color w:val="auto"/>
              </w:rPr>
            </w:pPr>
            <w:r>
              <w:rPr>
                <w:rFonts w:ascii="Arial" w:cs="Arial" w:eastAsia="Arial" w:hAnsi="Arial"/>
                <w:sz w:val="15"/>
                <w:szCs w:val="15"/>
                <w:color w:val="auto"/>
              </w:rPr>
              <w:t>14</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15" w:name="page16"/>
    <w:bookmarkEnd w:id="15"/>
    <w:p>
      <w:pPr>
        <w:ind w:left="360" w:right="200"/>
        <w:spacing w:after="0" w:line="278" w:lineRule="auto"/>
        <w:rPr>
          <w:sz w:val="20"/>
          <w:szCs w:val="20"/>
          <w:color w:val="auto"/>
        </w:rPr>
      </w:pPr>
      <w:r>
        <w:rPr>
          <w:rFonts w:ascii="Arial" w:cs="Arial" w:eastAsia="Arial" w:hAnsi="Arial"/>
          <w:sz w:val="15"/>
          <w:szCs w:val="15"/>
          <w:color w:val="auto"/>
        </w:rPr>
        <w:t>Current subscription contracts are reported as part of accounts receivable. The following are the contractual commitments, net of allowance for doubtful accounts, to be received by the Company over the next 5 years:</w:t>
      </w:r>
    </w:p>
    <w:p>
      <w:pPr>
        <w:spacing w:after="0" w:line="205" w:lineRule="exact"/>
        <w:rPr>
          <w:sz w:val="20"/>
          <w:szCs w:val="20"/>
          <w:color w:val="auto"/>
        </w:rPr>
      </w:pPr>
    </w:p>
    <w:tbl>
      <w:tblPr>
        <w:tblLayout w:type="fixed"/>
        <w:tblInd w:w="68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9"/>
              </w:rPr>
              <w:t>September 30,</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2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4"/>
              <w:spacing w:after="0" w:line="128" w:lineRule="exact"/>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8"/>
              <w:spacing w:after="0" w:line="128" w:lineRule="exact"/>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8"/>
              <w:spacing w:after="0" w:line="128" w:lineRule="exact"/>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8"/>
              <w:spacing w:after="0" w:line="128"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4"/>
              <w:spacing w:after="0" w:line="128" w:lineRule="exact"/>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5"/>
                <w:szCs w:val="15"/>
                <w:color w:val="auto"/>
              </w:rPr>
              <w:t>Current financing receivables, net of allowance of $5,720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30,029</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30,029</w:t>
            </w: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ind w:left="440"/>
              <w:spacing w:after="0"/>
              <w:rPr>
                <w:sz w:val="20"/>
                <w:szCs w:val="20"/>
                <w:color w:val="auto"/>
              </w:rPr>
            </w:pPr>
            <w:r>
              <w:rPr>
                <w:rFonts w:ascii="Arial" w:cs="Arial" w:eastAsia="Arial" w:hAnsi="Arial"/>
                <w:sz w:val="15"/>
                <w:szCs w:val="15"/>
                <w:color w:val="auto"/>
                <w:w w:val="93"/>
              </w:rPr>
              <w:t>—</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spacing w:after="0"/>
              <w:rPr>
                <w:sz w:val="20"/>
                <w:szCs w:val="20"/>
                <w:color w:val="auto"/>
              </w:rPr>
            </w:pPr>
            <w:r>
              <w:rPr>
                <w:rFonts w:ascii="Arial" w:cs="Arial" w:eastAsia="Arial" w:hAnsi="Arial"/>
                <w:sz w:val="15"/>
                <w:szCs w:val="15"/>
                <w:color w:val="auto"/>
                <w:w w:val="98"/>
              </w:rPr>
              <w:t>Long-term financing receivables, net of allowance of $4,108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21,816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17,084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4,666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Arial" w:cs="Arial" w:eastAsia="Arial" w:hAnsi="Arial"/>
                <w:sz w:val="15"/>
                <w:szCs w:val="15"/>
                <w:color w:val="auto"/>
                <w:w w:val="83"/>
              </w:rPr>
              <w:t>66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39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51,845</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30,029</w:t>
            </w: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17,084</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4,666</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ind w:left="440"/>
              <w:spacing w:after="0"/>
              <w:rPr>
                <w:sz w:val="20"/>
                <w:szCs w:val="20"/>
                <w:color w:val="auto"/>
              </w:rPr>
            </w:pPr>
            <w:r>
              <w:rPr>
                <w:rFonts w:ascii="Arial" w:cs="Arial" w:eastAsia="Arial" w:hAnsi="Arial"/>
                <w:sz w:val="15"/>
                <w:szCs w:val="15"/>
                <w:color w:val="auto"/>
                <w:w w:val="83"/>
              </w:rPr>
              <w:t>66</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60" w:right="80"/>
        <w:spacing w:after="0" w:line="259" w:lineRule="auto"/>
        <w:rPr>
          <w:sz w:val="20"/>
          <w:szCs w:val="20"/>
          <w:color w:val="auto"/>
        </w:rPr>
      </w:pPr>
      <w:r>
        <w:rPr>
          <w:rFonts w:ascii="Arial" w:cs="Arial" w:eastAsia="Arial" w:hAnsi="Arial"/>
          <w:sz w:val="15"/>
          <w:szCs w:val="15"/>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our estimates and could be material to our consolidated financial position, results of operations and cash flows. The allowance for doubtful accounts was $15,141 and $10,494 as of September 30, 2020 and December 31, 2019,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40" w:type="dxa"/>
            <w:vAlign w:val="bottom"/>
            <w:gridSpan w:val="2"/>
          </w:tcPr>
          <w:p>
            <w:pPr>
              <w:ind w:left="360"/>
              <w:spacing w:after="0"/>
              <w:rPr>
                <w:sz w:val="20"/>
                <w:szCs w:val="20"/>
                <w:color w:val="auto"/>
              </w:rPr>
            </w:pPr>
            <w:r>
              <w:rPr>
                <w:rFonts w:ascii="Arial" w:cs="Arial" w:eastAsia="Arial" w:hAnsi="Arial"/>
                <w:sz w:val="15"/>
                <w:szCs w:val="15"/>
                <w:color w:val="auto"/>
              </w:rPr>
              <w:t>The allowance for doubtful accounts consisted of the following activity:</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64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Balance as of January 1, 2019</w:t>
            </w: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4,408</w:t>
            </w:r>
          </w:p>
        </w:tc>
        <w:tc>
          <w:tcPr>
            <w:tcW w:w="80" w:type="dxa"/>
            <w:vAlign w:val="bottom"/>
            <w:tcBorders>
              <w:right w:val="single" w:sz="8" w:color="CFF0FC"/>
            </w:tcBorders>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4960" w:type="dxa"/>
            <w:vAlign w:val="bottom"/>
          </w:tcPr>
          <w:p>
            <w:pPr>
              <w:ind w:left="220"/>
              <w:spacing w:after="0"/>
              <w:rPr>
                <w:sz w:val="20"/>
                <w:szCs w:val="20"/>
                <w:color w:val="auto"/>
              </w:rPr>
            </w:pPr>
            <w:r>
              <w:rPr>
                <w:rFonts w:ascii="Arial" w:cs="Arial" w:eastAsia="Arial" w:hAnsi="Arial"/>
                <w:sz w:val="15"/>
                <w:szCs w:val="15"/>
                <w:color w:val="auto"/>
              </w:rPr>
              <w:t>Write-offs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(3,905)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Provision</w:t>
            </w: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9,991</w:t>
            </w:r>
          </w:p>
        </w:tc>
        <w:tc>
          <w:tcPr>
            <w:tcW w:w="80" w:type="dxa"/>
            <w:vAlign w:val="bottom"/>
            <w:tcBorders>
              <w:right w:val="single" w:sz="8" w:color="CFF0FC"/>
            </w:tcBorders>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5"/>
                <w:szCs w:val="15"/>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Balance as of December 31, 2019</w:t>
            </w:r>
          </w:p>
        </w:tc>
        <w:tc>
          <w:tcPr>
            <w:tcW w:w="4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10,494</w:t>
            </w:r>
          </w:p>
        </w:tc>
        <w:tc>
          <w:tcPr>
            <w:tcW w:w="80" w:type="dxa"/>
            <w:vAlign w:val="bottom"/>
            <w:tcBorders>
              <w:bottom w:val="single" w:sz="8" w:color="CFF0FC"/>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80" w:type="dxa"/>
            <w:vAlign w:val="bottom"/>
          </w:tcPr>
          <w:p>
            <w:pPr>
              <w:spacing w:after="0"/>
              <w:rPr>
                <w:sz w:val="16"/>
                <w:szCs w:val="16"/>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Write-offs</w:t>
            </w: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(1,152)</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496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Provision</w:t>
            </w:r>
          </w:p>
        </w:tc>
        <w:tc>
          <w:tcPr>
            <w:tcW w:w="44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92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1,547</w:t>
            </w:r>
          </w:p>
        </w:tc>
        <w:tc>
          <w:tcPr>
            <w:tcW w:w="80" w:type="dxa"/>
            <w:vAlign w:val="bottom"/>
            <w:tcBorders>
              <w:bottom w:val="single" w:sz="8" w:color="CFF0FC"/>
            </w:tcBorders>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80" w:type="dxa"/>
            <w:vAlign w:val="bottom"/>
          </w:tcPr>
          <w:p>
            <w:pPr>
              <w:spacing w:after="0"/>
              <w:rPr>
                <w:sz w:val="16"/>
                <w:szCs w:val="16"/>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Balance as of March 31, 2020</w:t>
            </w: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10,889</w:t>
            </w:r>
          </w:p>
        </w:tc>
        <w:tc>
          <w:tcPr>
            <w:tcW w:w="80" w:type="dxa"/>
            <w:vAlign w:val="bottom"/>
            <w:tcBorders>
              <w:right w:val="single" w:sz="8" w:color="CFF0FC"/>
            </w:tcBorders>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5"/>
                <w:szCs w:val="15"/>
                <w:color w:val="auto"/>
              </w:rPr>
            </w:pPr>
          </w:p>
        </w:tc>
        <w:tc>
          <w:tcPr>
            <w:tcW w:w="4960" w:type="dxa"/>
            <w:vAlign w:val="bottom"/>
          </w:tcPr>
          <w:p>
            <w:pPr>
              <w:ind w:left="220"/>
              <w:spacing w:after="0"/>
              <w:rPr>
                <w:sz w:val="20"/>
                <w:szCs w:val="20"/>
                <w:color w:val="auto"/>
              </w:rPr>
            </w:pPr>
            <w:r>
              <w:rPr>
                <w:rFonts w:ascii="Arial" w:cs="Arial" w:eastAsia="Arial" w:hAnsi="Arial"/>
                <w:sz w:val="15"/>
                <w:szCs w:val="15"/>
                <w:color w:val="auto"/>
              </w:rPr>
              <w:t>Write-offs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(481)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Provision</w:t>
            </w: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3,869</w:t>
            </w:r>
          </w:p>
        </w:tc>
        <w:tc>
          <w:tcPr>
            <w:tcW w:w="80" w:type="dxa"/>
            <w:vAlign w:val="bottom"/>
            <w:tcBorders>
              <w:right w:val="single" w:sz="8" w:color="CFF0FC"/>
            </w:tcBorders>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5"/>
                <w:szCs w:val="15"/>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Balance as of June 30, 2020</w:t>
            </w:r>
          </w:p>
        </w:tc>
        <w:tc>
          <w:tcPr>
            <w:tcW w:w="4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14,277</w:t>
            </w:r>
          </w:p>
        </w:tc>
        <w:tc>
          <w:tcPr>
            <w:tcW w:w="80" w:type="dxa"/>
            <w:vAlign w:val="bottom"/>
            <w:tcBorders>
              <w:bottom w:val="single" w:sz="8" w:color="CFF0FC"/>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80" w:type="dxa"/>
            <w:vAlign w:val="bottom"/>
          </w:tcPr>
          <w:p>
            <w:pPr>
              <w:spacing w:after="0"/>
              <w:rPr>
                <w:sz w:val="16"/>
                <w:szCs w:val="16"/>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Write-offs</w:t>
            </w: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(2,170)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496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Provision</w:t>
            </w:r>
          </w:p>
        </w:tc>
        <w:tc>
          <w:tcPr>
            <w:tcW w:w="44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92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3,034</w:t>
            </w:r>
          </w:p>
        </w:tc>
        <w:tc>
          <w:tcPr>
            <w:tcW w:w="80" w:type="dxa"/>
            <w:vAlign w:val="bottom"/>
            <w:tcBorders>
              <w:bottom w:val="single" w:sz="8" w:color="CFF0FC"/>
            </w:tcBorders>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Balance as of September 30, 2020</w:t>
            </w:r>
          </w:p>
        </w:tc>
        <w:tc>
          <w:tcPr>
            <w:tcW w:w="4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15,141</w:t>
            </w:r>
          </w:p>
        </w:tc>
        <w:tc>
          <w:tcPr>
            <w:tcW w:w="80" w:type="dxa"/>
            <w:vAlign w:val="bottom"/>
            <w:tcBorders>
              <w:bottom w:val="single" w:sz="8" w:color="CFF0FC"/>
              <w:right w:val="single" w:sz="8" w:color="CFF0FC"/>
            </w:tcBorders>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6. SELECT BALANCE SHEET AND STATEMENT OF OPERATIONS INFORMATION</w:t>
            </w: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66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640" w:type="dxa"/>
            <w:vAlign w:val="bottom"/>
            <w:gridSpan w:val="2"/>
          </w:tcPr>
          <w:p>
            <w:pPr>
              <w:ind w:left="360"/>
              <w:spacing w:after="0"/>
              <w:rPr>
                <w:sz w:val="20"/>
                <w:szCs w:val="20"/>
                <w:color w:val="auto"/>
              </w:rPr>
            </w:pPr>
            <w:r>
              <w:rPr>
                <w:rFonts w:ascii="Arial" w:cs="Arial" w:eastAsia="Arial" w:hAnsi="Arial"/>
                <w:sz w:val="15"/>
                <w:szCs w:val="15"/>
                <w:b w:val="1"/>
                <w:bCs w:val="1"/>
                <w:i w:val="1"/>
                <w:iCs w:val="1"/>
                <w:color w:val="auto"/>
              </w:rPr>
              <w:t>Inventory</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640" w:type="dxa"/>
            <w:vAlign w:val="bottom"/>
            <w:gridSpan w:val="2"/>
          </w:tcPr>
          <w:p>
            <w:pPr>
              <w:ind w:left="360"/>
              <w:spacing w:after="0"/>
              <w:rPr>
                <w:sz w:val="20"/>
                <w:szCs w:val="20"/>
                <w:color w:val="auto"/>
              </w:rPr>
            </w:pPr>
            <w:r>
              <w:rPr>
                <w:rFonts w:ascii="Arial" w:cs="Arial" w:eastAsia="Arial" w:hAnsi="Arial"/>
                <w:sz w:val="15"/>
                <w:szCs w:val="15"/>
                <w:color w:val="auto"/>
              </w:rPr>
              <w:t>Inventory consists of the following:</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6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0"/>
              </w:rPr>
              <w:t>September 30,</w:t>
            </w:r>
          </w:p>
        </w:tc>
        <w:tc>
          <w:tcPr>
            <w:tcW w:w="14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4"/>
              </w:rPr>
              <w:t>December 31,</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496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Raw materials</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678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877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40" w:type="dxa"/>
            <w:vAlign w:val="bottom"/>
            <w:gridSpan w:val="2"/>
          </w:tcPr>
          <w:p>
            <w:pPr>
              <w:ind w:left="1680"/>
              <w:spacing w:after="0"/>
              <w:rPr>
                <w:sz w:val="20"/>
                <w:szCs w:val="20"/>
                <w:color w:val="auto"/>
              </w:rPr>
            </w:pPr>
            <w:r>
              <w:rPr>
                <w:rFonts w:ascii="Arial" w:cs="Arial" w:eastAsia="Arial" w:hAnsi="Arial"/>
                <w:sz w:val="15"/>
                <w:szCs w:val="15"/>
                <w:color w:val="auto"/>
              </w:rPr>
              <w:t>Work-in-progress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789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2,067</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Finished goods</w:t>
            </w:r>
          </w:p>
        </w:tc>
        <w:tc>
          <w:tcPr>
            <w:tcW w:w="4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rPr>
              <w:t>18,026</w:t>
            </w:r>
          </w:p>
        </w:tc>
        <w:tc>
          <w:tcPr>
            <w:tcW w:w="18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15,900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4960" w:type="dxa"/>
            <w:vAlign w:val="bottom"/>
          </w:tcPr>
          <w:p>
            <w:pPr>
              <w:ind w:left="100"/>
              <w:spacing w:after="0"/>
              <w:rPr>
                <w:sz w:val="20"/>
                <w:szCs w:val="20"/>
                <w:color w:val="auto"/>
              </w:rPr>
            </w:pPr>
            <w:r>
              <w:rPr>
                <w:rFonts w:ascii="Arial" w:cs="Arial" w:eastAsia="Arial" w:hAnsi="Arial"/>
                <w:sz w:val="15"/>
                <w:szCs w:val="15"/>
                <w:color w:val="auto"/>
              </w:rPr>
              <w:t>Total inventory</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19,493</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18,844</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5540"/>
              <w:spacing w:after="0"/>
              <w:rPr>
                <w:sz w:val="20"/>
                <w:szCs w:val="20"/>
                <w:color w:val="auto"/>
              </w:rPr>
            </w:pPr>
            <w:r>
              <w:rPr>
                <w:rFonts w:ascii="Arial" w:cs="Arial" w:eastAsia="Arial" w:hAnsi="Arial"/>
                <w:sz w:val="15"/>
                <w:szCs w:val="15"/>
                <w:color w:val="auto"/>
              </w:rPr>
              <w:t>15</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6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9A9A9A"/>
            </w:tcBorders>
          </w:tcPr>
          <w:p>
            <w:pPr>
              <w:spacing w:after="0"/>
              <w:rPr>
                <w:sz w:val="8"/>
                <w:szCs w:val="8"/>
                <w:color w:val="auto"/>
              </w:rPr>
            </w:pPr>
          </w:p>
        </w:tc>
        <w:tc>
          <w:tcPr>
            <w:tcW w:w="49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492" w:right="299" w:bottom="1440" w:gutter="0" w:footer="0" w:header="0"/>
        </w:sectPr>
      </w:pPr>
    </w:p>
    <w:bookmarkStart w:id="16" w:name="page17"/>
    <w:bookmarkEnd w:id="16"/>
    <w:p>
      <w:pPr>
        <w:ind w:left="360" w:right="140"/>
        <w:spacing w:after="0" w:line="261" w:lineRule="auto"/>
        <w:rPr>
          <w:sz w:val="20"/>
          <w:szCs w:val="20"/>
          <w:color w:val="auto"/>
        </w:rPr>
      </w:pPr>
      <w:r>
        <w:rPr>
          <w:rFonts w:ascii="Arial" w:cs="Arial" w:eastAsia="Arial" w:hAnsi="Arial"/>
          <w:sz w:val="15"/>
          <w:szCs w:val="15"/>
          <w:color w:val="auto"/>
        </w:rPr>
        <w:t>Additions to inventory are primarily comprised of newly produced units and applicators, refurbishment cost from demonstration units and used equipment which were reacquired during the nine months from upgraded sales. The Company expensed $6,149 and $13,352 in cost of goods sold in the three and nine months ended September 30, 2020, respectively ($5,829 and $17,142 in the three and nine months ended September 30, 2019, respectively). The balance of cost of goods sold represents the sale of applicators, parts and warranties.</w:t>
      </w:r>
    </w:p>
    <w:p>
      <w:pPr>
        <w:spacing w:after="0" w:line="158" w:lineRule="exact"/>
        <w:rPr>
          <w:sz w:val="20"/>
          <w:szCs w:val="20"/>
          <w:color w:val="auto"/>
        </w:rPr>
      </w:pPr>
    </w:p>
    <w:p>
      <w:pPr>
        <w:ind w:left="360" w:right="20"/>
        <w:spacing w:after="0" w:line="324" w:lineRule="auto"/>
        <w:rPr>
          <w:sz w:val="20"/>
          <w:szCs w:val="20"/>
          <w:color w:val="auto"/>
        </w:rPr>
      </w:pPr>
      <w:r>
        <w:rPr>
          <w:rFonts w:ascii="Arial" w:cs="Arial" w:eastAsia="Arial" w:hAnsi="Arial"/>
          <w:sz w:val="13"/>
          <w:szCs w:val="13"/>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September 30, 2020, a provision for obsolescence of $1,433 ($1,439 as of December 31, 2019) was taken against inventory.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Property and equipment, net consist of the following:</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Useful Lives</w:t>
            </w:r>
          </w:p>
        </w:tc>
        <w:tc>
          <w:tcPr>
            <w:tcW w:w="108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97"/>
              </w:rPr>
              <w:t>September 30,</w:t>
            </w:r>
          </w:p>
        </w:tc>
        <w:tc>
          <w:tcPr>
            <w:tcW w:w="12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2"/>
              </w:rPr>
              <w:t>December 31,</w:t>
            </w:r>
          </w:p>
        </w:tc>
      </w:tr>
      <w:tr>
        <w:trPr>
          <w:trHeight w:val="145"/>
        </w:trPr>
        <w:tc>
          <w:tcPr>
            <w:tcW w:w="4120" w:type="dxa"/>
            <w:vAlign w:val="bottom"/>
          </w:tcPr>
          <w:p>
            <w:pPr>
              <w:spacing w:after="0"/>
              <w:rPr>
                <w:sz w:val="12"/>
                <w:szCs w:val="12"/>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(in years)</w:t>
            </w:r>
          </w:p>
        </w:tc>
        <w:tc>
          <w:tcPr>
            <w:tcW w:w="200" w:type="dxa"/>
            <w:vAlign w:val="bottom"/>
          </w:tcPr>
          <w:p>
            <w:pPr>
              <w:spacing w:after="0"/>
              <w:rPr>
                <w:sz w:val="12"/>
                <w:szCs w:val="12"/>
                <w:color w:val="auto"/>
              </w:rPr>
            </w:pPr>
          </w:p>
        </w:tc>
        <w:tc>
          <w:tcPr>
            <w:tcW w:w="700" w:type="dxa"/>
            <w:vAlign w:val="bottom"/>
          </w:tcPr>
          <w:p>
            <w:pPr>
              <w:jc w:val="right"/>
              <w:ind w:right="266"/>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27"/>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2"/>
                <w:szCs w:val="12"/>
                <w:color w:val="auto"/>
              </w:rPr>
            </w:pPr>
          </w:p>
        </w:tc>
      </w:tr>
      <w:tr>
        <w:trPr>
          <w:trHeight w:val="184"/>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Lab equipment tooling and molds</w:t>
            </w: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5"/>
                <w:szCs w:val="15"/>
                <w:color w:val="auto"/>
              </w:rPr>
              <w:t>4-10</w:t>
            </w: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8,050</w:t>
            </w:r>
          </w:p>
        </w:tc>
        <w:tc>
          <w:tcPr>
            <w:tcW w:w="1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7,872</w:t>
            </w:r>
          </w:p>
        </w:tc>
        <w:tc>
          <w:tcPr>
            <w:tcW w:w="60" w:type="dxa"/>
            <w:vAlign w:val="bottom"/>
            <w:tcBorders>
              <w:top w:val="single" w:sz="8" w:color="CFF0FC"/>
            </w:tcBorders>
            <w:shd w:val="clear" w:color="auto" w:fill="CFF0FC"/>
          </w:tcPr>
          <w:p>
            <w:pPr>
              <w:spacing w:after="0"/>
              <w:rPr>
                <w:sz w:val="16"/>
                <w:szCs w:val="16"/>
                <w:color w:val="auto"/>
              </w:rPr>
            </w:pPr>
          </w:p>
        </w:tc>
      </w:tr>
      <w:tr>
        <w:trPr>
          <w:trHeight w:val="192"/>
        </w:trPr>
        <w:tc>
          <w:tcPr>
            <w:tcW w:w="4120" w:type="dxa"/>
            <w:vAlign w:val="bottom"/>
          </w:tcPr>
          <w:p>
            <w:pPr>
              <w:spacing w:after="0"/>
              <w:rPr>
                <w:sz w:val="20"/>
                <w:szCs w:val="20"/>
                <w:color w:val="auto"/>
              </w:rPr>
            </w:pPr>
            <w:r>
              <w:rPr>
                <w:rFonts w:ascii="Arial" w:cs="Arial" w:eastAsia="Arial" w:hAnsi="Arial"/>
                <w:sz w:val="15"/>
                <w:szCs w:val="15"/>
                <w:color w:val="auto"/>
              </w:rPr>
              <w:t>Office furniture and equipment</w:t>
            </w:r>
          </w:p>
        </w:tc>
        <w:tc>
          <w:tcPr>
            <w:tcW w:w="1460" w:type="dxa"/>
            <w:vAlign w:val="bottom"/>
          </w:tcPr>
          <w:p>
            <w:pPr>
              <w:jc w:val="center"/>
              <w:spacing w:after="0"/>
              <w:rPr>
                <w:sz w:val="20"/>
                <w:szCs w:val="20"/>
                <w:color w:val="auto"/>
              </w:rPr>
            </w:pPr>
            <w:r>
              <w:rPr>
                <w:rFonts w:ascii="Arial" w:cs="Arial" w:eastAsia="Arial" w:hAnsi="Arial"/>
                <w:sz w:val="15"/>
                <w:szCs w:val="15"/>
                <w:color w:val="auto"/>
              </w:rPr>
              <w:t>6-10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1,710</w:t>
            </w:r>
          </w:p>
        </w:tc>
        <w:tc>
          <w:tcPr>
            <w:tcW w:w="60" w:type="dxa"/>
            <w:vAlign w:val="bottom"/>
          </w:tcPr>
          <w:p>
            <w:pPr>
              <w:spacing w:after="0"/>
              <w:rPr>
                <w:sz w:val="16"/>
                <w:szCs w:val="16"/>
                <w:color w:val="auto"/>
              </w:rPr>
            </w:pPr>
          </w:p>
        </w:tc>
      </w:tr>
      <w:tr>
        <w:trPr>
          <w:trHeight w:val="194"/>
        </w:trPr>
        <w:tc>
          <w:tcPr>
            <w:tcW w:w="4120" w:type="dxa"/>
            <w:vAlign w:val="bottom"/>
            <w:shd w:val="clear" w:color="auto" w:fill="CFF0FC"/>
          </w:tcPr>
          <w:p>
            <w:pPr>
              <w:spacing w:after="0"/>
              <w:rPr>
                <w:sz w:val="20"/>
                <w:szCs w:val="20"/>
                <w:color w:val="auto"/>
              </w:rPr>
            </w:pPr>
            <w:r>
              <w:rPr>
                <w:rFonts w:ascii="Arial" w:cs="Arial" w:eastAsia="Arial" w:hAnsi="Arial"/>
                <w:sz w:val="15"/>
                <w:szCs w:val="15"/>
                <w:color w:val="auto"/>
              </w:rPr>
              <w:t>Leasehold improvements</w:t>
            </w:r>
          </w:p>
        </w:tc>
        <w:tc>
          <w:tcPr>
            <w:tcW w:w="158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88"/>
              </w:rPr>
              <w:t>up to 10</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1,725</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1,950</w:t>
            </w:r>
          </w:p>
        </w:tc>
        <w:tc>
          <w:tcPr>
            <w:tcW w:w="60" w:type="dxa"/>
            <w:vAlign w:val="bottom"/>
            <w:shd w:val="clear" w:color="auto" w:fill="CFF0FC"/>
          </w:tcPr>
          <w:p>
            <w:pPr>
              <w:spacing w:after="0"/>
              <w:rPr>
                <w:sz w:val="16"/>
                <w:szCs w:val="16"/>
                <w:color w:val="auto"/>
              </w:rPr>
            </w:pPr>
          </w:p>
        </w:tc>
      </w:tr>
      <w:tr>
        <w:trPr>
          <w:trHeight w:val="192"/>
        </w:trPr>
        <w:tc>
          <w:tcPr>
            <w:tcW w:w="4120" w:type="dxa"/>
            <w:vAlign w:val="bottom"/>
          </w:tcPr>
          <w:p>
            <w:pPr>
              <w:spacing w:after="0"/>
              <w:rPr>
                <w:sz w:val="20"/>
                <w:szCs w:val="20"/>
                <w:color w:val="auto"/>
              </w:rPr>
            </w:pPr>
            <w:r>
              <w:rPr>
                <w:rFonts w:ascii="Arial" w:cs="Arial" w:eastAsia="Arial" w:hAnsi="Arial"/>
                <w:sz w:val="15"/>
                <w:szCs w:val="15"/>
                <w:color w:val="auto"/>
              </w:rPr>
              <w:t>Computers and software</w:t>
            </w:r>
          </w:p>
        </w:tc>
        <w:tc>
          <w:tcPr>
            <w:tcW w:w="146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1,786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1,811</w:t>
            </w:r>
          </w:p>
        </w:tc>
        <w:tc>
          <w:tcPr>
            <w:tcW w:w="60" w:type="dxa"/>
            <w:vAlign w:val="bottom"/>
          </w:tcPr>
          <w:p>
            <w:pPr>
              <w:spacing w:after="0"/>
              <w:rPr>
                <w:sz w:val="16"/>
                <w:szCs w:val="16"/>
                <w:color w:val="auto"/>
              </w:rPr>
            </w:pPr>
          </w:p>
        </w:tc>
      </w:tr>
      <w:tr>
        <w:trPr>
          <w:trHeight w:val="194"/>
        </w:trPr>
        <w:tc>
          <w:tcPr>
            <w:tcW w:w="4120" w:type="dxa"/>
            <w:vAlign w:val="bottom"/>
            <w:shd w:val="clear" w:color="auto" w:fill="CFF0FC"/>
          </w:tcPr>
          <w:p>
            <w:pPr>
              <w:spacing w:after="0"/>
              <w:rPr>
                <w:sz w:val="20"/>
                <w:szCs w:val="20"/>
                <w:color w:val="auto"/>
              </w:rPr>
            </w:pPr>
            <w:r>
              <w:rPr>
                <w:rFonts w:ascii="Arial" w:cs="Arial" w:eastAsia="Arial" w:hAnsi="Arial"/>
                <w:sz w:val="15"/>
                <w:szCs w:val="15"/>
                <w:color w:val="auto"/>
              </w:rPr>
              <w:t>Vehicles</w:t>
            </w:r>
          </w:p>
        </w:tc>
        <w:tc>
          <w:tcPr>
            <w:tcW w:w="14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3"/>
              </w:rPr>
              <w:t>5 - 7</w:t>
            </w:r>
          </w:p>
        </w:tc>
        <w:tc>
          <w:tcPr>
            <w:tcW w:w="1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8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w:t>
            </w:r>
          </w:p>
        </w:tc>
        <w:tc>
          <w:tcPr>
            <w:tcW w:w="60" w:type="dxa"/>
            <w:vAlign w:val="bottom"/>
            <w:shd w:val="clear" w:color="auto" w:fill="CFF0FC"/>
          </w:tcPr>
          <w:p>
            <w:pPr>
              <w:spacing w:after="0"/>
              <w:rPr>
                <w:sz w:val="16"/>
                <w:szCs w:val="16"/>
                <w:color w:val="auto"/>
              </w:rPr>
            </w:pPr>
          </w:p>
        </w:tc>
      </w:tr>
      <w:tr>
        <w:trPr>
          <w:trHeight w:val="184"/>
        </w:trPr>
        <w:tc>
          <w:tcPr>
            <w:tcW w:w="4120" w:type="dxa"/>
            <w:vAlign w:val="bottom"/>
            <w:tcBorders>
              <w:bottom w:val="single" w:sz="8" w:color="CFF0FC"/>
            </w:tcBorders>
          </w:tcPr>
          <w:p>
            <w:pPr>
              <w:ind w:left="100"/>
              <w:spacing w:after="0"/>
              <w:rPr>
                <w:sz w:val="20"/>
                <w:szCs w:val="20"/>
                <w:color w:val="auto"/>
              </w:rPr>
            </w:pPr>
            <w:r>
              <w:rPr>
                <w:rFonts w:ascii="Arial" w:cs="Arial" w:eastAsia="Arial" w:hAnsi="Arial"/>
                <w:sz w:val="15"/>
                <w:szCs w:val="15"/>
                <w:color w:val="auto"/>
              </w:rPr>
              <w:t>Total property and equipment</w:t>
            </w:r>
          </w:p>
        </w:tc>
        <w:tc>
          <w:tcPr>
            <w:tcW w:w="14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13,287</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13,359</w:t>
            </w:r>
          </w:p>
        </w:tc>
        <w:tc>
          <w:tcPr>
            <w:tcW w:w="60" w:type="dxa"/>
            <w:vAlign w:val="bottom"/>
            <w:tcBorders>
              <w:bottom w:val="single" w:sz="8" w:color="CFF0FC"/>
            </w:tcBorders>
          </w:tcPr>
          <w:p>
            <w:pPr>
              <w:spacing w:after="0"/>
              <w:rPr>
                <w:sz w:val="15"/>
                <w:szCs w:val="15"/>
                <w:color w:val="auto"/>
              </w:rPr>
            </w:pPr>
          </w:p>
        </w:tc>
      </w:tr>
      <w:tr>
        <w:trPr>
          <w:trHeight w:val="185"/>
        </w:trPr>
        <w:tc>
          <w:tcPr>
            <w:tcW w:w="4120" w:type="dxa"/>
            <w:vAlign w:val="bottom"/>
            <w:shd w:val="clear" w:color="auto" w:fill="CFF0FC"/>
          </w:tcPr>
          <w:p>
            <w:pPr>
              <w:spacing w:after="0"/>
              <w:rPr>
                <w:sz w:val="20"/>
                <w:szCs w:val="20"/>
                <w:color w:val="auto"/>
              </w:rPr>
            </w:pPr>
            <w:r>
              <w:rPr>
                <w:rFonts w:ascii="Arial" w:cs="Arial" w:eastAsia="Arial" w:hAnsi="Arial"/>
                <w:sz w:val="15"/>
                <w:szCs w:val="15"/>
                <w:color w:val="auto"/>
              </w:rPr>
              <w:t>Less: Accumulated depreciation</w:t>
            </w: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(9,560)</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(8,711)</w:t>
            </w:r>
          </w:p>
        </w:tc>
      </w:tr>
      <w:tr>
        <w:trPr>
          <w:trHeight w:val="184"/>
        </w:trPr>
        <w:tc>
          <w:tcPr>
            <w:tcW w:w="4120" w:type="dxa"/>
            <w:vAlign w:val="bottom"/>
          </w:tcPr>
          <w:p>
            <w:pPr>
              <w:ind w:left="100"/>
              <w:spacing w:after="0"/>
              <w:rPr>
                <w:sz w:val="20"/>
                <w:szCs w:val="20"/>
                <w:color w:val="auto"/>
              </w:rPr>
            </w:pPr>
            <w:r>
              <w:rPr>
                <w:rFonts w:ascii="Arial" w:cs="Arial" w:eastAsia="Arial" w:hAnsi="Arial"/>
                <w:sz w:val="15"/>
                <w:szCs w:val="15"/>
                <w:color w:val="auto"/>
              </w:rPr>
              <w:t>Total property and equipment, net</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3,727</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4,648</w:t>
            </w:r>
          </w:p>
        </w:tc>
        <w:tc>
          <w:tcPr>
            <w:tcW w:w="60" w:type="dxa"/>
            <w:vAlign w:val="bottom"/>
          </w:tcPr>
          <w:p>
            <w:pPr>
              <w:spacing w:after="0"/>
              <w:rPr>
                <w:sz w:val="15"/>
                <w:szCs w:val="15"/>
                <w:color w:val="auto"/>
              </w:rPr>
            </w:pP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right="20"/>
        <w:spacing w:after="0" w:line="278" w:lineRule="auto"/>
        <w:rPr>
          <w:sz w:val="20"/>
          <w:szCs w:val="20"/>
          <w:color w:val="auto"/>
        </w:rPr>
      </w:pPr>
      <w:r>
        <w:rPr>
          <w:rFonts w:ascii="Arial" w:cs="Arial" w:eastAsia="Arial" w:hAnsi="Arial"/>
          <w:sz w:val="15"/>
          <w:szCs w:val="15"/>
          <w:color w:val="auto"/>
        </w:rPr>
        <w:t>Depreciation expense was $318 and $195 for the three months ended September 30, 2020 and 2019, respectively. Depreciation expense was $1,095 and $663 for the nine months ended September 30, 2020 and 2019, respectively.</w:t>
      </w:r>
    </w:p>
    <w:p>
      <w:pPr>
        <w:spacing w:after="0" w:line="32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Other Current Assets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w:t>
            </w:r>
          </w:p>
        </w:tc>
      </w:tr>
      <w:tr>
        <w:trPr>
          <w:trHeight w:val="145"/>
        </w:trPr>
        <w:tc>
          <w:tcPr>
            <w:tcW w:w="3700" w:type="dxa"/>
            <w:vAlign w:val="bottom"/>
            <w:tcBorders>
              <w:bottom w:val="single" w:sz="8" w:color="CFF0FC"/>
            </w:tcBorders>
          </w:tcPr>
          <w:p>
            <w:pPr>
              <w:spacing w:after="0"/>
              <w:rPr>
                <w:sz w:val="12"/>
                <w:szCs w:val="12"/>
                <w:color w:val="auto"/>
              </w:rPr>
            </w:pPr>
          </w:p>
        </w:tc>
        <w:tc>
          <w:tcPr>
            <w:tcW w:w="17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2019</w:t>
            </w:r>
          </w:p>
        </w:tc>
        <w:tc>
          <w:tcPr>
            <w:tcW w:w="60" w:type="dxa"/>
            <w:vAlign w:val="bottom"/>
            <w:tcBorders>
              <w:bottom w:val="single" w:sz="8" w:color="CFF0FC"/>
            </w:tcBorders>
          </w:tcPr>
          <w:p>
            <w:pPr>
              <w:spacing w:after="0"/>
              <w:rPr>
                <w:sz w:val="12"/>
                <w:szCs w:val="12"/>
                <w:color w:val="auto"/>
              </w:rPr>
            </w:pPr>
          </w:p>
        </w:tc>
      </w:tr>
      <w:tr>
        <w:trPr>
          <w:trHeight w:val="184"/>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Government remittances </w:t>
            </w:r>
            <w:r>
              <w:rPr>
                <w:rFonts w:ascii="Arial" w:cs="Arial" w:eastAsia="Arial" w:hAnsi="Arial"/>
                <w:sz w:val="12"/>
                <w:szCs w:val="12"/>
                <w:color w:val="auto"/>
              </w:rPr>
              <w:t>(1)</w:t>
            </w: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1,704</w:t>
            </w:r>
          </w:p>
        </w:tc>
        <w:tc>
          <w:tcPr>
            <w:tcW w:w="60" w:type="dxa"/>
            <w:vAlign w:val="bottom"/>
            <w:shd w:val="clear" w:color="auto" w:fill="CFF0FC"/>
          </w:tcPr>
          <w:p>
            <w:pPr>
              <w:spacing w:after="0"/>
              <w:rPr>
                <w:sz w:val="16"/>
                <w:szCs w:val="16"/>
                <w:color w:val="auto"/>
              </w:rPr>
            </w:pPr>
          </w:p>
        </w:tc>
      </w:tr>
      <w:tr>
        <w:trPr>
          <w:trHeight w:val="192"/>
        </w:trPr>
        <w:tc>
          <w:tcPr>
            <w:tcW w:w="37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Sundry assets and miscellaneous</w:t>
            </w:r>
          </w:p>
        </w:tc>
        <w:tc>
          <w:tcPr>
            <w:tcW w:w="17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1,993</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1,397</w:t>
            </w:r>
          </w:p>
        </w:tc>
        <w:tc>
          <w:tcPr>
            <w:tcW w:w="60" w:type="dxa"/>
            <w:vAlign w:val="bottom"/>
            <w:tcBorders>
              <w:bottom w:val="single" w:sz="8" w:color="CFF0FC"/>
            </w:tcBorders>
          </w:tcPr>
          <w:p>
            <w:pPr>
              <w:spacing w:after="0"/>
              <w:rPr>
                <w:sz w:val="16"/>
                <w:szCs w:val="16"/>
                <w:color w:val="auto"/>
              </w:rPr>
            </w:pPr>
          </w:p>
        </w:tc>
      </w:tr>
      <w:tr>
        <w:trPr>
          <w:trHeight w:val="184"/>
        </w:trPr>
        <w:tc>
          <w:tcPr>
            <w:tcW w:w="37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other current assets</w:t>
            </w: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4,106</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3,101</w:t>
            </w:r>
          </w:p>
        </w:tc>
        <w:tc>
          <w:tcPr>
            <w:tcW w:w="60" w:type="dxa"/>
            <w:vAlign w:val="bottom"/>
            <w:shd w:val="clear" w:color="auto" w:fill="CFF0FC"/>
          </w:tcPr>
          <w:p>
            <w:pPr>
              <w:spacing w:after="0"/>
              <w:rPr>
                <w:sz w:val="16"/>
                <w:szCs w:val="16"/>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71" w:lineRule="exact"/>
        <w:rPr>
          <w:sz w:val="20"/>
          <w:szCs w:val="20"/>
          <w:color w:val="auto"/>
        </w:rPr>
      </w:pPr>
    </w:p>
    <w:p>
      <w:pPr>
        <w:ind w:left="1080" w:hanging="714"/>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Government remittances are receivables from the local tax authorities for refunds of sales taxes and income taxes.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Accrued Expenses and Other Current Liabilities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1040" w:type="dxa"/>
            <w:vAlign w:val="bottom"/>
          </w:tcPr>
          <w:p>
            <w:pPr>
              <w:jc w:val="right"/>
              <w:ind w:right="209"/>
              <w:spacing w:after="0"/>
              <w:rPr>
                <w:sz w:val="20"/>
                <w:szCs w:val="20"/>
                <w:color w:val="auto"/>
              </w:rPr>
            </w:pPr>
            <w:r>
              <w:rPr>
                <w:rFonts w:ascii="Arial" w:cs="Arial" w:eastAsia="Arial" w:hAnsi="Arial"/>
                <w:sz w:val="12"/>
                <w:szCs w:val="12"/>
                <w:b w:val="1"/>
                <w:bCs w:val="1"/>
                <w:color w:val="auto"/>
                <w:w w:val="94"/>
              </w:rPr>
              <w:t>December 31,</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3520" w:type="dxa"/>
            <w:vAlign w:val="bottom"/>
            <w:tcBorders>
              <w:bottom w:val="single" w:sz="8" w:color="CFF0FC"/>
            </w:tcBorders>
          </w:tcPr>
          <w:p>
            <w:pPr>
              <w:spacing w:after="0"/>
              <w:rPr>
                <w:sz w:val="12"/>
                <w:szCs w:val="12"/>
                <w:color w:val="auto"/>
              </w:rPr>
            </w:pPr>
          </w:p>
        </w:tc>
        <w:tc>
          <w:tcPr>
            <w:tcW w:w="18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2019</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5"/>
                <w:szCs w:val="15"/>
                <w:color w:val="auto"/>
              </w:rPr>
              <w:t>Payroll and related expense</w:t>
            </w: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5"/>
                <w:szCs w:val="15"/>
                <w:color w:val="auto"/>
              </w:rPr>
              <w:t>3,117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gridSpan w:val="2"/>
          </w:tcPr>
          <w:p>
            <w:pPr>
              <w:ind w:left="1680"/>
              <w:spacing w:after="0"/>
              <w:rPr>
                <w:sz w:val="20"/>
                <w:szCs w:val="20"/>
                <w:color w:val="auto"/>
              </w:rPr>
            </w:pPr>
            <w:r>
              <w:rPr>
                <w:rFonts w:ascii="Arial" w:cs="Arial" w:eastAsia="Arial" w:hAnsi="Arial"/>
                <w:sz w:val="15"/>
                <w:szCs w:val="15"/>
                <w:color w:val="auto"/>
              </w:rPr>
              <w:t>Accrued expenses</w:t>
            </w: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7,145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5"/>
                <w:szCs w:val="15"/>
                <w:color w:val="auto"/>
              </w:rPr>
              <w:t>10,645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5"/>
                <w:szCs w:val="15"/>
                <w:color w:val="auto"/>
              </w:rPr>
              <w:t>Commission accrual</w:t>
            </w:r>
          </w:p>
        </w:tc>
        <w:tc>
          <w:tcPr>
            <w:tcW w:w="1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2,519</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5"/>
                <w:szCs w:val="15"/>
                <w:color w:val="auto"/>
              </w:rPr>
              <w:t>4,215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35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Sales and consumption taxes</w:t>
            </w:r>
          </w:p>
        </w:tc>
        <w:tc>
          <w:tcPr>
            <w:tcW w:w="18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3,561</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3,143</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35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accrued expenses and other current liabilities</w:t>
            </w: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15,178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5"/>
                <w:szCs w:val="15"/>
                <w:color w:val="auto"/>
              </w:rPr>
              <w:t>21,120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52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bottom w:val="single" w:sz="8" w:color="CFF0FC"/>
            </w:tcBorders>
            <w:vMerge w:val="restart"/>
          </w:tcPr>
          <w:p>
            <w:pPr>
              <w:jc w:val="right"/>
              <w:ind w:right="1304"/>
              <w:spacing w:after="0"/>
              <w:rPr>
                <w:sz w:val="20"/>
                <w:szCs w:val="20"/>
                <w:color w:val="auto"/>
              </w:rPr>
            </w:pPr>
            <w:r>
              <w:rPr>
                <w:rFonts w:ascii="Arial" w:cs="Arial" w:eastAsia="Arial" w:hAnsi="Arial"/>
                <w:sz w:val="15"/>
                <w:szCs w:val="15"/>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492" w:right="299" w:bottom="1440" w:gutter="0" w:footer="0" w:header="0"/>
        </w:sectPr>
      </w:pPr>
    </w:p>
    <w:bookmarkStart w:id="17" w:name="page18"/>
    <w:bookmarkEnd w:id="17"/>
    <w:p>
      <w:pPr>
        <w:ind w:left="360"/>
        <w:spacing w:after="0"/>
        <w:rPr>
          <w:sz w:val="20"/>
          <w:szCs w:val="20"/>
          <w:color w:val="auto"/>
        </w:rPr>
      </w:pPr>
      <w:r>
        <w:rPr>
          <w:rFonts w:ascii="Arial" w:cs="Arial" w:eastAsia="Arial" w:hAnsi="Arial"/>
          <w:sz w:val="15"/>
          <w:szCs w:val="15"/>
          <w:b w:val="1"/>
          <w:bCs w:val="1"/>
          <w:i w:val="1"/>
          <w:iCs w:val="1"/>
          <w:color w:val="auto"/>
        </w:rPr>
        <w:t>Warranty Accrual</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provides the details of the change in the Company’s warranty accrual:</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5"/>
          </w:tcPr>
          <w:p>
            <w:pPr>
              <w:jc w:val="right"/>
              <w:ind w:right="240"/>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406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Balance as of the beginning of the year</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center"/>
              <w:ind w:right="134"/>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1,977</w:t>
            </w:r>
          </w:p>
        </w:tc>
        <w:tc>
          <w:tcPr>
            <w:tcW w:w="4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1,336</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80" w:type="dxa"/>
            <w:vAlign w:val="bottom"/>
            <w:gridSpan w:val="2"/>
          </w:tcPr>
          <w:p>
            <w:pPr>
              <w:ind w:left="1320"/>
              <w:spacing w:after="0"/>
              <w:rPr>
                <w:sz w:val="20"/>
                <w:szCs w:val="20"/>
                <w:color w:val="auto"/>
              </w:rPr>
            </w:pPr>
            <w:r>
              <w:rPr>
                <w:rFonts w:ascii="Arial" w:cs="Arial" w:eastAsia="Arial" w:hAnsi="Arial"/>
                <w:sz w:val="15"/>
                <w:szCs w:val="15"/>
                <w:color w:val="auto"/>
              </w:rPr>
              <w:t>Warranties assumed through business combination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273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Warranties issued during the year</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485</w:t>
            </w: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1,038</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5"/>
                <w:szCs w:val="15"/>
                <w:color w:val="auto"/>
              </w:rPr>
              <w:t>Warranty costs incurred during the year</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(738)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Balance at the end of the year</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64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460" w:type="dxa"/>
            <w:vAlign w:val="bottom"/>
            <w:tcBorders>
              <w:top w:val="single" w:sz="8" w:color="auto"/>
              <w:bottom w:val="single" w:sz="8" w:color="auto"/>
            </w:tcBorders>
            <w:shd w:val="clear" w:color="auto" w:fill="CFF0FC"/>
          </w:tcPr>
          <w:p>
            <w:pPr>
              <w:jc w:val="center"/>
              <w:ind w:right="314"/>
              <w:spacing w:after="0"/>
              <w:rPr>
                <w:sz w:val="20"/>
                <w:szCs w:val="20"/>
                <w:color w:val="auto"/>
              </w:rPr>
            </w:pPr>
            <w:r>
              <w:rPr>
                <w:rFonts w:ascii="Arial" w:cs="Arial" w:eastAsia="Arial" w:hAnsi="Arial"/>
                <w:sz w:val="15"/>
                <w:szCs w:val="15"/>
                <w:color w:val="auto"/>
                <w:w w:val="95"/>
              </w:rPr>
              <w:t>$</w:t>
            </w: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spacing w:after="0"/>
              <w:rPr>
                <w:sz w:val="16"/>
                <w:szCs w:val="16"/>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1,724</w:t>
            </w: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460" w:type="dxa"/>
            <w:vAlign w:val="bottom"/>
            <w:tcBorders>
              <w:top w:val="single" w:sz="8" w:color="auto"/>
              <w:bottom w:val="single" w:sz="8" w:color="auto"/>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0"/>
              </w:rPr>
              <w:t>1,977</w:t>
            </w:r>
          </w:p>
        </w:tc>
        <w:tc>
          <w:tcPr>
            <w:tcW w:w="20" w:type="dxa"/>
            <w:vAlign w:val="bottom"/>
            <w:tcBorders>
              <w:top w:val="single" w:sz="8" w:color="auto"/>
              <w:bottom w:val="single" w:sz="8" w:color="auto"/>
            </w:tcBorders>
            <w:shd w:val="clear" w:color="auto" w:fill="CFF0FC"/>
          </w:tcPr>
          <w:p>
            <w:pPr>
              <w:spacing w:after="0"/>
              <w:rPr>
                <w:sz w:val="16"/>
                <w:szCs w:val="16"/>
                <w:color w:val="auto"/>
              </w:rPr>
            </w:pP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1320"/>
              <w:spacing w:after="0"/>
              <w:rPr>
                <w:sz w:val="20"/>
                <w:szCs w:val="20"/>
                <w:color w:val="auto"/>
              </w:rPr>
            </w:pPr>
            <w:r>
              <w:rPr>
                <w:rFonts w:ascii="Arial" w:cs="Arial" w:eastAsia="Arial" w:hAnsi="Arial"/>
                <w:sz w:val="15"/>
                <w:szCs w:val="15"/>
                <w:color w:val="auto"/>
              </w:rPr>
              <w:t>Current</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67" w:lineRule="exact"/>
              <w:rPr>
                <w:sz w:val="20"/>
                <w:szCs w:val="20"/>
                <w:color w:val="auto"/>
              </w:rPr>
            </w:pPr>
            <w:r>
              <w:rPr>
                <w:rFonts w:ascii="Arial" w:cs="Arial" w:eastAsia="Arial" w:hAnsi="Arial"/>
                <w:sz w:val="15"/>
                <w:szCs w:val="15"/>
                <w:color w:val="auto"/>
                <w:w w:val="95"/>
              </w:rPr>
              <w:t>1,278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jc w:val="right"/>
              <w:spacing w:after="0" w:line="167" w:lineRule="exact"/>
              <w:rPr>
                <w:sz w:val="20"/>
                <w:szCs w:val="20"/>
                <w:color w:val="auto"/>
              </w:rPr>
            </w:pPr>
            <w:r>
              <w:rPr>
                <w:rFonts w:ascii="Arial" w:cs="Arial" w:eastAsia="Arial" w:hAnsi="Arial"/>
                <w:sz w:val="15"/>
                <w:szCs w:val="15"/>
                <w:color w:val="auto"/>
                <w:w w:val="90"/>
              </w:rPr>
              <w:t>1,254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Long-term</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446</w:t>
            </w: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723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4060" w:type="dxa"/>
            <w:vAlign w:val="bottom"/>
          </w:tcPr>
          <w:p>
            <w:pPr>
              <w:ind w:left="10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center"/>
              <w:ind w:right="134"/>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95"/>
              </w:rPr>
              <w:t>1,724</w:t>
            </w:r>
          </w:p>
        </w:tc>
        <w:tc>
          <w:tcPr>
            <w:tcW w:w="4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1,977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Finance Expenses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3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6"/>
            <w:vMerge w:val="restart"/>
          </w:tcPr>
          <w:p>
            <w:pPr>
              <w:jc w:val="center"/>
              <w:ind w:right="360"/>
              <w:spacing w:after="0"/>
              <w:rPr>
                <w:sz w:val="20"/>
                <w:szCs w:val="20"/>
                <w:color w:val="auto"/>
              </w:rPr>
            </w:pPr>
            <w:r>
              <w:rPr>
                <w:rFonts w:ascii="Arial" w:cs="Arial" w:eastAsia="Arial" w:hAnsi="Arial"/>
                <w:sz w:val="12"/>
                <w:szCs w:val="12"/>
                <w:b w:val="1"/>
                <w:bCs w:val="1"/>
                <w:color w:val="auto"/>
                <w:w w:val="93"/>
              </w:rPr>
              <w:t>Three Months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vMerge w:val="restart"/>
          </w:tcPr>
          <w:p>
            <w:pPr>
              <w:jc w:val="right"/>
              <w:ind w:right="139"/>
              <w:spacing w:after="0"/>
              <w:rPr>
                <w:sz w:val="20"/>
                <w:szCs w:val="20"/>
                <w:color w:val="auto"/>
              </w:rPr>
            </w:pPr>
            <w:r>
              <w:rPr>
                <w:rFonts w:ascii="Arial" w:cs="Arial" w:eastAsia="Arial" w:hAnsi="Arial"/>
                <w:sz w:val="12"/>
                <w:szCs w:val="12"/>
                <w:b w:val="1"/>
                <w:bCs w:val="1"/>
                <w:color w:val="auto"/>
                <w:w w:val="91"/>
              </w:rPr>
              <w:t>Nine Months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3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tcPr>
          <w:p>
            <w:pPr>
              <w:jc w:val="center"/>
              <w:ind w:right="340"/>
              <w:spacing w:after="0"/>
              <w:rPr>
                <w:sz w:val="20"/>
                <w:szCs w:val="20"/>
                <w:color w:val="auto"/>
              </w:rPr>
            </w:pPr>
            <w:r>
              <w:rPr>
                <w:rFonts w:ascii="Arial" w:cs="Arial" w:eastAsia="Arial" w:hAnsi="Arial"/>
                <w:sz w:val="12"/>
                <w:szCs w:val="12"/>
                <w:b w:val="1"/>
                <w:bCs w:val="1"/>
                <w:color w:val="auto"/>
                <w:w w:val="90"/>
              </w:rPr>
              <w:t>Ended September 30</w:t>
            </w:r>
          </w:p>
        </w:tc>
        <w:tc>
          <w:tcPr>
            <w:tcW w:w="100" w:type="dxa"/>
            <w:vAlign w:val="bottom"/>
          </w:tcPr>
          <w:p>
            <w:pPr>
              <w:spacing w:after="0"/>
              <w:rPr>
                <w:sz w:val="12"/>
                <w:szCs w:val="12"/>
                <w:color w:val="auto"/>
              </w:rPr>
            </w:pPr>
          </w:p>
        </w:tc>
        <w:tc>
          <w:tcPr>
            <w:tcW w:w="1320" w:type="dxa"/>
            <w:vAlign w:val="bottom"/>
            <w:gridSpan w:val="6"/>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20" w:type="dxa"/>
            <w:vAlign w:val="bottom"/>
          </w:tcPr>
          <w:p>
            <w:pPr>
              <w:spacing w:after="0"/>
              <w:rPr>
                <w:sz w:val="11"/>
                <w:szCs w:val="11"/>
                <w:color w:val="auto"/>
              </w:rPr>
            </w:pPr>
          </w:p>
        </w:tc>
        <w:tc>
          <w:tcPr>
            <w:tcW w:w="406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2"/>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center"/>
              <w:ind w:right="134"/>
              <w:spacing w:after="0" w:line="128" w:lineRule="exact"/>
              <w:rPr>
                <w:sz w:val="20"/>
                <w:szCs w:val="20"/>
                <w:color w:val="auto"/>
              </w:rPr>
            </w:pPr>
            <w:r>
              <w:rPr>
                <w:rFonts w:ascii="Arial" w:cs="Arial" w:eastAsia="Arial" w:hAnsi="Arial"/>
                <w:sz w:val="12"/>
                <w:szCs w:val="12"/>
                <w:b w:val="1"/>
                <w:bCs w:val="1"/>
                <w:color w:val="auto"/>
                <w:w w:val="89"/>
              </w:rPr>
              <w:t>2019</w:t>
            </w:r>
          </w:p>
        </w:tc>
        <w:tc>
          <w:tcPr>
            <w:tcW w:w="16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gridSpan w:val="2"/>
          </w:tcPr>
          <w:p>
            <w:pPr>
              <w:jc w:val="right"/>
              <w:ind w:right="20"/>
              <w:spacing w:after="0" w:line="128"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CFF0FC"/>
            </w:tcBorders>
          </w:tcPr>
          <w:p>
            <w:pPr>
              <w:spacing w:after="0"/>
              <w:rPr>
                <w:sz w:val="11"/>
                <w:szCs w:val="11"/>
                <w:color w:val="auto"/>
              </w:rPr>
            </w:pPr>
          </w:p>
        </w:tc>
        <w:tc>
          <w:tcPr>
            <w:tcW w:w="820" w:type="dxa"/>
            <w:vAlign w:val="bottom"/>
            <w:tcBorders>
              <w:top w:val="single" w:sz="8" w:color="auto"/>
              <w:bottom w:val="single" w:sz="8" w:color="auto"/>
            </w:tcBorders>
            <w:gridSpan w:val="2"/>
          </w:tcPr>
          <w:p>
            <w:pPr>
              <w:jc w:val="right"/>
              <w:ind w:right="204"/>
              <w:spacing w:after="0" w:line="128" w:lineRule="exact"/>
              <w:rPr>
                <w:sz w:val="20"/>
                <w:szCs w:val="20"/>
                <w:color w:val="auto"/>
              </w:rPr>
            </w:pPr>
            <w:r>
              <w:rPr>
                <w:rFonts w:ascii="Arial" w:cs="Arial" w:eastAsia="Arial" w:hAnsi="Arial"/>
                <w:sz w:val="12"/>
                <w:szCs w:val="12"/>
                <w:b w:val="1"/>
                <w:bCs w:val="1"/>
                <w:color w:val="auto"/>
              </w:rPr>
              <w:t>2019</w:t>
            </w:r>
          </w:p>
        </w:tc>
        <w:tc>
          <w:tcPr>
            <w:tcW w:w="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1,750</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1,979</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5"/>
                <w:szCs w:val="15"/>
                <w:color w:val="auto"/>
              </w:rPr>
              <w:t>6,084</w:t>
            </w:r>
          </w:p>
        </w:tc>
        <w:tc>
          <w:tcPr>
            <w:tcW w:w="620" w:type="dxa"/>
            <w:vAlign w:val="bottom"/>
            <w:gridSpan w:val="2"/>
            <w:shd w:val="clear" w:color="auto" w:fill="CFF0FC"/>
          </w:tcPr>
          <w:p>
            <w:pPr>
              <w:jc w:val="right"/>
              <w:ind w:right="319"/>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5,555</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Accretion on long-term debt and amortization of fees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118</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438</w:t>
            </w:r>
          </w:p>
        </w:tc>
        <w:tc>
          <w:tcPr>
            <w:tcW w:w="16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w:t>
            </w:r>
          </w:p>
        </w:tc>
        <w:tc>
          <w:tcPr>
            <w:tcW w:w="2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0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finance expenses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1,897</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2,097</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5"/>
                <w:szCs w:val="15"/>
                <w:color w:val="auto"/>
              </w:rPr>
              <w:t>6,522</w:t>
            </w:r>
          </w:p>
        </w:tc>
        <w:tc>
          <w:tcPr>
            <w:tcW w:w="620" w:type="dxa"/>
            <w:vAlign w:val="bottom"/>
            <w:gridSpan w:val="2"/>
            <w:shd w:val="clear" w:color="auto" w:fill="CFF0FC"/>
          </w:tcPr>
          <w:p>
            <w:pPr>
              <w:jc w:val="right"/>
              <w:ind w:right="319"/>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5,904</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7. INTANGIBLE ASSETS AND GOODWILL</w:t>
      </w:r>
    </w:p>
    <w:p>
      <w:pPr>
        <w:spacing w:after="0" w:line="195" w:lineRule="exact"/>
        <w:rPr>
          <w:sz w:val="20"/>
          <w:szCs w:val="20"/>
          <w:color w:val="auto"/>
        </w:rPr>
      </w:pPr>
    </w:p>
    <w:p>
      <w:pPr>
        <w:ind w:left="360" w:right="160"/>
        <w:spacing w:after="0" w:line="293" w:lineRule="auto"/>
        <w:rPr>
          <w:sz w:val="20"/>
          <w:szCs w:val="20"/>
          <w:color w:val="auto"/>
        </w:rPr>
      </w:pPr>
      <w:r>
        <w:rPr>
          <w:rFonts w:ascii="Arial" w:cs="Arial" w:eastAsia="Arial" w:hAnsi="Arial"/>
          <w:sz w:val="14"/>
          <w:szCs w:val="14"/>
          <w:color w:val="auto"/>
        </w:rPr>
        <w:t>As described in Note 1, in November 2019, the Company completed its business combination with Venus Concept Ltd., which included the addition of goodwill of $24,847 and amortizable intangible assets, represented by the technology ($16,900) and the brand name ($1,200). Goodwill associated with the Merger was primarily attributable to the future revenue growth opportunities associated with additional share in the hair restoration market, as well as the value associated with assembled workforce.</w:t>
      </w:r>
    </w:p>
    <w:p>
      <w:pPr>
        <w:spacing w:after="0" w:line="137" w:lineRule="exact"/>
        <w:rPr>
          <w:sz w:val="20"/>
          <w:szCs w:val="20"/>
          <w:color w:val="auto"/>
        </w:rPr>
      </w:pPr>
    </w:p>
    <w:p>
      <w:pPr>
        <w:ind w:left="360" w:right="40"/>
        <w:spacing w:after="0" w:line="259" w:lineRule="auto"/>
        <w:rPr>
          <w:sz w:val="20"/>
          <w:szCs w:val="20"/>
          <w:color w:val="auto"/>
        </w:rPr>
      </w:pPr>
      <w:r>
        <w:rPr>
          <w:rFonts w:ascii="Arial" w:cs="Arial" w:eastAsia="Arial" w:hAnsi="Arial"/>
          <w:sz w:val="15"/>
          <w:szCs w:val="15"/>
          <w:color w:val="auto"/>
        </w:rPr>
        <w:t>The carrying values of goodwill and indefinite-life intangible assets are subject to annual impairment assessment as of the last day of each fiscal year. Between annual assessments, impairment review may also be triggered by any significant events or changes in circumstances affecting the Company’s business. The global pandemic caused by coronavirus (“COVID-19”) has significantly impacted the Company’s business during the first three months of 2020, including its sales, supply chain, manufacturing and accounts receivable collections. As a result, the Company considered the COVID-19 pandemic as a triggering event and conducted quantitative impairment assessment of its goodwill as of March 31, 2020.</w:t>
      </w:r>
    </w:p>
    <w:p>
      <w:pPr>
        <w:spacing w:after="0" w:line="160" w:lineRule="exact"/>
        <w:rPr>
          <w:sz w:val="20"/>
          <w:szCs w:val="20"/>
          <w:color w:val="auto"/>
        </w:rPr>
      </w:pPr>
    </w:p>
    <w:p>
      <w:pPr>
        <w:ind w:left="360" w:right="60"/>
        <w:spacing w:after="0" w:line="279" w:lineRule="auto"/>
        <w:rPr>
          <w:sz w:val="20"/>
          <w:szCs w:val="20"/>
          <w:color w:val="auto"/>
        </w:rPr>
      </w:pPr>
      <w:r>
        <w:rPr>
          <w:rFonts w:ascii="Arial" w:cs="Arial" w:eastAsia="Arial" w:hAnsi="Arial"/>
          <w:sz w:val="14"/>
          <w:szCs w:val="14"/>
          <w:color w:val="auto"/>
        </w:rPr>
        <w:t>The Company has one reporting unit and the reporting unit’s carrying value was compared to its estimated fair value. As at March 31, 2020, the Company estimated its fair value using a combination of income approach and market approach. The income approach is based on the present value of future cash flows, which are derived from long term financial forecasts, and requires significant assumptions including among others, a discount rate and a terminal value. The market approach is based on the observed ratios of enterprise value to revenue multiples of the Company and other comparable publicly traded companies. Based upon the results of the goodwill impairment assessment, the Company recorded an impairment charge of $27,450 as of March 31, 2020, which represented the full balance of goodwill for the reporting unit. Based on the analysis of the intangible assets and long-lived assets performed by the management as at September 30, 2020, no further impairment was considered necessary.</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Intangible assets net of accumulated amortization and goodwill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6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w w:val="96"/>
              </w:rPr>
              <w:t>At September 30, 2020</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ind w:right="209"/>
              <w:spacing w:after="0" w:line="108" w:lineRule="exact"/>
              <w:rPr>
                <w:sz w:val="20"/>
                <w:szCs w:val="20"/>
                <w:color w:val="auto"/>
              </w:rPr>
            </w:pPr>
            <w:r>
              <w:rPr>
                <w:rFonts w:ascii="Arial" w:cs="Arial" w:eastAsia="Arial" w:hAnsi="Arial"/>
                <w:sz w:val="12"/>
                <w:szCs w:val="12"/>
                <w:b w:val="1"/>
                <w:bCs w:val="1"/>
                <w:color w:val="auto"/>
              </w:rPr>
              <w:t>Gross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right"/>
              <w:ind w:right="34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9"/>
                <w:szCs w:val="9"/>
                <w:color w:val="auto"/>
              </w:rPr>
            </w:pPr>
          </w:p>
        </w:tc>
        <w:tc>
          <w:tcPr>
            <w:tcW w:w="800" w:type="dxa"/>
            <w:vAlign w:val="bottom"/>
          </w:tcPr>
          <w:p>
            <w:pPr>
              <w:jc w:val="right"/>
              <w:ind w:right="349"/>
              <w:spacing w:after="0" w:line="108" w:lineRule="exact"/>
              <w:rPr>
                <w:sz w:val="20"/>
                <w:szCs w:val="20"/>
                <w:color w:val="auto"/>
              </w:rPr>
            </w:pPr>
            <w:r>
              <w:rPr>
                <w:rFonts w:ascii="Arial" w:cs="Arial" w:eastAsia="Arial" w:hAnsi="Arial"/>
                <w:sz w:val="12"/>
                <w:szCs w:val="12"/>
                <w:b w:val="1"/>
                <w:bCs w:val="1"/>
                <w:color w:val="auto"/>
              </w:rPr>
              <w:t>Net</w:t>
            </w: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3080" w:type="dxa"/>
            <w:vAlign w:val="bottom"/>
            <w:tcBorders>
              <w:bottom w:val="single" w:sz="8" w:color="CFF0FC"/>
            </w:tcBorders>
          </w:tcPr>
          <w:p>
            <w:pPr>
              <w:spacing w:after="0"/>
              <w:rPr>
                <w:sz w:val="12"/>
                <w:szCs w:val="12"/>
                <w:color w:val="auto"/>
              </w:rPr>
            </w:pPr>
          </w:p>
        </w:tc>
        <w:tc>
          <w:tcPr>
            <w:tcW w:w="16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Amount</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w w:val="95"/>
              </w:rPr>
              <w:t>Amortization</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Amount</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5"/>
                <w:szCs w:val="15"/>
                <w:color w:val="auto"/>
              </w:rPr>
              <w:t>Customer relationships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(219)</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5"/>
                <w:szCs w:val="15"/>
                <w:color w:val="auto"/>
              </w:rPr>
              <w:t>1,181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60" w:type="dxa"/>
            <w:vAlign w:val="bottom"/>
            <w:gridSpan w:val="2"/>
          </w:tcPr>
          <w:p>
            <w:pPr>
              <w:ind w:left="1680"/>
              <w:spacing w:after="0"/>
              <w:rPr>
                <w:sz w:val="20"/>
                <w:szCs w:val="20"/>
                <w:color w:val="auto"/>
              </w:rPr>
            </w:pPr>
            <w:r>
              <w:rPr>
                <w:rFonts w:ascii="Arial" w:cs="Arial" w:eastAsia="Arial" w:hAnsi="Arial"/>
                <w:sz w:val="15"/>
                <w:szCs w:val="15"/>
                <w:color w:val="auto"/>
              </w:rPr>
              <w:t>Brand</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(473)</w:t>
            </w:r>
          </w:p>
        </w:tc>
        <w:tc>
          <w:tcPr>
            <w:tcW w:w="1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5"/>
                <w:szCs w:val="15"/>
                <w:color w:val="auto"/>
              </w:rPr>
              <w:t>2,027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5"/>
                <w:szCs w:val="15"/>
                <w:color w:val="auto"/>
              </w:rPr>
              <w:t>Technology</w:t>
            </w:r>
          </w:p>
        </w:tc>
        <w:tc>
          <w:tcPr>
            <w:tcW w:w="1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(2,578)</w:t>
            </w: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5"/>
                <w:szCs w:val="15"/>
                <w:color w:val="auto"/>
              </w:rPr>
              <w:t>14,322</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Supplier agreement</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(792)</w:t>
            </w:r>
          </w:p>
        </w:tc>
        <w:tc>
          <w:tcPr>
            <w:tcW w:w="1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5"/>
                <w:szCs w:val="15"/>
                <w:color w:val="auto"/>
              </w:rPr>
              <w:t>2,208</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080" w:type="dxa"/>
            <w:vAlign w:val="bottom"/>
            <w:vMerge w:val="restart"/>
            <w:shd w:val="clear" w:color="auto" w:fill="CFF0FC"/>
          </w:tcPr>
          <w:p>
            <w:pPr>
              <w:ind w:left="100"/>
              <w:spacing w:after="0"/>
              <w:rPr>
                <w:sz w:val="20"/>
                <w:szCs w:val="20"/>
                <w:color w:val="auto"/>
              </w:rPr>
            </w:pPr>
            <w:r>
              <w:rPr>
                <w:rFonts w:ascii="Arial" w:cs="Arial" w:eastAsia="Arial" w:hAnsi="Arial"/>
                <w:sz w:val="15"/>
                <w:szCs w:val="15"/>
                <w:color w:val="auto"/>
              </w:rPr>
              <w:t>Total intangible assets and goodwill</w:t>
            </w:r>
          </w:p>
        </w:tc>
        <w:tc>
          <w:tcPr>
            <w:tcW w:w="16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80" w:type="dxa"/>
            <w:vAlign w:val="bottom"/>
          </w:tcPr>
          <w:p>
            <w:pPr>
              <w:spacing w:after="0"/>
              <w:rPr>
                <w:sz w:val="16"/>
                <w:szCs w:val="16"/>
                <w:color w:val="auto"/>
              </w:rPr>
            </w:pPr>
          </w:p>
        </w:tc>
        <w:tc>
          <w:tcPr>
            <w:tcW w:w="3080" w:type="dxa"/>
            <w:vAlign w:val="bottom"/>
            <w:vMerge w:val="continue"/>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(4,062)</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5"/>
                <w:szCs w:val="15"/>
                <w:color w:val="auto"/>
              </w:rPr>
              <w:t>19,738</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bottom w:val="single" w:sz="8" w:color="CFF0FC"/>
            </w:tcBorders>
            <w:vMerge w:val="restart"/>
          </w:tcPr>
          <w:p>
            <w:pPr>
              <w:jc w:val="right"/>
              <w:ind w:right="664"/>
              <w:spacing w:after="0"/>
              <w:rPr>
                <w:sz w:val="20"/>
                <w:szCs w:val="20"/>
                <w:color w:val="auto"/>
              </w:rPr>
            </w:pPr>
            <w:r>
              <w:rPr>
                <w:rFonts w:ascii="Arial" w:cs="Arial" w:eastAsia="Arial" w:hAnsi="Arial"/>
                <w:sz w:val="15"/>
                <w:szCs w:val="15"/>
                <w:color w:val="auto"/>
              </w:rPr>
              <w:t>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492"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5"/>
        </w:trPr>
        <w:tc>
          <w:tcPr>
            <w:tcW w:w="13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2"/>
                <w:szCs w:val="12"/>
                <w:b w:val="1"/>
                <w:bCs w:val="1"/>
                <w:color w:val="auto"/>
                <w:w w:val="99"/>
              </w:rPr>
              <w:t>At December 31, 2019</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ind w:right="208"/>
              <w:spacing w:after="0" w:line="108" w:lineRule="exact"/>
              <w:rPr>
                <w:sz w:val="20"/>
                <w:szCs w:val="20"/>
                <w:color w:val="auto"/>
              </w:rPr>
            </w:pPr>
            <w:r>
              <w:rPr>
                <w:rFonts w:ascii="Arial" w:cs="Arial" w:eastAsia="Arial" w:hAnsi="Arial"/>
                <w:sz w:val="12"/>
                <w:szCs w:val="12"/>
                <w:b w:val="1"/>
                <w:bCs w:val="1"/>
                <w:color w:val="auto"/>
              </w:rPr>
              <w:t>Gross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jc w:val="right"/>
              <w:ind w:right="34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9"/>
                <w:szCs w:val="9"/>
                <w:color w:val="auto"/>
              </w:rPr>
            </w:pPr>
          </w:p>
        </w:tc>
        <w:tc>
          <w:tcPr>
            <w:tcW w:w="740" w:type="dxa"/>
            <w:vAlign w:val="bottom"/>
          </w:tcPr>
          <w:p>
            <w:pPr>
              <w:jc w:val="right"/>
              <w:ind w:right="286"/>
              <w:spacing w:after="0" w:line="108" w:lineRule="exact"/>
              <w:rPr>
                <w:sz w:val="20"/>
                <w:szCs w:val="20"/>
                <w:color w:val="auto"/>
              </w:rPr>
            </w:pPr>
            <w:r>
              <w:rPr>
                <w:rFonts w:ascii="Arial" w:cs="Arial" w:eastAsia="Arial" w:hAnsi="Arial"/>
                <w:sz w:val="12"/>
                <w:szCs w:val="12"/>
                <w:b w:val="1"/>
                <w:bCs w:val="1"/>
                <w:color w:val="auto"/>
              </w:rPr>
              <w:t>Net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47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Amount</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2"/>
                <w:szCs w:val="12"/>
                <w:b w:val="1"/>
                <w:bCs w:val="1"/>
                <w:color w:val="auto"/>
                <w:w w:val="95"/>
              </w:rPr>
              <w:t>Amortization</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ind w:left="1320"/>
              <w:spacing w:after="0"/>
              <w:rPr>
                <w:sz w:val="20"/>
                <w:szCs w:val="20"/>
                <w:color w:val="auto"/>
              </w:rPr>
            </w:pPr>
            <w:r>
              <w:rPr>
                <w:rFonts w:ascii="Arial" w:cs="Arial" w:eastAsia="Arial" w:hAnsi="Arial"/>
                <w:sz w:val="15"/>
                <w:szCs w:val="15"/>
                <w:color w:val="auto"/>
              </w:rPr>
              <w:t>Customer relationships</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(149)</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Brand</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(276)</w:t>
            </w: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2,224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ind w:left="1320"/>
              <w:spacing w:after="0"/>
              <w:rPr>
                <w:sz w:val="20"/>
                <w:szCs w:val="20"/>
                <w:color w:val="auto"/>
              </w:rPr>
            </w:pPr>
            <w:r>
              <w:rPr>
                <w:rFonts w:ascii="Arial" w:cs="Arial" w:eastAsia="Arial" w:hAnsi="Arial"/>
                <w:sz w:val="15"/>
                <w:szCs w:val="15"/>
                <w:color w:val="auto"/>
              </w:rPr>
              <w:t>Technology</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16,900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(469)</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16,431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Supplier agreement</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(568)</w:t>
            </w: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2,432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760" w:type="dxa"/>
            <w:vAlign w:val="bottom"/>
            <w:vMerge w:val="restart"/>
          </w:tcPr>
          <w:p>
            <w:pPr>
              <w:ind w:left="100"/>
              <w:spacing w:after="0"/>
              <w:rPr>
                <w:sz w:val="20"/>
                <w:szCs w:val="20"/>
                <w:color w:val="auto"/>
              </w:rPr>
            </w:pPr>
            <w:r>
              <w:rPr>
                <w:rFonts w:ascii="Arial" w:cs="Arial" w:eastAsia="Arial" w:hAnsi="Arial"/>
                <w:sz w:val="15"/>
                <w:szCs w:val="15"/>
                <w:color w:val="auto"/>
              </w:rPr>
              <w:t>Total intangible assets and goodwill</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476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51,250</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(1,462)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49,788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5"/>
                <w:szCs w:val="15"/>
                <w:color w:val="auto"/>
                <w:w w:val="92"/>
              </w:rPr>
              <w:t>Estimated amortization expense for the next five fiscal years and all years thereafter are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0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08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October 1, 2020 to December 31, 2020</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868</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ind w:left="1320"/>
              <w:spacing w:after="0"/>
              <w:rPr>
                <w:sz w:val="20"/>
                <w:szCs w:val="20"/>
                <w:color w:val="auto"/>
              </w:rPr>
            </w:pPr>
            <w:r>
              <w:rPr>
                <w:rFonts w:ascii="Arial" w:cs="Arial" w:eastAsia="Arial" w:hAnsi="Arial"/>
                <w:sz w:val="15"/>
                <w:szCs w:val="15"/>
                <w:color w:val="auto"/>
              </w:rPr>
              <w:t>2021</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3,473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ind w:left="1320"/>
              <w:spacing w:after="0"/>
              <w:rPr>
                <w:sz w:val="20"/>
                <w:szCs w:val="20"/>
                <w:color w:val="auto"/>
              </w:rPr>
            </w:pPr>
            <w:r>
              <w:rPr>
                <w:rFonts w:ascii="Arial" w:cs="Arial" w:eastAsia="Arial" w:hAnsi="Arial"/>
                <w:sz w:val="15"/>
                <w:szCs w:val="15"/>
                <w:color w:val="auto"/>
              </w:rPr>
              <w:t>2023</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2024</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3,473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Thereafter</w:t>
            </w:r>
          </w:p>
        </w:tc>
        <w:tc>
          <w:tcPr>
            <w:tcW w:w="140" w:type="dxa"/>
            <w:vAlign w:val="bottom"/>
            <w:tcBorders>
              <w:bottom w:val="single" w:sz="8" w:color="CFF0FC"/>
            </w:tcBorders>
          </w:tcPr>
          <w:p>
            <w:pPr>
              <w:spacing w:after="0"/>
              <w:rPr>
                <w:sz w:val="16"/>
                <w:szCs w:val="16"/>
                <w:color w:val="auto"/>
              </w:rPr>
            </w:pPr>
          </w:p>
        </w:tc>
        <w:tc>
          <w:tcPr>
            <w:tcW w:w="70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4,978</w:t>
            </w:r>
          </w:p>
        </w:tc>
        <w:tc>
          <w:tcPr>
            <w:tcW w:w="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7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19,738</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7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Leases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Company and its subsidiaries have various operating lease agreements, which expire on various dates.</w:t>
      </w:r>
    </w:p>
    <w:p>
      <w:pPr>
        <w:spacing w:after="0" w:line="214"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Aggregate future minimum lease payments and purchase commitments with manufacturers as of September 30, 2020 are as follows:</w:t>
      </w:r>
    </w:p>
    <w:p>
      <w:pPr>
        <w:spacing w:after="0" w:line="203"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Office</w:t>
            </w:r>
          </w:p>
        </w:tc>
        <w:tc>
          <w:tcPr>
            <w:tcW w:w="8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Purchase</w:t>
            </w:r>
          </w:p>
        </w:tc>
        <w:tc>
          <w:tcPr>
            <w:tcW w:w="2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Lease</w:t>
            </w:r>
          </w:p>
        </w:tc>
        <w:tc>
          <w:tcPr>
            <w:tcW w:w="8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Commitments</w:t>
            </w: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October 1, 2020 to December 31, 2020</w:t>
            </w: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563</w:t>
            </w:r>
          </w:p>
        </w:tc>
        <w:tc>
          <w:tcPr>
            <w:tcW w:w="1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5,743</w:t>
            </w:r>
          </w:p>
        </w:tc>
        <w:tc>
          <w:tcPr>
            <w:tcW w:w="1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6,306</w:t>
            </w: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20"/>
                <w:szCs w:val="20"/>
                <w:color w:val="auto"/>
              </w:rPr>
            </w:pPr>
            <w:r>
              <w:rPr>
                <w:rFonts w:ascii="Arial" w:cs="Arial" w:eastAsia="Arial" w:hAnsi="Arial"/>
                <w:sz w:val="15"/>
                <w:szCs w:val="15"/>
                <w:color w:val="auto"/>
              </w:rPr>
              <w:t>2021</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1,880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957</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20"/>
                <w:szCs w:val="20"/>
                <w:color w:val="auto"/>
              </w:rPr>
            </w:pPr>
            <w:r>
              <w:rPr>
                <w:rFonts w:ascii="Arial" w:cs="Arial" w:eastAsia="Arial" w:hAnsi="Arial"/>
                <w:sz w:val="15"/>
                <w:szCs w:val="15"/>
                <w:color w:val="auto"/>
              </w:rPr>
              <w:t>2023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520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shd w:val="clear" w:color="auto" w:fill="CFF0FC"/>
          </w:tcPr>
          <w:p>
            <w:pPr>
              <w:spacing w:after="0"/>
              <w:rPr>
                <w:sz w:val="20"/>
                <w:szCs w:val="20"/>
                <w:color w:val="auto"/>
              </w:rPr>
            </w:pPr>
            <w:r>
              <w:rPr>
                <w:rFonts w:ascii="Arial" w:cs="Arial" w:eastAsia="Arial" w:hAnsi="Arial"/>
                <w:sz w:val="15"/>
                <w:szCs w:val="15"/>
                <w:color w:val="auto"/>
              </w:rPr>
              <w:t>2024</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20"/>
                <w:szCs w:val="20"/>
                <w:color w:val="auto"/>
              </w:rPr>
            </w:pPr>
            <w:r>
              <w:rPr>
                <w:rFonts w:ascii="Arial" w:cs="Arial" w:eastAsia="Arial" w:hAnsi="Arial"/>
                <w:sz w:val="15"/>
                <w:szCs w:val="15"/>
                <w:color w:val="auto"/>
              </w:rPr>
              <w:t>Thereafter</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5"/>
                <w:szCs w:val="15"/>
                <w:color w:val="auto"/>
              </w:rPr>
              <w:t>Total</w:t>
            </w: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5,330</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5,743</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11,073</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The total rent expense for all operating leases for the three months ended September 30, 2020 and 2019 was $487 and $416, respectively. The total rent expense for all operating leases for the nine months ended September 30, 2020 and 2019 was $1,508 and $1,304,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Commitments</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As of September 30, 2020, the Company has non-cancellable purchase orders placed with its contract manufacturers in the amount of $5,276. In addition, as of September 30, 2020, the Company had $3,118 of open purchase orders that can be cancelled with 90 days’ notice, except for a portion equal to 15% of the total amount representing the purchase of “long lead items”.</w:t>
      </w:r>
    </w:p>
    <w:p>
      <w:pPr>
        <w:spacing w:after="0" w:line="156"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40"/>
          </w:cols>
          <w:pgMar w:left="680" w:top="495" w:right="37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i w:val="1"/>
          <w:iCs w:val="1"/>
          <w:color w:val="auto"/>
        </w:rPr>
        <w:t>Legal Proceedings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Purported Shareholder Class Actions</w:t>
      </w:r>
    </w:p>
    <w:p>
      <w:pPr>
        <w:spacing w:after="0" w:line="214"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Between May 23, 2018 and June 11, 2019, four putative shareholder class actions complaints were filed against Restoration Robotics, Inc., certain of its former officers and directors, certain of its venture capital investors, and the underwriters of the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51"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In the State Actions Restoration Robotics, Inc., along with the other defendants, successfully demurred to the initial Wong complaint for failure to state a claim, and secured a stay of both cases based on the forum selection clause contained in its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the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 seeks unspecified monetary damages, other equitable relief and attorneys’ fees and costs. On February 24, 2020, the Company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A hearing on the Company’s demurrer and renewed motion to dismiss was held on June 12, 2020. On September 1, 2020, the court granted the renewed motion to dismiss based on the Company’s forum selection clause as to the Company and individual defendants, but not as to the venture capital and underwriter defendants. On September 22, 2020, the Court entered a judgement of dismissal as to the Company and the individual defendants.</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Restoration Robotics’ Registration Statement filed with the SEC on September 1, 2017 and the Prospectus filed with the SEC on October 13, 2017 in connection with the IPO were inaccurate and misleading, contained untrue statements of material facts, omitted to state other facts necessary to make the statements made not misleading and omitted to state material facts required to be stated therein. On January 29, 2019, Restoration Robotics, Inc., along with certain of its former officers and directors, filed a motion to dismiss the consolidated amended complaint for failure to state a claim. On October 18, 2019, the District Court granted Restoration Robotics, Inc. motion to dismiss as to all but two allegedly false or misleading statements contained in the Company’s Prospectus. On December 9, 2019, the Company filed its answer to the consolidated amended complaint denying the falsity of these statements, and discovery is underway. On May 29, 2020, Lead Plaintiff filed a motion for class certification, which the Company elected not to oppose, and on July 29, 2020, the court certified a class of investors who purchased shares of the Company common stock pursuant or traceable to the Company’s initial public offering.</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Securities Exchange Act of 1934, or the Exchange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during the pendency of the Federal Actions. On September 15, 2020, the District Court granted the parties’ further stipulation to stay the Mason action during the pendency of the Federal Action, and the case remains stayed.</w:t>
      </w:r>
    </w:p>
    <w:p>
      <w:pPr>
        <w:spacing w:after="0" w:line="331"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492" w:right="339" w:bottom="1440" w:gutter="0" w:footer="0" w:header="0"/>
        </w:sectPr>
      </w:pPr>
    </w:p>
    <w:bookmarkStart w:id="20" w:name="page21"/>
    <w:bookmarkEnd w:id="20"/>
    <w:p>
      <w:pPr>
        <w:spacing w:after="0" w:line="271" w:lineRule="auto"/>
        <w:rPr>
          <w:sz w:val="20"/>
          <w:szCs w:val="20"/>
          <w:color w:val="auto"/>
        </w:rPr>
      </w:pPr>
      <w:r>
        <w:rPr>
          <w:rFonts w:ascii="Arial" w:cs="Arial" w:eastAsia="Arial" w:hAnsi="Arial"/>
          <w:sz w:val="15"/>
          <w:szCs w:val="15"/>
          <w:color w:val="auto"/>
        </w:rPr>
        <w:t>In addition to the actions described above relating to the IPO, two lawsuits purporting to challenge disclosures made in connection with our merger were also filed. These lawsuits, captioned Bushansky v. Restoration Robotics, Inc., et al., No. 5:19-cv-06004-MMC (N.D. Cal.) and Pak v. Restoration Robotics, Inc., et al., No. 1:19-cv-02237 (D.Del.), are fully described in our Quarterly Report on Form 10-Q for the quarter ended June 30, 2020. Each of the Bushansky and Pak lawsuits were dismissed with prejudice as to the respective individual plaintiff claims and without prejudice as to the claims of the putative class.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Company believes that the remaining lawsuits are without merit and management intends to vigorously defend against these claims.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Venus Concept China Matter</w:t>
      </w:r>
    </w:p>
    <w:p>
      <w:pPr>
        <w:spacing w:after="0" w:line="214"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The Company’s Chinese subsidiary, Venus Concept China, imports and sells registered medical devices and unregistered non-medical devices in the People’s Republic of China (“PRC”). One of its unregistered products has been the subject of inquiries from two district level branches of the SAMR, Xuhui MSA and Huangpu MSA, as to whether the product was properly sold as a non-medical device. In January 2019, Venus Concept China applied to register a version of this non-medical device as a medical device with the National Medical Products Administration of PRC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The Company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 Although the revenue generated from the product that is the subject of the investigation did not represent a material amount of the Company’s total revenues for the years ended December 31, 2018 and 2019, monetary penalties nonetheless could be material.</w:t>
      </w:r>
    </w:p>
    <w:p>
      <w:pPr>
        <w:spacing w:after="0" w:line="177"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In April 2020, Venus Concept China received a determination from NMPA on its application for registering Versa’s IPL function as a medical device. NMPA has approved the registration of one applicator HR 650 for hair removal as a Class II medical device out of the four IPL applicators for which Venus Concept China had originally applied. The date of registration is April 15, 2020. Venus Concept China also submitted an explanation letter and a draft Corrective &amp; Preventive Action Report plan to Xuhui MSA during a meeting with the local authority on April 23, 2020. Administrative investigation proceedings with Xuhui MSA are currently ongoing.</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Company and Venus Concept China are cooperating with the relevant authorities in these matters; however, the Company cannot predict the outcome of these matters.</w:t>
      </w:r>
    </w:p>
    <w:p>
      <w:pPr>
        <w:spacing w:after="0" w:line="225"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Further, the Company may from time to time continue to be involved in various legal proceedings of a character normally incident to the ordinary course of its business, which the Company does not deem to be material to its business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LONG-TERM DEBT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Madryn Credit Agreement</w:t>
      </w:r>
    </w:p>
    <w:p>
      <w:pPr>
        <w:spacing w:after="0" w:line="191"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On October 11, 2016, Venus Concept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 Ltd.’s subsidiaries (the “Subsidiary Obligors”). The Madryn Credit Agreement is comprised of four tranches of debt aggregating $70,000. As at September 30, 2020, and as at December 31, 2019, the Subsidiary Obligors had borrowed $60,000 under the term A-1 and A-2 and B tranches of the Madryn Credit Agreement. Term C borrowings of $10,000 were undrawn and are no longer available. Borrowings under the Madryn Credit Agreement are secured by substantially all of the Company’s assets and the assets of the Subsidiary Obligors. On the 24th payment date, which is September 30, 2022, the aggregate outstanding principal amount of the loans, together with any accrued and unpaid interest thereon and all other amounts due and owing under the loan agreement will become due and payable in full.</w:t>
      </w:r>
    </w:p>
    <w:p>
      <w:pPr>
        <w:spacing w:after="0" w:line="330"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60"/>
          </w:cols>
          <w:pgMar w:left="680" w:top="311" w:right="359" w:bottom="1440" w:gutter="0" w:footer="0" w:header="0"/>
        </w:sectPr>
      </w:pPr>
    </w:p>
    <w:bookmarkStart w:id="21" w:name="page22"/>
    <w:bookmarkEnd w:id="21"/>
    <w:p>
      <w:pPr>
        <w:ind w:right="60"/>
        <w:spacing w:after="0" w:line="324" w:lineRule="auto"/>
        <w:rPr>
          <w:sz w:val="20"/>
          <w:szCs w:val="20"/>
          <w:color w:val="auto"/>
        </w:rPr>
      </w:pPr>
      <w:r>
        <w:rPr>
          <w:rFonts w:ascii="Arial" w:cs="Arial" w:eastAsia="Arial" w:hAnsi="Arial"/>
          <w:sz w:val="13"/>
          <w:szCs w:val="13"/>
          <w:color w:val="auto"/>
        </w:rPr>
        <w:t>In connection with the Merger, the Company entered into an amendment to the Madryn Credit Agreement, dated as of November 7, 2019, (the “Amendment”), pursuant to which the Company joined as (i) a guarantor to the Madryn Credit Agreement and (ii) a grantor to the certain security agreement, dated October 11, 2016, (as amended, restated, supplemented or otherwise modified from time to time), by and among the grantors from time to time party thereto and the administrative agent (the “U.S. Security Agreement”).</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As a guarantor under the Madryn Credit Agreement, the Company is jointly and severally liable for the obligations (as defined in the Madryn Credit Agreement) thereunder and to secure its obligations, the Company has granted the administrative agent a lien on all of its assets pursuant to the terms of the U.S. Security Agreement. In the event of default under the Madryn Credit Agreement, Madryn may accelerate the obligations and foreclose on the collateral granted by the Company and Venus Concept Ltd. under the U.S. Security Agreement to satisfy the obligations.</w:t>
      </w:r>
    </w:p>
    <w:p>
      <w:pPr>
        <w:spacing w:after="0" w:line="158" w:lineRule="exact"/>
        <w:rPr>
          <w:sz w:val="20"/>
          <w:szCs w:val="20"/>
          <w:color w:val="auto"/>
        </w:rPr>
      </w:pPr>
    </w:p>
    <w:p>
      <w:pPr>
        <w:jc w:val="both"/>
        <w:ind w:right="60"/>
        <w:spacing w:after="0" w:line="265" w:lineRule="auto"/>
        <w:rPr>
          <w:sz w:val="20"/>
          <w:szCs w:val="20"/>
          <w:color w:val="auto"/>
        </w:rPr>
      </w:pPr>
      <w:r>
        <w:rPr>
          <w:rFonts w:ascii="Arial" w:cs="Arial" w:eastAsia="Arial" w:hAnsi="Arial"/>
          <w:sz w:val="15"/>
          <w:szCs w:val="15"/>
          <w:color w:val="auto"/>
        </w:rPr>
        <w:t>Effective August 14, 2018, interest on the Madryn loan is 9.00%, payable quarterly. Previously, interest was payable quarterly, at the Company’s option, as follows: cash interest 9.00% during the interest only period, which was 3 years or 12 principal payments after closing, plus an additional 4.00% rate, paid in kind (“PIK”). The Company has the option of settling the PIK interest in cash or adding the owed interest to the principal amount of the loan.</w:t>
      </w:r>
    </w:p>
    <w:p>
      <w:pPr>
        <w:spacing w:after="0" w:line="156"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Madryn Credit Agreement contains certain covenants that require the Company together with its subsidiaries to achieve certain minimum revenue and liquidity thresholds. The minimum revenue and liquidity covenants require that the Company and its subsidiaries, on a consolidated basis, achieve (i) minimum reported revenue targets for any four consecutive fiscal quarter period of an amount equal to the greater of (A) $100,000 and (B) one hundred and fifty percent (150%) of the aggregate outstanding amount of the loans as of the last day of such four consecutive fiscal quarter period, (ii) minimum levels of cash held in deposit accounts controlled by Madryn to be no less than $2,000 and (iii) minimum levels of cash held in all deposit accounts, plus availability under the CNB Credit Facility (as defined below), to be no less than $5,000.</w:t>
      </w:r>
    </w:p>
    <w:p>
      <w:pPr>
        <w:spacing w:after="0" w:line="144"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On April 29, 2020, the Company entered into the Twelfth Amendment to the Madryn Credit Agreement that (i) required that interest payments for the period beginning January 1, 2020 and ending on, and including, April 29, 2020 (the “PIK Period”), be paid-in-kind, (ii) increased the interest rate from 9.00% per annum to 12.00% per annum during the PIK Period and (iii) require the Company to provide certain additional financial and other reporting information to the lenders.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On June 30, 2020, the Company entered into the Thirteenth Amendment to the Madryn Credit Agreement that (i) extended the PIK Period through June 30, 2020, (ii) reduced the consolidated minimum revenue threshold requirement (a) for the four consecutive fiscal quarter period ended June 30, 2020, to at least $85,000 and (b) for the four consecutive fiscal quarter period ending September 30, 2020, to at least $75,000, (iii) required the Company to raise at least $5,000 of cash proceeds from the issuance of equity during the period June 1, 2020 through September 30, 2020 and (iv) obligated the Company to use its best efforts to raise an additional $2,000 of cash proceeds from the issuance of equity during the period June 1, 2020 through September 30, 2020.</w:t>
      </w:r>
    </w:p>
    <w:p>
      <w:pPr>
        <w:spacing w:after="0" w:line="160"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On September 30, 2020, the Company entered into the Fourteenth Amendment to the Madryn Credit Agreement that (i) requires that fifty percent (50%) of the interest payments for the period beginning July 1, 2020 and ending on, and including, September 30, 2020 (the “Second PIK Period”), be paid in cash, (ii) the remaining fifty percent (50%) of the interest payments for the Second PIK Period, to be paid in kind, and (iii) increases the interest rate applicable to the Second PIK Period from 9.00% per annum to 10.50% per annum during the Second PIK Period.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 Madryn Credit Agreement also contains various covenants that limit the Company’s ability and the ability of its subsidiaries to engage in specified types of transactions.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Subject to limited exceptions, these covenants limit the Company’s ability, without Madryn’s consent, to, among other things:</w:t>
      </w:r>
    </w:p>
    <w:p>
      <w:pPr>
        <w:spacing w:after="0" w:line="182" w:lineRule="exact"/>
        <w:rPr>
          <w:sz w:val="20"/>
          <w:szCs w:val="20"/>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sell, lease, transfer, exclusively license or dispose of the Company’s assets;</w:t>
      </w:r>
    </w:p>
    <w:p>
      <w:pPr>
        <w:spacing w:after="0" w:line="18"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create, incur, assume or permit to exist additional indebtedness or liens, which may limit the Company’s ability to raise additional capital;</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make restricted payments, including paying dividends on, repurchasing or making distributions with respect to the Company’s capital stock;</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pay any cash dividend or make any other cash distribution or payment in respect of the Company’s capital stock;</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make specified investments (including loans and advances);</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make changes to certain key personnel including the Company’s President and Chief Executive Officer;</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merge, consolidate or liquidate; and</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enter into certain transactions with affiliates.</w:t>
      </w:r>
    </w:p>
    <w:p>
      <w:pPr>
        <w:spacing w:after="0" w:line="363"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40"/>
          </w:cols>
          <w:pgMar w:left="680" w:top="311" w:right="379" w:bottom="1440" w:gutter="0" w:footer="0" w:header="0"/>
        </w:sectPr>
      </w:pPr>
    </w:p>
    <w:bookmarkStart w:id="22" w:name="page23"/>
    <w:bookmarkEnd w:id="22"/>
    <w:p>
      <w:pPr>
        <w:spacing w:after="0"/>
        <w:rPr>
          <w:sz w:val="20"/>
          <w:szCs w:val="20"/>
          <w:color w:val="auto"/>
        </w:rPr>
      </w:pPr>
      <w:r>
        <w:rPr>
          <w:rFonts w:ascii="Arial" w:cs="Arial" w:eastAsia="Arial" w:hAnsi="Arial"/>
          <w:sz w:val="15"/>
          <w:szCs w:val="15"/>
          <w:color w:val="auto"/>
        </w:rPr>
        <w:t>As of September 30, 2020 and as of December 31, 2019 the Company was in compliance with all required covenants.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Pursuant to the Madryn Credit Agreement, if all or any portion of the loans are prepaid, then a prepayment premium must be paid equal to: (i) 8.00% of the loans prepaid if prepaid on or prior to August 31, 2019, (ii) 6.50% if prepaid after August 31, 2019 but on or prior to August 31, 2020, (iii) 5.00% if prepaid after August 31, 2020 but on or prior to February 28, 2021, (iv) 4.00% if prepaid after February 28, 2021 but on or prior to August 31, 2021, (v) 3.00% if prepaid after August 31, 2021 but on or prior to February 28, 2022, and (vi) 2.00% if prepaid after February 28, 2022.</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scheduled principal payments on the outstanding borrowings as of September 30, 2020 are as follows: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As of</w:t>
            </w:r>
          </w:p>
        </w:tc>
      </w:tr>
      <w:tr>
        <w:trPr>
          <w:trHeight w:val="125"/>
        </w:trPr>
        <w:tc>
          <w:tcPr>
            <w:tcW w:w="44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280"/>
              <w:spacing w:after="0" w:line="125" w:lineRule="exact"/>
              <w:rPr>
                <w:sz w:val="20"/>
                <w:szCs w:val="20"/>
                <w:color w:val="auto"/>
              </w:rPr>
            </w:pPr>
            <w:r>
              <w:rPr>
                <w:rFonts w:ascii="Arial" w:cs="Arial" w:eastAsia="Arial" w:hAnsi="Arial"/>
                <w:sz w:val="12"/>
                <w:szCs w:val="12"/>
                <w:b w:val="1"/>
                <w:bCs w:val="1"/>
                <w:color w:val="auto"/>
                <w:w w:val="90"/>
              </w:rPr>
              <w:t>September 30,</w:t>
            </w:r>
          </w:p>
        </w:tc>
      </w:tr>
      <w:tr>
        <w:trPr>
          <w:trHeight w:val="145"/>
        </w:trPr>
        <w:tc>
          <w:tcPr>
            <w:tcW w:w="4420" w:type="dxa"/>
            <w:vAlign w:val="bottom"/>
            <w:tcBorders>
              <w:bottom w:val="single" w:sz="8" w:color="CFF0FC"/>
            </w:tcBorders>
          </w:tcPr>
          <w:p>
            <w:pPr>
              <w:spacing w:after="0"/>
              <w:rPr>
                <w:sz w:val="12"/>
                <w:szCs w:val="12"/>
                <w:color w:val="auto"/>
              </w:rPr>
            </w:pPr>
          </w:p>
        </w:tc>
        <w:tc>
          <w:tcPr>
            <w:tcW w:w="20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9"/>
              <w:spacing w:after="0"/>
              <w:rPr>
                <w:sz w:val="20"/>
                <w:szCs w:val="20"/>
                <w:color w:val="auto"/>
              </w:rPr>
            </w:pPr>
            <w:r>
              <w:rPr>
                <w:rFonts w:ascii="Arial" w:cs="Arial" w:eastAsia="Arial" w:hAnsi="Arial"/>
                <w:sz w:val="12"/>
                <w:szCs w:val="12"/>
                <w:b w:val="1"/>
                <w:bCs w:val="1"/>
                <w:color w:val="auto"/>
                <w:w w:val="97"/>
              </w:rPr>
              <w:t>2020</w:t>
            </w:r>
          </w:p>
        </w:tc>
        <w:tc>
          <w:tcPr>
            <w:tcW w:w="80" w:type="dxa"/>
            <w:vAlign w:val="bottom"/>
            <w:tcBorders>
              <w:bottom w:val="single" w:sz="8" w:color="CFF0FC"/>
            </w:tcBorders>
          </w:tcPr>
          <w:p>
            <w:pPr>
              <w:spacing w:after="0"/>
              <w:rPr>
                <w:sz w:val="12"/>
                <w:szCs w:val="12"/>
                <w:color w:val="auto"/>
              </w:rPr>
            </w:pPr>
          </w:p>
        </w:tc>
      </w:tr>
      <w:tr>
        <w:trPr>
          <w:trHeight w:val="184"/>
        </w:trPr>
        <w:tc>
          <w:tcPr>
            <w:tcW w:w="4420" w:type="dxa"/>
            <w:vAlign w:val="bottom"/>
            <w:shd w:val="clear" w:color="auto" w:fill="CFF0FC"/>
          </w:tcPr>
          <w:p>
            <w:pPr>
              <w:spacing w:after="0"/>
              <w:rPr>
                <w:sz w:val="20"/>
                <w:szCs w:val="20"/>
                <w:color w:val="auto"/>
              </w:rPr>
            </w:pPr>
            <w:r>
              <w:rPr>
                <w:rFonts w:ascii="Arial" w:cs="Arial" w:eastAsia="Arial" w:hAnsi="Arial"/>
                <w:sz w:val="15"/>
                <w:szCs w:val="15"/>
                <w:color w:val="auto"/>
              </w:rPr>
              <w:t>2020</w:t>
            </w:r>
          </w:p>
        </w:tc>
        <w:tc>
          <w:tcPr>
            <w:tcW w:w="2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r>
      <w:tr>
        <w:trPr>
          <w:trHeight w:val="192"/>
        </w:trPr>
        <w:tc>
          <w:tcPr>
            <w:tcW w:w="4420" w:type="dxa"/>
            <w:vAlign w:val="bottom"/>
          </w:tcPr>
          <w:p>
            <w:pPr>
              <w:spacing w:after="0"/>
              <w:rPr>
                <w:sz w:val="20"/>
                <w:szCs w:val="20"/>
                <w:color w:val="auto"/>
              </w:rPr>
            </w:pPr>
            <w:r>
              <w:rPr>
                <w:rFonts w:ascii="Arial" w:cs="Arial" w:eastAsia="Arial" w:hAnsi="Arial"/>
                <w:sz w:val="15"/>
                <w:szCs w:val="15"/>
                <w:color w:val="auto"/>
              </w:rPr>
              <w:t>2021</w:t>
            </w: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r>
      <w:tr>
        <w:trPr>
          <w:trHeight w:val="194"/>
        </w:trPr>
        <w:tc>
          <w:tcPr>
            <w:tcW w:w="442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2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67,595</w:t>
            </w:r>
          </w:p>
        </w:tc>
        <w:tc>
          <w:tcPr>
            <w:tcW w:w="80" w:type="dxa"/>
            <w:vAlign w:val="bottom"/>
            <w:shd w:val="clear" w:color="auto" w:fill="CFF0FC"/>
          </w:tcPr>
          <w:p>
            <w:pPr>
              <w:spacing w:after="0"/>
              <w:rPr>
                <w:sz w:val="16"/>
                <w:szCs w:val="16"/>
                <w:color w:val="auto"/>
              </w:rPr>
            </w:pPr>
          </w:p>
        </w:tc>
      </w:tr>
      <w:tr>
        <w:trPr>
          <w:trHeight w:val="192"/>
        </w:trPr>
        <w:tc>
          <w:tcPr>
            <w:tcW w:w="4420" w:type="dxa"/>
            <w:vAlign w:val="bottom"/>
          </w:tcPr>
          <w:p>
            <w:pPr>
              <w:ind w:left="100"/>
              <w:spacing w:after="0"/>
              <w:rPr>
                <w:sz w:val="20"/>
                <w:szCs w:val="20"/>
                <w:color w:val="auto"/>
              </w:rPr>
            </w:pPr>
            <w:r>
              <w:rPr>
                <w:rFonts w:ascii="Arial" w:cs="Arial" w:eastAsia="Arial" w:hAnsi="Arial"/>
                <w:sz w:val="15"/>
                <w:szCs w:val="15"/>
                <w:color w:val="auto"/>
              </w:rPr>
              <w:t>Total</w:t>
            </w: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67,595</w:t>
            </w:r>
          </w:p>
        </w:tc>
        <w:tc>
          <w:tcPr>
            <w:tcW w:w="80" w:type="dxa"/>
            <w:vAlign w:val="bottom"/>
          </w:tcPr>
          <w:p>
            <w:pPr>
              <w:spacing w:after="0"/>
              <w:rPr>
                <w:sz w:val="16"/>
                <w:szCs w:val="16"/>
                <w:color w:val="auto"/>
              </w:rPr>
            </w:pPr>
          </w:p>
        </w:tc>
      </w:tr>
      <w:tr>
        <w:trPr>
          <w:trHeight w:val="194"/>
        </w:trPr>
        <w:tc>
          <w:tcPr>
            <w:tcW w:w="4420" w:type="dxa"/>
            <w:vAlign w:val="bottom"/>
            <w:shd w:val="clear" w:color="auto" w:fill="CFF0FC"/>
          </w:tcPr>
          <w:p>
            <w:pPr>
              <w:spacing w:after="0"/>
              <w:rPr>
                <w:sz w:val="20"/>
                <w:szCs w:val="20"/>
                <w:color w:val="auto"/>
              </w:rPr>
            </w:pPr>
            <w:r>
              <w:rPr>
                <w:rFonts w:ascii="Arial" w:cs="Arial" w:eastAsia="Arial" w:hAnsi="Arial"/>
                <w:sz w:val="15"/>
                <w:szCs w:val="15"/>
                <w:color w:val="auto"/>
              </w:rPr>
              <w:t>Less: debt discounts and issuance costs</w:t>
            </w:r>
          </w:p>
        </w:tc>
        <w:tc>
          <w:tcPr>
            <w:tcW w:w="2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(1,079)</w:t>
            </w:r>
          </w:p>
        </w:tc>
      </w:tr>
      <w:tr>
        <w:trPr>
          <w:trHeight w:val="192"/>
        </w:trPr>
        <w:tc>
          <w:tcPr>
            <w:tcW w:w="44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Less: current portion</w:t>
            </w:r>
          </w:p>
        </w:tc>
        <w:tc>
          <w:tcPr>
            <w:tcW w:w="20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FF0FC"/>
            </w:tcBorders>
          </w:tcPr>
          <w:p>
            <w:pPr>
              <w:spacing w:after="0"/>
              <w:rPr>
                <w:sz w:val="16"/>
                <w:szCs w:val="16"/>
                <w:color w:val="auto"/>
              </w:rPr>
            </w:pPr>
          </w:p>
        </w:tc>
      </w:tr>
      <w:tr>
        <w:trPr>
          <w:trHeight w:val="207"/>
        </w:trPr>
        <w:tc>
          <w:tcPr>
            <w:tcW w:w="44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Non-current portion</w:t>
            </w:r>
          </w:p>
        </w:tc>
        <w:tc>
          <w:tcPr>
            <w:tcW w:w="22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66,516</w:t>
            </w:r>
          </w:p>
        </w:tc>
        <w:tc>
          <w:tcPr>
            <w:tcW w:w="80" w:type="dxa"/>
            <w:vAlign w:val="bottom"/>
            <w:shd w:val="clear" w:color="auto" w:fill="CFF0FC"/>
          </w:tcPr>
          <w:p>
            <w:pPr>
              <w:spacing w:after="0"/>
              <w:rPr>
                <w:sz w:val="18"/>
                <w:szCs w:val="18"/>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CREDIT FACILITY</w:t>
      </w:r>
    </w:p>
    <w:p>
      <w:pPr>
        <w:spacing w:after="0" w:line="218"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The Company has an agreement with City National Bank of Florida (“CNB”) pursuant to which CNB agreed to provide a revolving credit facility to certain of the Company’s subsidiaries in the maximum principal amount of $10,000 ($10,000 in 2019, starting from April 2019), to be used to finance working capital requirements (the “Credit Facility”). As of September 30, 2020, the Company had $3,876 outstanding ($7,789 as of December 31, 2019) under the Credit Facility, which bears interest at LIBOR rate plus 3.25%, which amounted to a weighted average of 3.84% (5.60% for the nine months ended September 30, 2019).</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color w:val="auto"/>
        </w:rPr>
        <w:t>On March 20, 2020, the Company entered into a Second Amended and Restated Loan Agreement as a borrower with CNB, as amended, pursuant to which CNB agreed to make certain loans and other financial accommodations to the Company, and certain of its subsidiaries. In connection with the CNB Credit Facility, the Company also entered into (i) a Second Amended and Restated Guaranty of Payment and Performance with CNB dated as of March 20, 2020, (the “CNB Guaranty”), pursuant to which the Company agreed to guaranty the obligations under the CNB Credit Facility and (ii) a Security Agreement with CNB dated as of March 20, 2020, (the “CNB Security Agreement”), pursuant to which the Company agreed to grant CNB a security interest, in substantially all of its assets, to secure the obligations under the CNB Credit Facility. Borrowings under the CNB Credit Facility are secured by substantially all of the assets of the Company and its subsidiaries and the CNB Guaranty.</w:t>
      </w:r>
    </w:p>
    <w:p>
      <w:pPr>
        <w:spacing w:after="0" w:line="172"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The CNB Credit Facility requires the Company to maintain either a minimum cash balance in deposit accounts or a maximum total liability to tangible net worth ratio and a minimum debt service coverage ratio. As of September 30, 2020 and December 31, 2019, the Company was in compliance with all required covenants. An event of default under this agreement would cause a default under the Madryn Credit Agreement (see Note 9).</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GOVERNMENT ASSISTANCE PROGRAMS</w:t>
      </w:r>
    </w:p>
    <w:p>
      <w:pPr>
        <w:spacing w:after="0" w:line="195"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The Company and one of its subsidiaries, Venus Concept USA Inc.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56" w:lineRule="exact"/>
        <w:rPr>
          <w:sz w:val="20"/>
          <w:szCs w:val="20"/>
          <w:color w:val="auto"/>
        </w:rPr>
      </w:pPr>
    </w:p>
    <w:p>
      <w:pPr>
        <w:ind w:right="140"/>
        <w:spacing w:after="0" w:line="293" w:lineRule="auto"/>
        <w:rPr>
          <w:sz w:val="20"/>
          <w:szCs w:val="20"/>
          <w:color w:val="auto"/>
        </w:rPr>
      </w:pPr>
      <w:r>
        <w:rPr>
          <w:rFonts w:ascii="Arial" w:cs="Arial" w:eastAsia="Arial" w:hAnsi="Arial"/>
          <w:sz w:val="14"/>
          <w:szCs w:val="14"/>
          <w:color w:val="auto"/>
        </w:rPr>
        <w:t>The Company entered the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 Interest and principal payments under the Venus Concept PPP Loan will be deferred for a period of six months.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Venus Concept PPP Loan contains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340"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311" w:right="339" w:bottom="1440" w:gutter="0" w:footer="0" w:header="0"/>
        </w:sectPr>
      </w:pPr>
    </w:p>
    <w:bookmarkStart w:id="23" w:name="page24"/>
    <w:bookmarkEnd w:id="23"/>
    <w:p>
      <w:pPr>
        <w:jc w:val="both"/>
        <w:ind w:right="180"/>
        <w:spacing w:after="0" w:line="265" w:lineRule="auto"/>
        <w:rPr>
          <w:sz w:val="20"/>
          <w:szCs w:val="20"/>
          <w:color w:val="auto"/>
        </w:rPr>
      </w:pPr>
      <w:r>
        <w:rPr>
          <w:rFonts w:ascii="Arial" w:cs="Arial" w:eastAsia="Arial" w:hAnsi="Arial"/>
          <w:sz w:val="15"/>
          <w:szCs w:val="15"/>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156" w:lineRule="exact"/>
        <w:rPr>
          <w:sz w:val="20"/>
          <w:szCs w:val="20"/>
          <w:color w:val="auto"/>
        </w:rPr>
      </w:pPr>
    </w:p>
    <w:p>
      <w:pPr>
        <w:ind w:right="20"/>
        <w:spacing w:after="0" w:line="358" w:lineRule="auto"/>
        <w:rPr>
          <w:sz w:val="20"/>
          <w:szCs w:val="20"/>
          <w:color w:val="auto"/>
        </w:rPr>
      </w:pPr>
      <w:r>
        <w:rPr>
          <w:rFonts w:ascii="Arial" w:cs="Arial" w:eastAsia="Arial" w:hAnsi="Arial"/>
          <w:sz w:val="13"/>
          <w:szCs w:val="13"/>
          <w:color w:val="auto"/>
        </w:rPr>
        <w:t>Under certain circumstances, all or a portion of the PPP Loans may be forgiven, however, there can be no assurance that any portion of the PPP Loans will be forgiven and that the Company would not be required to repay the PPP Loans in full. The Company recorded PPP Loans within the long-term liabilities in the condensed consolidated balance sheet.</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Under the Madryn Credit Agreement each PPP Loan is permitted to be incurred by the Company and Venus Concept USA as long as certain conditions remain satisfied, including that all PPP Loans must be forgiven other than any amount which can fit under existing permitted debt baskets in the Madryn Credit Agreement. If the Company and/or Venus Concept USA defaults on the respective PPP Loan or if any of the conditions to the incurrence thereof under the Madryn Credit Agreement are not satisfied (i) events of default will occur under the Madryn Credit Agreement and the CNB Credit Facility and (ii) the Company and Venus Concept USA may be required to immediately repay their respective PPP Loan.</w:t>
      </w:r>
    </w:p>
    <w:p>
      <w:pPr>
        <w:spacing w:after="0" w:line="160"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U.S. Small Business Administration (the “SBA”) has decided, in consultation with the Department of the Treasury, that it will review all loans in excess of $2,000 following the lender’s submission of the borrower’s loan forgiveness application. To the extent that the SBA’s audit determines that Venus Concept USA was not entitled to the loan under the PPP, the loan may not be forgiven, an event of default would occur under the Madryn Credit Agreement and Venus Concept USA could be subject to civil and criminal penalties.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30, 2020, the Company had $4,048 outstanding under the PPP Loans (none as of December 31, 2019).</w:t>
      </w:r>
    </w:p>
    <w:p>
      <w:pPr>
        <w:spacing w:after="0" w:line="191"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Certain of the Company’s subsidiaries applied for government assistance programs and received government subsidies aggregating $1,179. The terms of these government assistance programs vary by jurisdiction. The Company recorded government subsidies received as a reduction to the associated wage costs in general and administrative expenses in the condensed consolidated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COMMON STOCK RESERVED FOR ISSUANCE</w:t>
      </w:r>
    </w:p>
    <w:p>
      <w:pPr>
        <w:spacing w:after="0" w:line="218" w:lineRule="exact"/>
        <w:rPr>
          <w:sz w:val="20"/>
          <w:szCs w:val="20"/>
          <w:color w:val="auto"/>
        </w:rPr>
      </w:pPr>
    </w:p>
    <w:p>
      <w:pPr>
        <w:ind w:right="260"/>
        <w:spacing w:after="0" w:line="358" w:lineRule="auto"/>
        <w:rPr>
          <w:sz w:val="20"/>
          <w:szCs w:val="20"/>
          <w:color w:val="auto"/>
        </w:rPr>
      </w:pPr>
      <w:r>
        <w:rPr>
          <w:rFonts w:ascii="Arial" w:cs="Arial" w:eastAsia="Arial" w:hAnsi="Arial"/>
          <w:sz w:val="13"/>
          <w:szCs w:val="13"/>
          <w:color w:val="auto"/>
        </w:rPr>
        <w:t>The Company is required to reserve and keep available out of its authorized but unissued shares of common stock a number of shares sufficient to affect the conversion of all outstanding shares of convertible preferred stock, plus exercise of all options granted and available for grant under the incentive plans and warrants to purchase common stock.</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45"/>
        </w:trPr>
        <w:tc>
          <w:tcPr>
            <w:tcW w:w="4340" w:type="dxa"/>
            <w:vAlign w:val="bottom"/>
          </w:tcPr>
          <w:p>
            <w:pPr>
              <w:spacing w:after="0"/>
              <w:rPr>
                <w:sz w:val="12"/>
                <w:szCs w:val="12"/>
                <w:color w:val="auto"/>
              </w:rPr>
            </w:pPr>
          </w:p>
        </w:tc>
        <w:tc>
          <w:tcPr>
            <w:tcW w:w="1840" w:type="dxa"/>
            <w:vAlign w:val="bottom"/>
            <w:gridSpan w:val="2"/>
          </w:tcPr>
          <w:p>
            <w:pPr>
              <w:ind w:left="300"/>
              <w:spacing w:after="0"/>
              <w:rPr>
                <w:sz w:val="20"/>
                <w:szCs w:val="20"/>
                <w:color w:val="auto"/>
              </w:rPr>
            </w:pPr>
            <w:r>
              <w:rPr>
                <w:rFonts w:ascii="Arial" w:cs="Arial" w:eastAsia="Arial" w:hAnsi="Arial"/>
                <w:sz w:val="12"/>
                <w:szCs w:val="12"/>
                <w:b w:val="1"/>
                <w:bCs w:val="1"/>
                <w:color w:val="auto"/>
              </w:rPr>
              <w:t>September 30, 2020</w:t>
            </w:r>
          </w:p>
        </w:tc>
        <w:tc>
          <w:tcPr>
            <w:tcW w:w="1700" w:type="dxa"/>
            <w:vAlign w:val="bottom"/>
            <w:gridSpan w:val="2"/>
          </w:tcPr>
          <w:p>
            <w:pPr>
              <w:ind w:left="320"/>
              <w:spacing w:after="0"/>
              <w:rPr>
                <w:sz w:val="20"/>
                <w:szCs w:val="20"/>
                <w:color w:val="auto"/>
              </w:rPr>
            </w:pPr>
            <w:r>
              <w:rPr>
                <w:rFonts w:ascii="Arial" w:cs="Arial" w:eastAsia="Arial" w:hAnsi="Arial"/>
                <w:sz w:val="12"/>
                <w:szCs w:val="12"/>
                <w:b w:val="1"/>
                <w:bCs w:val="1"/>
                <w:color w:val="auto"/>
              </w:rPr>
              <w:t>December 31, 2019</w:t>
            </w:r>
          </w:p>
        </w:tc>
      </w:tr>
      <w:tr>
        <w:trPr>
          <w:trHeight w:val="184"/>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Outstanding common stock warrants</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10,665,067</w:t>
            </w:r>
          </w:p>
        </w:tc>
        <w:tc>
          <w:tcPr>
            <w:tcW w:w="220" w:type="dxa"/>
            <w:vAlign w:val="bottom"/>
            <w:tcBorders>
              <w:top w:val="single" w:sz="8" w:color="CFF0FC"/>
            </w:tcBorders>
            <w:shd w:val="clear" w:color="auto" w:fill="CFF0FC"/>
          </w:tcPr>
          <w:p>
            <w:pPr>
              <w:spacing w:after="0"/>
              <w:rPr>
                <w:sz w:val="16"/>
                <w:szCs w:val="16"/>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3,990,067</w:t>
            </w:r>
          </w:p>
        </w:tc>
        <w:tc>
          <w:tcPr>
            <w:tcW w:w="80" w:type="dxa"/>
            <w:vAlign w:val="bottom"/>
            <w:tcBorders>
              <w:top w:val="single" w:sz="8" w:color="CFF0FC"/>
            </w:tcBorders>
            <w:shd w:val="clear" w:color="auto" w:fill="CFF0FC"/>
          </w:tcPr>
          <w:p>
            <w:pPr>
              <w:spacing w:after="0"/>
              <w:rPr>
                <w:sz w:val="16"/>
                <w:szCs w:val="16"/>
                <w:color w:val="auto"/>
              </w:rPr>
            </w:pPr>
          </w:p>
        </w:tc>
      </w:tr>
      <w:tr>
        <w:trPr>
          <w:trHeight w:val="192"/>
        </w:trPr>
        <w:tc>
          <w:tcPr>
            <w:tcW w:w="4340" w:type="dxa"/>
            <w:vAlign w:val="bottom"/>
          </w:tcPr>
          <w:p>
            <w:pPr>
              <w:spacing w:after="0"/>
              <w:rPr>
                <w:sz w:val="20"/>
                <w:szCs w:val="20"/>
                <w:color w:val="auto"/>
              </w:rPr>
            </w:pPr>
            <w:r>
              <w:rPr>
                <w:rFonts w:ascii="Arial" w:cs="Arial" w:eastAsia="Arial" w:hAnsi="Arial"/>
                <w:sz w:val="15"/>
                <w:szCs w:val="15"/>
                <w:color w:val="auto"/>
              </w:rPr>
              <w:t>Outstanding stock options</w:t>
            </w:r>
          </w:p>
        </w:tc>
        <w:tc>
          <w:tcPr>
            <w:tcW w:w="1620" w:type="dxa"/>
            <w:vAlign w:val="bottom"/>
          </w:tcPr>
          <w:p>
            <w:pPr>
              <w:jc w:val="right"/>
              <w:spacing w:after="0"/>
              <w:rPr>
                <w:sz w:val="20"/>
                <w:szCs w:val="20"/>
                <w:color w:val="auto"/>
              </w:rPr>
            </w:pPr>
            <w:r>
              <w:rPr>
                <w:rFonts w:ascii="Arial" w:cs="Arial" w:eastAsia="Arial" w:hAnsi="Arial"/>
                <w:sz w:val="15"/>
                <w:szCs w:val="15"/>
                <w:color w:val="auto"/>
              </w:rPr>
              <w:t>4,885,197</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3,278,439</w:t>
            </w:r>
          </w:p>
        </w:tc>
        <w:tc>
          <w:tcPr>
            <w:tcW w:w="80" w:type="dxa"/>
            <w:vAlign w:val="bottom"/>
          </w:tcPr>
          <w:p>
            <w:pPr>
              <w:spacing w:after="0"/>
              <w:rPr>
                <w:sz w:val="16"/>
                <w:szCs w:val="16"/>
                <w:color w:val="auto"/>
              </w:rPr>
            </w:pPr>
          </w:p>
        </w:tc>
      </w:tr>
      <w:tr>
        <w:trPr>
          <w:trHeight w:val="194"/>
        </w:trPr>
        <w:tc>
          <w:tcPr>
            <w:tcW w:w="4340" w:type="dxa"/>
            <w:vAlign w:val="bottom"/>
            <w:shd w:val="clear" w:color="auto" w:fill="CFF0FC"/>
          </w:tcPr>
          <w:p>
            <w:pPr>
              <w:spacing w:after="0"/>
              <w:rPr>
                <w:sz w:val="20"/>
                <w:szCs w:val="20"/>
                <w:color w:val="auto"/>
              </w:rPr>
            </w:pPr>
            <w:r>
              <w:rPr>
                <w:rFonts w:ascii="Arial" w:cs="Arial" w:eastAsia="Arial" w:hAnsi="Arial"/>
                <w:sz w:val="15"/>
                <w:szCs w:val="15"/>
                <w:color w:val="auto"/>
              </w:rPr>
              <w:t>Shares reserved for future option grants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232,549</w:t>
            </w:r>
          </w:p>
        </w:tc>
        <w:tc>
          <w:tcPr>
            <w:tcW w:w="220" w:type="dxa"/>
            <w:vAlign w:val="bottom"/>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742,828</w:t>
            </w:r>
          </w:p>
        </w:tc>
        <w:tc>
          <w:tcPr>
            <w:tcW w:w="80" w:type="dxa"/>
            <w:vAlign w:val="bottom"/>
            <w:shd w:val="clear" w:color="auto" w:fill="CFF0FC"/>
          </w:tcPr>
          <w:p>
            <w:pPr>
              <w:spacing w:after="0"/>
              <w:rPr>
                <w:sz w:val="16"/>
                <w:szCs w:val="16"/>
                <w:color w:val="auto"/>
              </w:rPr>
            </w:pPr>
          </w:p>
        </w:tc>
      </w:tr>
      <w:tr>
        <w:trPr>
          <w:trHeight w:val="184"/>
        </w:trPr>
        <w:tc>
          <w:tcPr>
            <w:tcW w:w="4340" w:type="dxa"/>
            <w:vAlign w:val="bottom"/>
          </w:tcPr>
          <w:p>
            <w:pPr>
              <w:ind w:left="100"/>
              <w:spacing w:after="0"/>
              <w:rPr>
                <w:sz w:val="20"/>
                <w:szCs w:val="20"/>
                <w:color w:val="auto"/>
              </w:rPr>
            </w:pPr>
            <w:r>
              <w:rPr>
                <w:rFonts w:ascii="Arial" w:cs="Arial" w:eastAsia="Arial" w:hAnsi="Arial"/>
                <w:sz w:val="15"/>
                <w:szCs w:val="15"/>
                <w:color w:val="auto"/>
              </w:rPr>
              <w:t>Total common stock reserved for issuance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15,782,813</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8,011,334</w:t>
            </w:r>
          </w:p>
        </w:tc>
        <w:tc>
          <w:tcPr>
            <w:tcW w:w="80" w:type="dxa"/>
            <w:vAlign w:val="bottom"/>
          </w:tcPr>
          <w:p>
            <w:pPr>
              <w:spacing w:after="0"/>
              <w:rPr>
                <w:sz w:val="15"/>
                <w:szCs w:val="15"/>
                <w:color w:val="auto"/>
              </w:rPr>
            </w:pPr>
          </w:p>
        </w:tc>
      </w:tr>
      <w:tr>
        <w:trPr>
          <w:trHeight w:val="20"/>
        </w:trPr>
        <w:tc>
          <w:tcPr>
            <w:tcW w:w="4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STOCKHOLDERS EQUITY</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The Company’s common stock confers upon its holders the following rights:</w:t>
      </w:r>
    </w:p>
    <w:p>
      <w:pPr>
        <w:spacing w:after="0" w:line="214" w:lineRule="exact"/>
        <w:rPr>
          <w:sz w:val="20"/>
          <w:szCs w:val="20"/>
          <w:color w:val="auto"/>
        </w:rPr>
      </w:pPr>
    </w:p>
    <w:p>
      <w:pPr>
        <w:ind w:left="760" w:right="20" w:hanging="380"/>
        <w:spacing w:after="0" w:line="278" w:lineRule="auto"/>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right to participate and vote in the Company’s stockholder meetings, whether annual or special. Each share will entitle its holder, when attending and participating in the voting in person or via proxy, to one vote;</w:t>
      </w:r>
    </w:p>
    <w:p>
      <w:pPr>
        <w:spacing w:after="0" w:line="145" w:lineRule="exact"/>
        <w:rPr>
          <w:rFonts w:ascii="Arial" w:cs="Arial" w:eastAsia="Arial" w:hAnsi="Arial"/>
          <w:sz w:val="15"/>
          <w:szCs w:val="15"/>
          <w:color w:val="auto"/>
        </w:rPr>
      </w:pPr>
    </w:p>
    <w:p>
      <w:pPr>
        <w:ind w:left="760" w:hanging="380"/>
        <w:spacing w:after="0" w:line="278" w:lineRule="auto"/>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right to a share in the distribution of dividends, whether in cash or in the form of bonus shares, the distribution of assets or any other distribution pro rata to the par value of the shares held by them; and</w:t>
      </w:r>
    </w:p>
    <w:p>
      <w:pPr>
        <w:spacing w:after="0" w:line="145" w:lineRule="exact"/>
        <w:rPr>
          <w:rFonts w:ascii="Arial" w:cs="Arial" w:eastAsia="Arial" w:hAnsi="Arial"/>
          <w:sz w:val="15"/>
          <w:szCs w:val="15"/>
          <w:color w:val="auto"/>
        </w:rPr>
      </w:pPr>
    </w:p>
    <w:p>
      <w:pPr>
        <w:ind w:left="760" w:hanging="380"/>
        <w:spacing w:after="0"/>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right to a share in the distribution of the Company’s excess assets upon liquidation pro rata to the par value of the shares held by them.</w:t>
      </w:r>
    </w:p>
    <w:p>
      <w:pPr>
        <w:spacing w:after="0" w:line="395"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311"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5"/>
          <w:szCs w:val="15"/>
          <w:i w:val="1"/>
          <w:iCs w:val="1"/>
          <w:color w:val="auto"/>
        </w:rPr>
        <w:t>Series A preferred stock</w:t>
      </w:r>
    </w:p>
    <w:p>
      <w:pPr>
        <w:spacing w:after="0" w:line="191"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As noted in Note 1 above, in March 2020, the Company issued and sold to certain Investors an aggregate of 660,000 shares of Series A Preferred Stock. The terms of the Series A Preferred Stock are governed by a Certificate of Designation filed by the Company with the Secretary of State of the State of Delaware on March 18, 2020. The following is a summary of the material terms of the Series A Preferred Stock:</w:t>
      </w:r>
    </w:p>
    <w:p>
      <w:pPr>
        <w:spacing w:after="0" w:line="156" w:lineRule="exact"/>
        <w:rPr>
          <w:sz w:val="20"/>
          <w:szCs w:val="20"/>
          <w:color w:val="auto"/>
        </w:rPr>
      </w:pPr>
    </w:p>
    <w:p>
      <w:pPr>
        <w:ind w:left="760" w:right="300" w:hanging="380"/>
        <w:spacing w:after="0" w:line="265" w:lineRule="auto"/>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The Series A Preferred Stock has no voting rights except as required by law and except that the consent of the holders of a majority of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of the Series A Preferred Stock will be required to amend the terms of the Series A Preferred Stock or take certain other actions with respect to the Series A Preferred Stock.</w:t>
      </w:r>
    </w:p>
    <w:p>
      <w:pPr>
        <w:spacing w:after="0" w:line="155" w:lineRule="exact"/>
        <w:rPr>
          <w:rFonts w:ascii="Arial" w:cs="Arial" w:eastAsia="Arial" w:hAnsi="Arial"/>
          <w:sz w:val="15"/>
          <w:szCs w:val="15"/>
          <w:color w:val="auto"/>
        </w:rPr>
      </w:pPr>
    </w:p>
    <w:p>
      <w:pPr>
        <w:ind w:left="760" w:hanging="380"/>
        <w:spacing w:after="0"/>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Liquidation. </w:t>
      </w:r>
      <w:r>
        <w:rPr>
          <w:rFonts w:ascii="Arial" w:cs="Arial" w:eastAsia="Arial" w:hAnsi="Arial"/>
          <w:sz w:val="15"/>
          <w:szCs w:val="15"/>
          <w:color w:val="auto"/>
        </w:rPr>
        <w:t>The Series A Preferred Stock does not have a preference upon any liquidation, dissolution or winding-up of the Company.</w:t>
      </w:r>
    </w:p>
    <w:p>
      <w:pPr>
        <w:spacing w:after="0" w:line="190" w:lineRule="exact"/>
        <w:rPr>
          <w:rFonts w:ascii="Arial" w:cs="Arial" w:eastAsia="Arial" w:hAnsi="Arial"/>
          <w:sz w:val="15"/>
          <w:szCs w:val="15"/>
          <w:color w:val="auto"/>
        </w:rPr>
      </w:pPr>
    </w:p>
    <w:p>
      <w:pPr>
        <w:ind w:left="760" w:right="20" w:hanging="380"/>
        <w:spacing w:after="0" w:line="257" w:lineRule="auto"/>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Conversion</w:t>
      </w:r>
      <w:r>
        <w:rPr>
          <w:rFonts w:ascii="Arial" w:cs="Arial" w:eastAsia="Arial" w:hAnsi="Arial"/>
          <w:sz w:val="15"/>
          <w:szCs w:val="15"/>
          <w:color w:val="auto"/>
        </w:rPr>
        <w:t>. The Series A Preferred Stock is automatically convertible into shares of common stock, based on an initial conversion ratio of 1:10, as adjusted in</w:t>
      </w:r>
      <w:r>
        <w:rPr>
          <w:rFonts w:ascii="Arial" w:cs="Arial" w:eastAsia="Arial" w:hAnsi="Arial"/>
          <w:sz w:val="15"/>
          <w:szCs w:val="15"/>
          <w:i w:val="1"/>
          <w:iCs w:val="1"/>
          <w:color w:val="auto"/>
        </w:rPr>
        <w:t xml:space="preserve"> </w:t>
      </w:r>
      <w:r>
        <w:rPr>
          <w:rFonts w:ascii="Arial" w:cs="Arial" w:eastAsia="Arial" w:hAnsi="Arial"/>
          <w:sz w:val="15"/>
          <w:szCs w:val="15"/>
          <w:color w:val="auto"/>
        </w:rPr>
        <w:t>accordance with the Certificate of Designation, upon receipt of the approval of the Company’s stockholders. The Company is not permitted to issue any shares of common stock upon conversion of the Series A Preferred Stock to the extent that the issuance of such shares of common stock would exceed 19.99% of the Company’s outstanding shares of common stock as of the date of the initial issuance of the Series A Preferred Stock, unless the Company obtains shareholder approval to issue more than such 19.99% (the “Conversion Cap”). The Conversion Cap will be appropriately adjusted for any reorganization, recapitalization, non-cash dividend, stock split, reverse stock split or other similar transaction.</w:t>
      </w:r>
    </w:p>
    <w:p>
      <w:pPr>
        <w:spacing w:after="0" w:line="163" w:lineRule="exact"/>
        <w:rPr>
          <w:rFonts w:ascii="Arial" w:cs="Arial" w:eastAsia="Arial" w:hAnsi="Arial"/>
          <w:sz w:val="15"/>
          <w:szCs w:val="15"/>
          <w:color w:val="auto"/>
        </w:rPr>
      </w:pPr>
    </w:p>
    <w:p>
      <w:pPr>
        <w:ind w:left="760" w:hanging="380"/>
        <w:spacing w:after="0"/>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Dividends. </w:t>
      </w:r>
      <w:r>
        <w:rPr>
          <w:rFonts w:ascii="Arial" w:cs="Arial" w:eastAsia="Arial" w:hAnsi="Arial"/>
          <w:sz w:val="15"/>
          <w:szCs w:val="15"/>
          <w:color w:val="auto"/>
        </w:rPr>
        <w:t>No dividends will be paid on the outstanding shares of the Series A Preferred Stock.</w:t>
      </w:r>
    </w:p>
    <w:p>
      <w:pPr>
        <w:spacing w:after="0" w:line="190" w:lineRule="exact"/>
        <w:rPr>
          <w:rFonts w:ascii="Arial" w:cs="Arial" w:eastAsia="Arial" w:hAnsi="Arial"/>
          <w:sz w:val="15"/>
          <w:szCs w:val="15"/>
          <w:color w:val="auto"/>
        </w:rPr>
      </w:pPr>
    </w:p>
    <w:p>
      <w:pPr>
        <w:ind w:left="760" w:hanging="380"/>
        <w:spacing w:after="0"/>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Redemption</w:t>
      </w:r>
      <w:r>
        <w:rPr>
          <w:rFonts w:ascii="Arial" w:cs="Arial" w:eastAsia="Arial" w:hAnsi="Arial"/>
          <w:sz w:val="15"/>
          <w:szCs w:val="15"/>
          <w:color w:val="auto"/>
        </w:rPr>
        <w:t>. The Series A Preferred Stock is not redeemable at the election of the Company or at the election of the holder.</w:t>
      </w:r>
    </w:p>
    <w:p>
      <w:pPr>
        <w:spacing w:after="0" w:line="190" w:lineRule="exact"/>
        <w:rPr>
          <w:rFonts w:ascii="Arial" w:cs="Arial" w:eastAsia="Arial" w:hAnsi="Arial"/>
          <w:sz w:val="15"/>
          <w:szCs w:val="15"/>
          <w:color w:val="auto"/>
        </w:rPr>
      </w:pPr>
    </w:p>
    <w:p>
      <w:pPr>
        <w:ind w:left="760" w:hanging="380"/>
        <w:spacing w:after="0"/>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Maturity. </w:t>
      </w:r>
      <w:r>
        <w:rPr>
          <w:rFonts w:ascii="Arial" w:cs="Arial" w:eastAsia="Arial" w:hAnsi="Arial"/>
          <w:sz w:val="15"/>
          <w:szCs w:val="15"/>
          <w:color w:val="auto"/>
        </w:rPr>
        <w:t>The Series A Preferred Stock shall be perpetual unless converted.</w:t>
      </w:r>
    </w:p>
    <w:p>
      <w:pPr>
        <w:spacing w:after="0" w:line="214"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Upon issuance, the effective conversion price of the Series A Preferred Stock of $1.93 per share were lower than the market price of the Company’s common stock on the date of issuance of the Series A Preferred Stock of $2.47 per share, as a result, the Company recorded the beneficial conversion feature of $3,564 in APIC. Because the Series A Preferred Stock is perpetual, it is carried at the amount recorded at inception. Subsequently, upon conversion of the Series A Preferred Stock, the beneficial conversion feature was accounted for as deemed dividend as disclosed below.</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The Company evaluated the Series A Preferred Stock for liability or equity classification in accordance with the provisions of ASC 480, Distinguishing Liabilities from Equity, and determined that equity treatment was appropriate because the Series A Preferred Stock did not meet the definition of the liability instruments defined thereunder for convertible instruments. Specifically, the Series A Preferred Stock is not mandatorily redeemable and does not embody an obligation to buy back the shares outside of the Company’s control in a manner that could require the transfer of assets. Additionally, the Company determined that the Series A Preferred Stock would be recorded as permanent equity, not temporary equity, based on the guidance of ASC 480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spacing w:after="0" w:line="149"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Since Series A Preferred Stock was sold as a unit with warrants, the proceeds received were allocated to each instrument on a relative fair value basis as it is described below. All outstanding shares of Series A Preferred Stock were converted into shares of common stock on June 16, 2020, as described below.</w:t>
      </w:r>
    </w:p>
    <w:p>
      <w:pPr>
        <w:spacing w:after="0" w:line="146"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900"/>
          </w:cols>
          <w:pgMar w:left="680" w:top="311" w:right="319" w:bottom="1440" w:gutter="0" w:footer="0" w:header="0"/>
        </w:sectPr>
      </w:pPr>
    </w:p>
    <w:bookmarkStart w:id="25" w:name="page26"/>
    <w:bookmarkEnd w:id="25"/>
    <w:p>
      <w:pPr>
        <w:spacing w:after="0"/>
        <w:rPr>
          <w:sz w:val="20"/>
          <w:szCs w:val="20"/>
          <w:color w:val="auto"/>
        </w:rPr>
      </w:pPr>
      <w:r>
        <w:rPr>
          <w:rFonts w:ascii="Arial" w:cs="Arial" w:eastAsia="Arial" w:hAnsi="Arial"/>
          <w:sz w:val="15"/>
          <w:szCs w:val="15"/>
          <w:i w:val="1"/>
          <w:iCs w:val="1"/>
          <w:color w:val="auto"/>
        </w:rPr>
        <w:t>2020 Private Placement Warrants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As noted in Note 1 above, in March 2020, the Company issued and sold to the Investors in the 2020 Private Placement warrants to purchase up to 6,675,000 shares of common stock with an exercise price of $3.50 per share, along with the shares of common stock and preferred stock the Investors purchased. The 2020 Private Placement Warrants have a five-year term and are exercisable beginning 181 days after their issue date. The Company evaluated the 2020 Private Placement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2020 Private Placement Warrants did not need to be accounted for as a liability. Accordingly, the 2020 Private Placement Warrants were classified as equity and are not subject to remeasurement at each balance sheet date. The proceeds received in the 2020 Private Placement were allocated to each instrument on a relative fair value basis.</w:t>
      </w:r>
    </w:p>
    <w:p>
      <w:pPr>
        <w:spacing w:after="0" w:line="172" w:lineRule="exact"/>
        <w:rPr>
          <w:sz w:val="20"/>
          <w:szCs w:val="20"/>
          <w:color w:val="auto"/>
        </w:rPr>
      </w:pPr>
    </w:p>
    <w:p>
      <w:pPr>
        <w:jc w:val="both"/>
        <w:ind w:right="140"/>
        <w:spacing w:after="0" w:line="265" w:lineRule="auto"/>
        <w:rPr>
          <w:sz w:val="20"/>
          <w:szCs w:val="20"/>
          <w:color w:val="auto"/>
        </w:rPr>
      </w:pPr>
      <w:r>
        <w:rPr>
          <w:rFonts w:ascii="Arial" w:cs="Arial" w:eastAsia="Arial" w:hAnsi="Arial"/>
          <w:sz w:val="15"/>
          <w:szCs w:val="15"/>
          <w:color w:val="auto"/>
        </w:rPr>
        <w:t>Total net proceeds of $20,300 reduced by $3,564 of the beneficial conversion feature were allocated as follows: $8,063 to Series A Preferred Stock, $4,052 to shares of common stock and $4,621 to the 2020 Private Placement Warrants issued. Series A Preferred Stock and common stock issued in the 2020 Private Placement were recorded at par value of $0.0001 with the excess of par value recorded in APIC.</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Conversion of Series A Preferred Stock shares</w:t>
      </w:r>
    </w:p>
    <w:p>
      <w:pPr>
        <w:spacing w:after="0" w:line="191"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On June 16, 2020, upon the approval of the Company’s stockholders, 660,000 shares of Series A Preferred Stock were converted into 6,600,000 shares of the Company’s common stock. As a result of the conversion, in accordance with ASC 470-20-40-1, the beneficial conversion feature of $3,564 was recorded as a deemed dividend in APIC, that has been presented as a component of the net loss attributable to common stockholders in the Company’s condensed consolidated statement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2010 Share Option Plan</w:t>
      </w:r>
    </w:p>
    <w:p>
      <w:pPr>
        <w:spacing w:after="0" w:line="214"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In November 2010, the Company’s Board of Directors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Company’s Board, which designates the options and dates of grant. Options granted vest over a period determined by the Board, originally had a contractual life of seven years, which was extended by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September 30, 2020, the number of shares of the Company’s common stock reserved for issuance and available for grant under the 2010 Share Option Plan was 133,517 (44,450 as at December 31, 2019).</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2019 Incentive Award Plan</w:t>
      </w:r>
    </w:p>
    <w:p>
      <w:pPr>
        <w:spacing w:after="0" w:line="214"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The 2019 Incentive Award Plan was originally established under the name Restoration Robotics, Inc., as the 2017 Incentive Award Plan. It was adopted by the Company’s Board on September 12, 2017 and approved by the Company’s stockholders on September 14, 2017. The 2017 Incentive Award Plan was amended, restated, and renamed as set forth above, and was approved by the Company’s stockholders on October 4, 2019.</w:t>
      </w:r>
    </w:p>
    <w:p>
      <w:pPr>
        <w:spacing w:after="0" w:line="156" w:lineRule="exact"/>
        <w:rPr>
          <w:sz w:val="20"/>
          <w:szCs w:val="20"/>
          <w:color w:val="auto"/>
        </w:rPr>
      </w:pPr>
    </w:p>
    <w:p>
      <w:pPr>
        <w:ind w:right="120"/>
        <w:spacing w:after="0" w:line="294" w:lineRule="auto"/>
        <w:rPr>
          <w:sz w:val="20"/>
          <w:szCs w:val="20"/>
          <w:color w:val="auto"/>
        </w:rPr>
      </w:pPr>
      <w:r>
        <w:rPr>
          <w:rFonts w:ascii="Arial" w:cs="Arial" w:eastAsia="Arial" w:hAnsi="Arial"/>
          <w:sz w:val="13"/>
          <w:szCs w:val="13"/>
          <w:color w:val="auto"/>
        </w:rPr>
        <w:t>Under the 2019 Plan, 450,000 shares of common stock were initially reserved for issuance pursuant to a variety of stock-based compensation awards, including stock options, stock appreciation rights, or SARs, performance stock awards, performance stock unit awards, restricted stock awards, restricted stock unit awards and other stock-based awards, plus the number of shares remaining available for future awards under the 2019 Plan as of the date of the Merger. As of September 30, 2020, there were 99,032 of shares of common stock available under the 2019 Plan (698,378 as at December 31, 2019). The 2019 Plan contains an “evergreen” provision, pursuant to which the number of shares of common stock reserved for issuance pursuant to awards under such plan shall be increased on the first day of each year from 2020 and ending in 2029 equal to the lesser of</w:t>
      </w:r>
    </w:p>
    <w:p>
      <w:pPr>
        <w:spacing w:after="0" w:line="2" w:lineRule="exact"/>
        <w:rPr>
          <w:sz w:val="20"/>
          <w:szCs w:val="20"/>
          <w:color w:val="auto"/>
        </w:rPr>
      </w:pPr>
    </w:p>
    <w:p>
      <w:pPr>
        <w:ind w:right="100" w:firstLine="6"/>
        <w:spacing w:after="0" w:line="265" w:lineRule="auto"/>
        <w:tabs>
          <w:tab w:leader="none" w:pos="248" w:val="left"/>
        </w:tabs>
        <w:numPr>
          <w:ilvl w:val="0"/>
          <w:numId w:val="7"/>
        </w:numPr>
        <w:rPr>
          <w:rFonts w:ascii="Arial" w:cs="Arial" w:eastAsia="Arial" w:hAnsi="Arial"/>
          <w:sz w:val="15"/>
          <w:szCs w:val="15"/>
          <w:color w:val="auto"/>
        </w:rPr>
      </w:pPr>
      <w:r>
        <w:rPr>
          <w:rFonts w:ascii="Arial" w:cs="Arial" w:eastAsia="Arial" w:hAnsi="Arial"/>
          <w:sz w:val="15"/>
          <w:szCs w:val="15"/>
          <w:color w:val="auto"/>
        </w:rPr>
        <w:t>four percent (4.00%) of the shares of stock outstanding on the last day of the immediately preceding fiscal year and (B) such smaller number of shares of stock as determined by the Board.</w:t>
      </w:r>
    </w:p>
    <w:p>
      <w:pPr>
        <w:spacing w:after="0" w:line="359"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60"/>
          </w:cols>
          <w:pgMar w:left="680" w:top="492" w:right="359" w:bottom="1440" w:gutter="0" w:footer="0" w:header="0"/>
        </w:sectPr>
      </w:pPr>
    </w:p>
    <w:bookmarkStart w:id="26" w:name="page27"/>
    <w:bookmarkEnd w:id="26"/>
    <w:p>
      <w:pPr>
        <w:ind w:left="360"/>
        <w:spacing w:after="0"/>
        <w:rPr>
          <w:sz w:val="20"/>
          <w:szCs w:val="20"/>
          <w:color w:val="auto"/>
        </w:rPr>
      </w:pPr>
      <w:r>
        <w:rPr>
          <w:rFonts w:ascii="Arial" w:cs="Arial" w:eastAsia="Arial" w:hAnsi="Arial"/>
          <w:sz w:val="14"/>
          <w:szCs w:val="14"/>
          <w:color w:val="auto"/>
        </w:rPr>
        <w:t>The Company recognized stock-based compensation for its employees and non-employees in the accompanying condensed consolidated statements of operations as follows:</w:t>
      </w:r>
    </w:p>
    <w:p>
      <w:pPr>
        <w:spacing w:after="0" w:line="214"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gridSpan w:val="3"/>
          </w:tcPr>
          <w:p>
            <w:pPr>
              <w:jc w:val="right"/>
              <w:ind w:right="319"/>
              <w:spacing w:after="0"/>
              <w:rPr>
                <w:sz w:val="20"/>
                <w:szCs w:val="20"/>
                <w:color w:val="auto"/>
              </w:rPr>
            </w:pPr>
            <w:r>
              <w:rPr>
                <w:rFonts w:ascii="Arial" w:cs="Arial" w:eastAsia="Arial" w:hAnsi="Arial"/>
                <w:sz w:val="12"/>
                <w:szCs w:val="12"/>
                <w:b w:val="1"/>
                <w:bCs w:val="1"/>
                <w:color w:val="auto"/>
                <w:w w:val="96"/>
              </w:rPr>
              <w:t>Three Months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left="370"/>
              <w:spacing w:after="0"/>
              <w:rPr>
                <w:sz w:val="20"/>
                <w:szCs w:val="20"/>
                <w:color w:val="auto"/>
              </w:rPr>
            </w:pPr>
            <w:r>
              <w:rPr>
                <w:rFonts w:ascii="Arial" w:cs="Arial" w:eastAsia="Arial" w:hAnsi="Arial"/>
                <w:sz w:val="12"/>
                <w:szCs w:val="12"/>
                <w:b w:val="1"/>
                <w:bCs w:val="1"/>
                <w:color w:val="auto"/>
                <w:w w:val="91"/>
              </w:rPr>
              <w:t>Nine Months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3440" w:type="dxa"/>
            <w:vAlign w:val="bottom"/>
          </w:tcPr>
          <w:p>
            <w:pPr>
              <w:spacing w:after="0"/>
              <w:rPr>
                <w:sz w:val="12"/>
                <w:szCs w:val="12"/>
                <w:color w:val="auto"/>
              </w:rPr>
            </w:pPr>
          </w:p>
        </w:tc>
        <w:tc>
          <w:tcPr>
            <w:tcW w:w="1780" w:type="dxa"/>
            <w:vAlign w:val="bottom"/>
            <w:gridSpan w:val="4"/>
          </w:tcPr>
          <w:p>
            <w:pPr>
              <w:jc w:val="right"/>
              <w:ind w:right="139"/>
              <w:spacing w:after="0"/>
              <w:rPr>
                <w:sz w:val="20"/>
                <w:szCs w:val="20"/>
                <w:color w:val="auto"/>
              </w:rPr>
            </w:pPr>
            <w:r>
              <w:rPr>
                <w:rFonts w:ascii="Arial" w:cs="Arial" w:eastAsia="Arial" w:hAnsi="Arial"/>
                <w:sz w:val="12"/>
                <w:szCs w:val="12"/>
                <w:b w:val="1"/>
                <w:bCs w:val="1"/>
                <w:color w:val="auto"/>
              </w:rPr>
              <w:t>Ended September 30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90"/>
              </w:rPr>
              <w:t>Ended September 30</w:t>
            </w:r>
          </w:p>
        </w:tc>
      </w:tr>
      <w:tr>
        <w:trPr>
          <w:trHeight w:val="128"/>
        </w:trPr>
        <w:tc>
          <w:tcPr>
            <w:tcW w:w="3440" w:type="dxa"/>
            <w:vAlign w:val="bottom"/>
            <w:tcBorders>
              <w:bottom w:val="single" w:sz="8" w:color="CFF0FC"/>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3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CFF0FC"/>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2019</w:t>
            </w:r>
          </w:p>
        </w:tc>
        <w:tc>
          <w:tcPr>
            <w:tcW w:w="300" w:type="dxa"/>
            <w:vAlign w:val="bottom"/>
            <w:tcBorders>
              <w:top w:val="single" w:sz="8" w:color="auto"/>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90"/>
              <w:spacing w:after="0" w:line="128"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307"/>
              <w:spacing w:after="0" w:line="128" w:lineRule="exact"/>
              <w:rPr>
                <w:sz w:val="20"/>
                <w:szCs w:val="20"/>
                <w:color w:val="auto"/>
              </w:rPr>
            </w:pPr>
            <w:r>
              <w:rPr>
                <w:rFonts w:ascii="Arial" w:cs="Arial" w:eastAsia="Arial" w:hAnsi="Arial"/>
                <w:sz w:val="12"/>
                <w:szCs w:val="12"/>
                <w:b w:val="1"/>
                <w:bCs w:val="1"/>
                <w:color w:val="auto"/>
              </w:rPr>
              <w:t>2019</w:t>
            </w:r>
          </w:p>
        </w:tc>
        <w:tc>
          <w:tcPr>
            <w:tcW w:w="60" w:type="dxa"/>
            <w:vAlign w:val="bottom"/>
            <w:tcBorders>
              <w:bottom w:val="single" w:sz="8" w:color="CFF0FC"/>
            </w:tcBorders>
          </w:tcPr>
          <w:p>
            <w:pPr>
              <w:spacing w:after="0"/>
              <w:rPr>
                <w:sz w:val="11"/>
                <w:szCs w:val="11"/>
                <w:color w:val="auto"/>
              </w:rPr>
            </w:pPr>
          </w:p>
        </w:tc>
      </w:tr>
      <w:tr>
        <w:trPr>
          <w:trHeight w:val="184"/>
        </w:trPr>
        <w:tc>
          <w:tcPr>
            <w:tcW w:w="3440" w:type="dxa"/>
            <w:vAlign w:val="bottom"/>
            <w:shd w:val="clear" w:color="auto" w:fill="CFF0FC"/>
          </w:tcPr>
          <w:p>
            <w:pPr>
              <w:spacing w:after="0"/>
              <w:rPr>
                <w:sz w:val="20"/>
                <w:szCs w:val="20"/>
                <w:color w:val="auto"/>
              </w:rPr>
            </w:pPr>
            <w:r>
              <w:rPr>
                <w:rFonts w:ascii="Arial" w:cs="Arial" w:eastAsia="Arial" w:hAnsi="Arial"/>
                <w:sz w:val="15"/>
                <w:szCs w:val="15"/>
                <w:color w:val="auto"/>
              </w:rPr>
              <w:t>Cost of sales</w:t>
            </w:r>
          </w:p>
        </w:tc>
        <w:tc>
          <w:tcPr>
            <w:tcW w:w="620" w:type="dxa"/>
            <w:vAlign w:val="bottom"/>
            <w:shd w:val="clear" w:color="auto" w:fill="CFF0FC"/>
          </w:tcPr>
          <w:p>
            <w:pPr>
              <w:jc w:val="right"/>
              <w:ind w:right="505"/>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840" w:type="dxa"/>
            <w:vAlign w:val="bottom"/>
            <w:gridSpan w:val="2"/>
            <w:shd w:val="clear" w:color="auto" w:fill="CFF0FC"/>
          </w:tcPr>
          <w:p>
            <w:pPr>
              <w:jc w:val="right"/>
              <w:ind w:right="519"/>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r>
      <w:tr>
        <w:trPr>
          <w:trHeight w:val="192"/>
        </w:trPr>
        <w:tc>
          <w:tcPr>
            <w:tcW w:w="3440" w:type="dxa"/>
            <w:vAlign w:val="bottom"/>
          </w:tcPr>
          <w:p>
            <w:pPr>
              <w:spacing w:after="0"/>
              <w:rPr>
                <w:sz w:val="20"/>
                <w:szCs w:val="20"/>
                <w:color w:val="auto"/>
              </w:rPr>
            </w:pPr>
            <w:r>
              <w:rPr>
                <w:rFonts w:ascii="Arial" w:cs="Arial" w:eastAsia="Arial" w:hAnsi="Arial"/>
                <w:sz w:val="15"/>
                <w:szCs w:val="15"/>
                <w:color w:val="auto"/>
              </w:rPr>
              <w:t>Selling and marketing</w:t>
            </w:r>
          </w:p>
        </w:tc>
        <w:tc>
          <w:tcPr>
            <w:tcW w:w="6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234</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121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647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954</w:t>
            </w:r>
          </w:p>
        </w:tc>
        <w:tc>
          <w:tcPr>
            <w:tcW w:w="60" w:type="dxa"/>
            <w:vAlign w:val="bottom"/>
          </w:tcPr>
          <w:p>
            <w:pPr>
              <w:spacing w:after="0"/>
              <w:rPr>
                <w:sz w:val="16"/>
                <w:szCs w:val="16"/>
                <w:color w:val="auto"/>
              </w:rPr>
            </w:pPr>
          </w:p>
        </w:tc>
      </w:tr>
      <w:tr>
        <w:trPr>
          <w:trHeight w:val="194"/>
        </w:trPr>
        <w:tc>
          <w:tcPr>
            <w:tcW w:w="3440" w:type="dxa"/>
            <w:vAlign w:val="bottom"/>
            <w:shd w:val="clear" w:color="auto" w:fill="CFF0FC"/>
          </w:tcPr>
          <w:p>
            <w:pPr>
              <w:spacing w:after="0"/>
              <w:rPr>
                <w:sz w:val="20"/>
                <w:szCs w:val="20"/>
                <w:color w:val="auto"/>
              </w:rPr>
            </w:pPr>
            <w:r>
              <w:rPr>
                <w:rFonts w:ascii="Arial" w:cs="Arial" w:eastAsia="Arial" w:hAnsi="Arial"/>
                <w:sz w:val="15"/>
                <w:szCs w:val="15"/>
                <w:color w:val="auto"/>
              </w:rPr>
              <w:t>General and administrative</w:t>
            </w:r>
          </w:p>
        </w:tc>
        <w:tc>
          <w:tcPr>
            <w:tcW w:w="62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285</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869</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694</w:t>
            </w:r>
          </w:p>
        </w:tc>
        <w:tc>
          <w:tcPr>
            <w:tcW w:w="60" w:type="dxa"/>
            <w:vAlign w:val="bottom"/>
            <w:shd w:val="clear" w:color="auto" w:fill="CFF0FC"/>
          </w:tcPr>
          <w:p>
            <w:pPr>
              <w:spacing w:after="0"/>
              <w:rPr>
                <w:sz w:val="16"/>
                <w:szCs w:val="16"/>
                <w:color w:val="auto"/>
              </w:rPr>
            </w:pPr>
          </w:p>
        </w:tc>
      </w:tr>
      <w:tr>
        <w:trPr>
          <w:trHeight w:val="192"/>
        </w:trPr>
        <w:tc>
          <w:tcPr>
            <w:tcW w:w="34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Research and development</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80" w:type="dxa"/>
            <w:vAlign w:val="bottom"/>
            <w:tcBorders>
              <w:bottom w:val="single" w:sz="8" w:color="CFF0FC"/>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c>
          <w:tcPr>
            <w:tcW w:w="2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60" w:type="dxa"/>
            <w:vAlign w:val="bottom"/>
            <w:tcBorders>
              <w:bottom w:val="single" w:sz="8" w:color="CFF0FC"/>
            </w:tcBorders>
          </w:tcPr>
          <w:p>
            <w:pPr>
              <w:spacing w:after="0"/>
              <w:rPr>
                <w:sz w:val="16"/>
                <w:szCs w:val="16"/>
                <w:color w:val="auto"/>
              </w:rPr>
            </w:pPr>
          </w:p>
        </w:tc>
      </w:tr>
      <w:tr>
        <w:trPr>
          <w:trHeight w:val="184"/>
        </w:trPr>
        <w:tc>
          <w:tcPr>
            <w:tcW w:w="344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stock-based compensation</w:t>
            </w:r>
          </w:p>
        </w:tc>
        <w:tc>
          <w:tcPr>
            <w:tcW w:w="620" w:type="dxa"/>
            <w:vAlign w:val="bottom"/>
            <w:shd w:val="clear" w:color="auto" w:fill="CFF0FC"/>
          </w:tcPr>
          <w:p>
            <w:pPr>
              <w:jc w:val="right"/>
              <w:ind w:right="505"/>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547</w:t>
            </w:r>
          </w:p>
        </w:tc>
        <w:tc>
          <w:tcPr>
            <w:tcW w:w="840" w:type="dxa"/>
            <w:vAlign w:val="bottom"/>
            <w:gridSpan w:val="2"/>
            <w:shd w:val="clear" w:color="auto" w:fill="CFF0FC"/>
          </w:tcPr>
          <w:p>
            <w:pPr>
              <w:jc w:val="right"/>
              <w:ind w:right="519"/>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1,603</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1,732</w:t>
            </w:r>
          </w:p>
        </w:tc>
        <w:tc>
          <w:tcPr>
            <w:tcW w:w="60" w:type="dxa"/>
            <w:vAlign w:val="bottom"/>
            <w:shd w:val="clear" w:color="auto" w:fill="CFF0FC"/>
          </w:tcPr>
          <w:p>
            <w:pPr>
              <w:spacing w:after="0"/>
              <w:rPr>
                <w:sz w:val="16"/>
                <w:szCs w:val="16"/>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7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Stock Options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fair value of each option is estimated at the date of grant using the Black-Scholes option pricing formula with the following assumptions:</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1560" w:type="dxa"/>
            <w:vAlign w:val="bottom"/>
            <w:gridSpan w:val="3"/>
          </w:tcPr>
          <w:p>
            <w:pPr>
              <w:jc w:val="center"/>
              <w:ind w:left="611"/>
              <w:spacing w:after="0"/>
              <w:rPr>
                <w:sz w:val="20"/>
                <w:szCs w:val="20"/>
                <w:color w:val="auto"/>
              </w:rPr>
            </w:pPr>
            <w:r>
              <w:rPr>
                <w:rFonts w:ascii="Arial" w:cs="Arial" w:eastAsia="Arial" w:hAnsi="Arial"/>
                <w:sz w:val="12"/>
                <w:szCs w:val="12"/>
                <w:b w:val="1"/>
                <w:bCs w:val="1"/>
                <w:color w:val="auto"/>
                <w:w w:val="91"/>
              </w:rPr>
              <w:t>Three Months</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ind w:left="800"/>
              <w:spacing w:after="0"/>
              <w:rPr>
                <w:sz w:val="20"/>
                <w:szCs w:val="20"/>
                <w:color w:val="auto"/>
              </w:rPr>
            </w:pPr>
            <w:r>
              <w:rPr>
                <w:rFonts w:ascii="Arial" w:cs="Arial" w:eastAsia="Arial" w:hAnsi="Arial"/>
                <w:sz w:val="12"/>
                <w:szCs w:val="12"/>
                <w:b w:val="1"/>
                <w:bCs w:val="1"/>
                <w:color w:val="auto"/>
              </w:rPr>
              <w:t>Nine Months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5"/>
        </w:trPr>
        <w:tc>
          <w:tcPr>
            <w:tcW w:w="3540" w:type="dxa"/>
            <w:vAlign w:val="bottom"/>
          </w:tcPr>
          <w:p>
            <w:pPr>
              <w:spacing w:after="0"/>
              <w:rPr>
                <w:sz w:val="12"/>
                <w:szCs w:val="12"/>
                <w:color w:val="auto"/>
              </w:rPr>
            </w:pPr>
          </w:p>
        </w:tc>
        <w:tc>
          <w:tcPr>
            <w:tcW w:w="1880" w:type="dxa"/>
            <w:vAlign w:val="bottom"/>
            <w:gridSpan w:val="4"/>
          </w:tcPr>
          <w:p>
            <w:pPr>
              <w:jc w:val="center"/>
              <w:ind w:left="291"/>
              <w:spacing w:after="0"/>
              <w:rPr>
                <w:sz w:val="20"/>
                <w:szCs w:val="20"/>
                <w:color w:val="auto"/>
              </w:rPr>
            </w:pPr>
            <w:r>
              <w:rPr>
                <w:rFonts w:ascii="Arial" w:cs="Arial" w:eastAsia="Arial" w:hAnsi="Arial"/>
                <w:sz w:val="12"/>
                <w:szCs w:val="12"/>
                <w:b w:val="1"/>
                <w:bCs w:val="1"/>
                <w:color w:val="auto"/>
                <w:w w:val="90"/>
              </w:rPr>
              <w:t>Ended September 30</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2"/>
                <w:szCs w:val="12"/>
                <w:b w:val="1"/>
                <w:bCs w:val="1"/>
                <w:color w:val="auto"/>
              </w:rPr>
              <w:t>Ended September 30</w:t>
            </w:r>
          </w:p>
        </w:tc>
      </w:tr>
      <w:tr>
        <w:trPr>
          <w:trHeight w:val="128"/>
        </w:trPr>
        <w:tc>
          <w:tcPr>
            <w:tcW w:w="3540" w:type="dxa"/>
            <w:vAlign w:val="bottom"/>
            <w:tcBorders>
              <w:bottom w:val="single" w:sz="8" w:color="CFF0FC"/>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11"/>
              <w:spacing w:after="0" w:line="128"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CFF0FC"/>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2019</w:t>
            </w:r>
          </w:p>
        </w:tc>
        <w:tc>
          <w:tcPr>
            <w:tcW w:w="360" w:type="dxa"/>
            <w:vAlign w:val="bottom"/>
            <w:tcBorders>
              <w:top w:val="single" w:sz="8" w:color="auto"/>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11"/>
              <w:spacing w:after="0" w:line="128"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27"/>
              <w:spacing w:after="0" w:line="128"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FF0FC"/>
            </w:tcBorders>
          </w:tcPr>
          <w:p>
            <w:pPr>
              <w:spacing w:after="0"/>
              <w:rPr>
                <w:sz w:val="11"/>
                <w:szCs w:val="11"/>
                <w:color w:val="auto"/>
              </w:rPr>
            </w:pPr>
          </w:p>
        </w:tc>
      </w:tr>
      <w:tr>
        <w:trPr>
          <w:trHeight w:val="184"/>
        </w:trPr>
        <w:tc>
          <w:tcPr>
            <w:tcW w:w="3540" w:type="dxa"/>
            <w:vAlign w:val="bottom"/>
            <w:shd w:val="clear" w:color="auto" w:fill="CFF0FC"/>
          </w:tcPr>
          <w:p>
            <w:pPr>
              <w:spacing w:after="0"/>
              <w:rPr>
                <w:sz w:val="20"/>
                <w:szCs w:val="20"/>
                <w:color w:val="auto"/>
              </w:rPr>
            </w:pPr>
            <w:r>
              <w:rPr>
                <w:rFonts w:ascii="Arial" w:cs="Arial" w:eastAsia="Arial" w:hAnsi="Arial"/>
                <w:sz w:val="15"/>
                <w:szCs w:val="15"/>
                <w:color w:val="auto"/>
              </w:rPr>
              <w:t>Expected term (in years)</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6.04</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4.36</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5.00-6.54</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4.00-5.00</w:t>
            </w:r>
          </w:p>
        </w:tc>
        <w:tc>
          <w:tcPr>
            <w:tcW w:w="140" w:type="dxa"/>
            <w:vAlign w:val="bottom"/>
            <w:shd w:val="clear" w:color="auto" w:fill="CFF0FC"/>
          </w:tcPr>
          <w:p>
            <w:pPr>
              <w:spacing w:after="0"/>
              <w:rPr>
                <w:sz w:val="16"/>
                <w:szCs w:val="16"/>
                <w:color w:val="auto"/>
              </w:rPr>
            </w:pPr>
          </w:p>
        </w:tc>
      </w:tr>
      <w:tr>
        <w:trPr>
          <w:trHeight w:val="192"/>
        </w:trPr>
        <w:tc>
          <w:tcPr>
            <w:tcW w:w="3540" w:type="dxa"/>
            <w:vAlign w:val="bottom"/>
          </w:tcPr>
          <w:p>
            <w:pPr>
              <w:spacing w:after="0"/>
              <w:rPr>
                <w:sz w:val="20"/>
                <w:szCs w:val="20"/>
                <w:color w:val="auto"/>
              </w:rPr>
            </w:pPr>
            <w:r>
              <w:rPr>
                <w:rFonts w:ascii="Arial" w:cs="Arial" w:eastAsia="Arial" w:hAnsi="Arial"/>
                <w:sz w:val="15"/>
                <w:szCs w:val="15"/>
                <w:color w:val="auto"/>
              </w:rPr>
              <w:t>Risk-free interest rate</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0.38 -0.40%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2.43%</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0.38-1.50%</w:t>
            </w:r>
          </w:p>
        </w:tc>
        <w:tc>
          <w:tcPr>
            <w:tcW w:w="2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1.4-2.53%</w:t>
            </w:r>
          </w:p>
        </w:tc>
      </w:tr>
      <w:tr>
        <w:trPr>
          <w:trHeight w:val="194"/>
        </w:trPr>
        <w:tc>
          <w:tcPr>
            <w:tcW w:w="3540" w:type="dxa"/>
            <w:vAlign w:val="bottom"/>
            <w:shd w:val="clear" w:color="auto" w:fill="CFF0FC"/>
          </w:tcPr>
          <w:p>
            <w:pPr>
              <w:spacing w:after="0"/>
              <w:rPr>
                <w:sz w:val="20"/>
                <w:szCs w:val="20"/>
                <w:color w:val="auto"/>
              </w:rPr>
            </w:pPr>
            <w:r>
              <w:rPr>
                <w:rFonts w:ascii="Arial" w:cs="Arial" w:eastAsia="Arial" w:hAnsi="Arial"/>
                <w:sz w:val="15"/>
                <w:szCs w:val="15"/>
                <w:color w:val="auto"/>
              </w:rPr>
              <w:t>Expected volatility</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44.30%</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94"/>
              </w:rPr>
              <w:t>50.00%</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42.81%</w:t>
            </w:r>
          </w:p>
        </w:tc>
        <w:tc>
          <w:tcPr>
            <w:tcW w:w="2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49.00%</w:t>
            </w:r>
          </w:p>
        </w:tc>
      </w:tr>
      <w:tr>
        <w:trPr>
          <w:trHeight w:val="192"/>
        </w:trPr>
        <w:tc>
          <w:tcPr>
            <w:tcW w:w="3540" w:type="dxa"/>
            <w:vAlign w:val="bottom"/>
          </w:tcPr>
          <w:p>
            <w:pPr>
              <w:spacing w:after="0"/>
              <w:rPr>
                <w:sz w:val="20"/>
                <w:szCs w:val="20"/>
                <w:color w:val="auto"/>
              </w:rPr>
            </w:pPr>
            <w:r>
              <w:rPr>
                <w:rFonts w:ascii="Arial" w:cs="Arial" w:eastAsia="Arial" w:hAnsi="Arial"/>
                <w:sz w:val="15"/>
                <w:szCs w:val="15"/>
                <w:color w:val="auto"/>
              </w:rPr>
              <w:t>Expected dividend rate</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0%</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0%</w:t>
            </w:r>
          </w:p>
        </w:tc>
        <w:tc>
          <w:tcPr>
            <w:tcW w:w="2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0%</w:t>
            </w: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management’s best estimate for the options to be exercised by option holders.</w:t>
      </w:r>
    </w:p>
    <w:p>
      <w:pPr>
        <w:spacing w:after="0" w:line="214" w:lineRule="exact"/>
        <w:rPr>
          <w:sz w:val="20"/>
          <w:szCs w:val="20"/>
          <w:color w:val="auto"/>
        </w:rPr>
      </w:pPr>
    </w:p>
    <w:p>
      <w:pPr>
        <w:ind w:left="360" w:right="220"/>
        <w:spacing w:after="0" w:line="358" w:lineRule="auto"/>
        <w:rPr>
          <w:sz w:val="20"/>
          <w:szCs w:val="20"/>
          <w:color w:val="auto"/>
        </w:rPr>
      </w:pPr>
      <w:r>
        <w:rPr>
          <w:rFonts w:ascii="Arial" w:cs="Arial" w:eastAsia="Arial" w:hAnsi="Arial"/>
          <w:sz w:val="13"/>
          <w:szCs w:val="13"/>
          <w:i w:val="1"/>
          <w:iCs w:val="1"/>
          <w:color w:val="auto"/>
        </w:rPr>
        <w:t>Volatility</w:t>
      </w:r>
      <w:r>
        <w:rPr>
          <w:rFonts w:ascii="Arial" w:cs="Arial" w:eastAsia="Arial" w:hAnsi="Arial"/>
          <w:sz w:val="13"/>
          <w:szCs w:val="13"/>
          <w:color w:val="auto"/>
        </w:rPr>
        <w:t>—Since the Company does not have a trading history for its common stock, the expected volatility was derived from the historical stock volatilities of comparable peer</w:t>
      </w:r>
      <w:r>
        <w:rPr>
          <w:rFonts w:ascii="Arial" w:cs="Arial" w:eastAsia="Arial" w:hAnsi="Arial"/>
          <w:sz w:val="13"/>
          <w:szCs w:val="13"/>
          <w:i w:val="1"/>
          <w:iCs w:val="1"/>
          <w:color w:val="auto"/>
        </w:rPr>
        <w:t xml:space="preserve"> </w:t>
      </w:r>
      <w:r>
        <w:rPr>
          <w:rFonts w:ascii="Arial" w:cs="Arial" w:eastAsia="Arial" w:hAnsi="Arial"/>
          <w:sz w:val="13"/>
          <w:szCs w:val="13"/>
          <w:color w:val="auto"/>
        </w:rPr>
        <w:t>public companies within its industry that are considered to be comparable to the Company’s business over a period equivalent to the expected term of the stock-based awards.</w:t>
      </w:r>
    </w:p>
    <w:p>
      <w:pPr>
        <w:spacing w:after="0" w:line="122" w:lineRule="exact"/>
        <w:rPr>
          <w:sz w:val="20"/>
          <w:szCs w:val="20"/>
          <w:color w:val="auto"/>
        </w:rPr>
      </w:pPr>
    </w:p>
    <w:p>
      <w:pPr>
        <w:ind w:left="360" w:right="400"/>
        <w:spacing w:after="0" w:line="278" w:lineRule="auto"/>
        <w:rPr>
          <w:sz w:val="20"/>
          <w:szCs w:val="20"/>
          <w:color w:val="auto"/>
        </w:rPr>
      </w:pPr>
      <w:r>
        <w:rPr>
          <w:rFonts w:ascii="Arial" w:cs="Arial" w:eastAsia="Arial" w:hAnsi="Arial"/>
          <w:sz w:val="15"/>
          <w:szCs w:val="15"/>
          <w:i w:val="1"/>
          <w:iCs w:val="1"/>
          <w:color w:val="auto"/>
        </w:rPr>
        <w:t>Risk-Free Interest Rate</w:t>
      </w:r>
      <w:r>
        <w:rPr>
          <w:rFonts w:ascii="Arial" w:cs="Arial" w:eastAsia="Arial" w:hAnsi="Arial"/>
          <w:sz w:val="15"/>
          <w:szCs w:val="15"/>
          <w:color w:val="auto"/>
        </w:rPr>
        <w:t>—The risk-free interest rate is based on the U.S. Treasury yield curve in effect at the date of grant for zero-coupon U.S. Treasury notes with maturities</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equal to the stock-based awards’ expected term.</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Dividend Rate</w:t>
      </w:r>
      <w:r>
        <w:rPr>
          <w:rFonts w:ascii="Arial" w:cs="Arial" w:eastAsia="Arial" w:hAnsi="Arial"/>
          <w:sz w:val="14"/>
          <w:szCs w:val="14"/>
          <w:color w:val="auto"/>
        </w:rPr>
        <w:t>—The expected dividend is zero as the Company has not paid nor does it anticipate paying any dividends on its common stock in the foreseeable future.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Fair Value of Common Stock</w:t>
      </w:r>
      <w:r>
        <w:rPr>
          <w:rFonts w:ascii="Arial" w:cs="Arial" w:eastAsia="Arial" w:hAnsi="Arial"/>
          <w:sz w:val="13"/>
          <w:szCs w:val="13"/>
          <w:color w:val="auto"/>
        </w:rPr>
        <w:t>— Prior to the Merger, Venus Concept Ltd. used the price per share in its latest sale of securities as an estimate of the fair value of its ordinary shares.</w:t>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After the closing of the Merger, the fair value of the Company’s common stock is used to estimate the fair value of the stock-based awards at grant date.</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stock option activity under the Company’s stock option plans: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left="214"/>
              <w:spacing w:after="0"/>
              <w:rPr>
                <w:sz w:val="20"/>
                <w:szCs w:val="20"/>
                <w:color w:val="auto"/>
              </w:rPr>
            </w:pPr>
            <w:r>
              <w:rPr>
                <w:rFonts w:ascii="Arial" w:cs="Arial" w:eastAsia="Arial" w:hAnsi="Arial"/>
                <w:sz w:val="12"/>
                <w:szCs w:val="12"/>
                <w:b w:val="1"/>
                <w:bCs w:val="1"/>
                <w:color w:val="auto"/>
                <w:w w:val="93"/>
              </w:rPr>
              <w:t>Weighted-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Weighted-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left="214"/>
              <w:spacing w:after="0" w:line="125" w:lineRule="exact"/>
              <w:rPr>
                <w:sz w:val="20"/>
                <w:szCs w:val="20"/>
                <w:color w:val="auto"/>
              </w:rPr>
            </w:pPr>
            <w:r>
              <w:rPr>
                <w:rFonts w:ascii="Arial" w:cs="Arial" w:eastAsia="Arial" w:hAnsi="Arial"/>
                <w:sz w:val="12"/>
                <w:szCs w:val="12"/>
                <w:b w:val="1"/>
                <w:bCs w:val="1"/>
                <w:color w:val="auto"/>
                <w:w w:val="88"/>
              </w:rPr>
              <w:t>Average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left="194"/>
              <w:spacing w:after="0" w:line="125" w:lineRule="exact"/>
              <w:rPr>
                <w:sz w:val="20"/>
                <w:szCs w:val="20"/>
                <w:color w:val="auto"/>
              </w:rPr>
            </w:pPr>
            <w:r>
              <w:rPr>
                <w:rFonts w:ascii="Arial" w:cs="Arial" w:eastAsia="Arial" w:hAnsi="Arial"/>
                <w:sz w:val="12"/>
                <w:szCs w:val="12"/>
                <w:b w:val="1"/>
                <w:bCs w:val="1"/>
                <w:color w:val="auto"/>
                <w:w w:val="89"/>
              </w:rPr>
              <w:t>Exercise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8"/>
              </w:rPr>
              <w:t>Average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0"/>
              </w:rPr>
              <w:t>Aggregate</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0"/>
                <w:szCs w:val="10"/>
                <w:color w:val="auto"/>
              </w:rPr>
            </w:pPr>
          </w:p>
        </w:tc>
        <w:tc>
          <w:tcPr>
            <w:tcW w:w="820" w:type="dxa"/>
            <w:vAlign w:val="bottom"/>
          </w:tcPr>
          <w:p>
            <w:pPr>
              <w:jc w:val="center"/>
              <w:ind w:left="194"/>
              <w:spacing w:after="0" w:line="125" w:lineRule="exact"/>
              <w:rPr>
                <w:sz w:val="20"/>
                <w:szCs w:val="20"/>
                <w:color w:val="auto"/>
              </w:rPr>
            </w:pPr>
            <w:r>
              <w:rPr>
                <w:rFonts w:ascii="Arial" w:cs="Arial" w:eastAsia="Arial" w:hAnsi="Arial"/>
                <w:sz w:val="12"/>
                <w:szCs w:val="12"/>
                <w:b w:val="1"/>
                <w:bCs w:val="1"/>
                <w:color w:val="auto"/>
                <w:w w:val="93"/>
              </w:rPr>
              <w:t>Price per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1"/>
              </w:rPr>
              <w:t>Remaining</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left="214"/>
              <w:spacing w:after="0" w:line="125" w:lineRule="exact"/>
              <w:rPr>
                <w:sz w:val="20"/>
                <w:szCs w:val="20"/>
                <w:color w:val="auto"/>
              </w:rPr>
            </w:pPr>
            <w:r>
              <w:rPr>
                <w:rFonts w:ascii="Arial" w:cs="Arial" w:eastAsia="Arial" w:hAnsi="Arial"/>
                <w:sz w:val="12"/>
                <w:szCs w:val="12"/>
                <w:b w:val="1"/>
                <w:bCs w:val="1"/>
                <w:color w:val="auto"/>
                <w:w w:val="92"/>
              </w:rPr>
              <w:t>Share,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Contractual</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4"/>
              </w:rPr>
              <w:t>Intrinsic</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37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center"/>
              <w:ind w:left="214"/>
              <w:spacing w:after="0"/>
              <w:rPr>
                <w:sz w:val="20"/>
                <w:szCs w:val="20"/>
                <w:color w:val="auto"/>
              </w:rPr>
            </w:pPr>
            <w:r>
              <w:rPr>
                <w:rFonts w:ascii="Arial" w:cs="Arial" w:eastAsia="Arial" w:hAnsi="Arial"/>
                <w:sz w:val="12"/>
                <w:szCs w:val="12"/>
                <w:b w:val="1"/>
                <w:bCs w:val="1"/>
                <w:color w:val="auto"/>
                <w:w w:val="89"/>
              </w:rPr>
              <w:t>$</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Term</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2"/>
                <w:szCs w:val="12"/>
                <w:b w:val="1"/>
                <w:bCs w:val="1"/>
                <w:color w:val="auto"/>
                <w:w w:val="93"/>
              </w:rPr>
              <w:t>Value</w:t>
            </w:r>
          </w:p>
        </w:tc>
        <w:tc>
          <w:tcPr>
            <w:tcW w:w="80" w:type="dxa"/>
            <w:vAlign w:val="bottom"/>
            <w:tcBorders>
              <w:bottom w:val="single" w:sz="8" w:color="CFF0FC"/>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Outstanding – January 1, 2020</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3,278,439</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74"/>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8"/>
              </w:rPr>
              <w:t>5.29</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5.08</w:t>
            </w:r>
          </w:p>
        </w:tc>
        <w:tc>
          <w:tcPr>
            <w:tcW w:w="38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4,885</w:t>
            </w:r>
          </w:p>
        </w:tc>
        <w:tc>
          <w:tcPr>
            <w:tcW w:w="80" w:type="dxa"/>
            <w:vAlign w:val="bottom"/>
            <w:shd w:val="clear" w:color="auto" w:fill="CFF0FC"/>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3700" w:type="dxa"/>
            <w:vAlign w:val="bottom"/>
          </w:tcPr>
          <w:p>
            <w:pPr>
              <w:ind w:left="100"/>
              <w:spacing w:after="0"/>
              <w:rPr>
                <w:sz w:val="20"/>
                <w:szCs w:val="20"/>
                <w:color w:val="auto"/>
              </w:rPr>
            </w:pPr>
            <w:r>
              <w:rPr>
                <w:rFonts w:ascii="Arial" w:cs="Arial" w:eastAsia="Arial" w:hAnsi="Arial"/>
                <w:sz w:val="15"/>
                <w:szCs w:val="15"/>
                <w:color w:val="auto"/>
              </w:rPr>
              <w:t>Options granted</w:t>
            </w:r>
          </w:p>
        </w:tc>
        <w:tc>
          <w:tcPr>
            <w:tcW w:w="1080" w:type="dxa"/>
            <w:vAlign w:val="bottom"/>
          </w:tcPr>
          <w:p>
            <w:pPr>
              <w:jc w:val="right"/>
              <w:spacing w:after="0"/>
              <w:rPr>
                <w:sz w:val="20"/>
                <w:szCs w:val="20"/>
                <w:color w:val="auto"/>
              </w:rPr>
            </w:pPr>
            <w:r>
              <w:rPr>
                <w:rFonts w:ascii="Arial" w:cs="Arial" w:eastAsia="Arial" w:hAnsi="Arial"/>
                <w:sz w:val="15"/>
                <w:szCs w:val="15"/>
                <w:color w:val="auto"/>
              </w:rPr>
              <w:t>1,944,000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88"/>
              </w:rPr>
              <w:t>4.20</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37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Options exercised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(48,588)</w:t>
            </w: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8"/>
              </w:rPr>
              <w:t>3.59</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3700" w:type="dxa"/>
            <w:vAlign w:val="bottom"/>
          </w:tcPr>
          <w:p>
            <w:pPr>
              <w:ind w:left="100"/>
              <w:spacing w:after="0"/>
              <w:rPr>
                <w:sz w:val="20"/>
                <w:szCs w:val="20"/>
                <w:color w:val="auto"/>
              </w:rPr>
            </w:pPr>
            <w:r>
              <w:rPr>
                <w:rFonts w:ascii="Arial" w:cs="Arial" w:eastAsia="Arial" w:hAnsi="Arial"/>
                <w:sz w:val="15"/>
                <w:szCs w:val="15"/>
                <w:color w:val="auto"/>
              </w:rPr>
              <w:t>Options forfeited/cancelled</w:t>
            </w: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(288,654)</w:t>
            </w:r>
          </w:p>
        </w:tc>
        <w:tc>
          <w:tcPr>
            <w:tcW w:w="1180" w:type="dxa"/>
            <w:vAlign w:val="bottom"/>
            <w:gridSpan w:val="3"/>
          </w:tcPr>
          <w:p>
            <w:pPr>
              <w:jc w:val="right"/>
              <w:spacing w:after="0"/>
              <w:rPr>
                <w:sz w:val="20"/>
                <w:szCs w:val="20"/>
                <w:color w:val="auto"/>
              </w:rPr>
            </w:pPr>
            <w:r>
              <w:rPr>
                <w:rFonts w:ascii="Arial" w:cs="Arial" w:eastAsia="Arial" w:hAnsi="Arial"/>
                <w:sz w:val="15"/>
                <w:szCs w:val="15"/>
                <w:color w:val="auto"/>
              </w:rPr>
              <w:t>15.91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Outstanding – September 30,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4,885,197</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820" w:type="dxa"/>
            <w:vAlign w:val="bottom"/>
            <w:tcBorders>
              <w:top w:val="single" w:sz="8" w:color="auto"/>
              <w:bottom w:val="single" w:sz="8" w:color="auto"/>
            </w:tcBorders>
            <w:shd w:val="clear" w:color="auto" w:fill="CFF0FC"/>
          </w:tcPr>
          <w:p>
            <w:pPr>
              <w:jc w:val="right"/>
              <w:ind w:right="674"/>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88"/>
              </w:rPr>
              <w:t>4.27</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6.01</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1,326</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1240"/>
              <w:spacing w:after="0"/>
              <w:rPr>
                <w:sz w:val="20"/>
                <w:szCs w:val="20"/>
                <w:color w:val="auto"/>
              </w:rPr>
            </w:pPr>
            <w:r>
              <w:rPr>
                <w:rFonts w:ascii="Arial" w:cs="Arial" w:eastAsia="Arial" w:hAnsi="Arial"/>
                <w:sz w:val="15"/>
                <w:szCs w:val="15"/>
                <w:color w:val="auto"/>
              </w:rPr>
              <w:t>Exercisable – September 30, 2020</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4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2,894,591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674"/>
              <w:spacing w:after="0" w:line="167" w:lineRule="exact"/>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88"/>
              </w:rPr>
              <w:t>3.82</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3.77</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line="167"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1,326</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240" w:type="dxa"/>
            <w:vAlign w:val="bottom"/>
          </w:tcPr>
          <w:p>
            <w:pPr>
              <w:spacing w:after="0"/>
              <w:rPr>
                <w:sz w:val="14"/>
                <w:szCs w:val="14"/>
                <w:color w:val="auto"/>
              </w:rPr>
            </w:pPr>
          </w:p>
        </w:tc>
        <w:tc>
          <w:tcPr>
            <w:tcW w:w="3700" w:type="dxa"/>
            <w:vAlign w:val="bottom"/>
            <w:tcBorders>
              <w:top w:val="single" w:sz="8" w:color="CFF0FC"/>
              <w:bottom w:val="single" w:sz="8" w:color="CFF0FC"/>
            </w:tcBorders>
            <w:shd w:val="clear" w:color="auto" w:fill="CFF0FC"/>
          </w:tcPr>
          <w:p>
            <w:pPr>
              <w:spacing w:after="0" w:line="167" w:lineRule="exact"/>
              <w:rPr>
                <w:sz w:val="20"/>
                <w:szCs w:val="20"/>
                <w:color w:val="auto"/>
              </w:rPr>
            </w:pPr>
            <w:r>
              <w:rPr>
                <w:rFonts w:ascii="Arial" w:cs="Arial" w:eastAsia="Arial" w:hAnsi="Arial"/>
                <w:sz w:val="15"/>
                <w:szCs w:val="15"/>
                <w:color w:val="auto"/>
              </w:rPr>
              <w:t>Expected to vest – after September 30, 2020</w:t>
            </w:r>
          </w:p>
        </w:tc>
        <w:tc>
          <w:tcPr>
            <w:tcW w:w="108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1,990,606</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ind w:right="674"/>
              <w:spacing w:after="0" w:line="167" w:lineRule="exact"/>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w w:val="88"/>
              </w:rPr>
              <w:t>4.91</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9.27</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24"/>
              <w:spacing w:after="0" w:line="167"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80" w:type="dxa"/>
            <w:vAlign w:val="bottom"/>
          </w:tcPr>
          <w:p>
            <w:pPr>
              <w:jc w:val="right"/>
              <w:ind w:right="247"/>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4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27" w:name="page28"/>
    <w:bookmarkEnd w:id="27"/>
    <w:p>
      <w:pPr>
        <w:spacing w:after="0"/>
        <w:rPr>
          <w:sz w:val="20"/>
          <w:szCs w:val="20"/>
          <w:color w:val="auto"/>
        </w:rPr>
      </w:pPr>
      <w:r>
        <w:rPr>
          <w:rFonts w:ascii="Arial" w:cs="Arial" w:eastAsia="Arial" w:hAnsi="Arial"/>
          <w:sz w:val="15"/>
          <w:szCs w:val="15"/>
          <w:color w:val="auto"/>
        </w:rPr>
        <w:t>The following tables summarize information about stock options outstanding and exercisable at September 30, 2020:</w:t>
      </w:r>
    </w:p>
    <w:p>
      <w:pPr>
        <w:spacing w:after="0" w:line="250" w:lineRule="exact"/>
        <w:rPr>
          <w:sz w:val="20"/>
          <w:szCs w:val="20"/>
          <w:color w:val="auto"/>
        </w:rPr>
      </w:pPr>
    </w:p>
    <w:tbl>
      <w:tblPr>
        <w:tblLayout w:type="fixed"/>
        <w:tblInd w:w="940" w:type="dxa"/>
        <w:tblCellMar>
          <w:top w:w="0" w:type="dxa"/>
          <w:left w:w="0" w:type="dxa"/>
          <w:bottom w:w="0" w:type="dxa"/>
          <w:right w:w="0" w:type="dxa"/>
        </w:tblCellMar>
      </w:tblPr>
      <w:tr>
        <w:trPr>
          <w:trHeight w:val="145"/>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47"/>
              <w:spacing w:after="0"/>
              <w:rPr>
                <w:sz w:val="20"/>
                <w:szCs w:val="20"/>
                <w:color w:val="auto"/>
              </w:rPr>
            </w:pPr>
            <w:r>
              <w:rPr>
                <w:rFonts w:ascii="Arial" w:cs="Arial" w:eastAsia="Arial" w:hAnsi="Arial"/>
                <w:sz w:val="12"/>
                <w:szCs w:val="12"/>
                <w:b w:val="1"/>
                <w:bCs w:val="1"/>
                <w:color w:val="auto"/>
                <w:w w:val="92"/>
              </w:rPr>
              <w:t>Options Outstanding</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Options Exercisable</w:t>
            </w: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center"/>
              <w:ind w:right="37"/>
              <w:spacing w:after="0" w:line="108" w:lineRule="exact"/>
              <w:rPr>
                <w:sz w:val="20"/>
                <w:szCs w:val="20"/>
                <w:color w:val="auto"/>
              </w:rPr>
            </w:pPr>
            <w:r>
              <w:rPr>
                <w:rFonts w:ascii="Arial" w:cs="Arial" w:eastAsia="Arial" w:hAnsi="Arial"/>
                <w:sz w:val="12"/>
                <w:szCs w:val="12"/>
                <w:b w:val="1"/>
                <w:bCs w:val="1"/>
                <w:color w:val="auto"/>
                <w:w w:val="92"/>
              </w:rPr>
              <w:t>Weighted</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88"/>
              </w:rPr>
              <w:t>Weighted</w:t>
            </w: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37"/>
              <w:spacing w:after="0" w:line="125" w:lineRule="exact"/>
              <w:rPr>
                <w:sz w:val="20"/>
                <w:szCs w:val="20"/>
                <w:color w:val="auto"/>
              </w:rPr>
            </w:pPr>
            <w:r>
              <w:rPr>
                <w:rFonts w:ascii="Arial" w:cs="Arial" w:eastAsia="Arial" w:hAnsi="Arial"/>
                <w:sz w:val="12"/>
                <w:szCs w:val="12"/>
                <w:b w:val="1"/>
                <w:bCs w:val="1"/>
                <w:color w:val="auto"/>
                <w:w w:val="92"/>
              </w:rPr>
              <w:t>average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92"/>
              </w:rPr>
              <w:t>Weighted</w:t>
            </w: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88"/>
              </w:rPr>
              <w:t>average</w:t>
            </w:r>
          </w:p>
        </w:tc>
        <w:tc>
          <w:tcPr>
            <w:tcW w:w="160" w:type="dxa"/>
            <w:vAlign w:val="bottom"/>
          </w:tcPr>
          <w:p>
            <w:pPr>
              <w:spacing w:after="0"/>
              <w:rPr>
                <w:sz w:val="10"/>
                <w:szCs w:val="10"/>
                <w:color w:val="auto"/>
              </w:rPr>
            </w:pPr>
          </w:p>
        </w:tc>
        <w:tc>
          <w:tcPr>
            <w:tcW w:w="960" w:type="dxa"/>
            <w:vAlign w:val="bottom"/>
            <w:vMerge w:val="restart"/>
          </w:tcPr>
          <w:p>
            <w:pPr>
              <w:jc w:val="center"/>
              <w:ind w:right="210"/>
              <w:spacing w:after="0"/>
              <w:rPr>
                <w:sz w:val="20"/>
                <w:szCs w:val="20"/>
                <w:color w:val="auto"/>
              </w:rPr>
            </w:pPr>
            <w:r>
              <w:rPr>
                <w:rFonts w:ascii="Arial" w:cs="Arial" w:eastAsia="Arial" w:hAnsi="Arial"/>
                <w:sz w:val="12"/>
                <w:szCs w:val="12"/>
                <w:b w:val="1"/>
                <w:bCs w:val="1"/>
                <w:color w:val="auto"/>
                <w:w w:val="88"/>
              </w:rPr>
              <w:t>Weighted</w:t>
            </w: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37"/>
              <w:spacing w:after="0" w:line="125" w:lineRule="exact"/>
              <w:rPr>
                <w:sz w:val="20"/>
                <w:szCs w:val="20"/>
                <w:color w:val="auto"/>
              </w:rPr>
            </w:pPr>
            <w:r>
              <w:rPr>
                <w:rFonts w:ascii="Arial" w:cs="Arial" w:eastAsia="Arial" w:hAnsi="Arial"/>
                <w:sz w:val="12"/>
                <w:szCs w:val="12"/>
                <w:b w:val="1"/>
                <w:bCs w:val="1"/>
                <w:color w:val="auto"/>
                <w:w w:val="94"/>
              </w:rPr>
              <w:t>remaining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0"/>
              </w:rPr>
              <w:t>remaining</w:t>
            </w:r>
          </w:p>
        </w:tc>
        <w:tc>
          <w:tcPr>
            <w:tcW w:w="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37"/>
              <w:spacing w:after="0" w:line="125" w:lineRule="exact"/>
              <w:rPr>
                <w:sz w:val="20"/>
                <w:szCs w:val="20"/>
                <w:color w:val="auto"/>
              </w:rPr>
            </w:pPr>
            <w:r>
              <w:rPr>
                <w:rFonts w:ascii="Arial" w:cs="Arial" w:eastAsia="Arial" w:hAnsi="Arial"/>
                <w:sz w:val="12"/>
                <w:szCs w:val="12"/>
                <w:b w:val="1"/>
                <w:bCs w:val="1"/>
                <w:color w:val="auto"/>
                <w:w w:val="89"/>
              </w:rPr>
              <w:t>contractual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360"/>
              <w:spacing w:after="0" w:line="125" w:lineRule="exact"/>
              <w:rPr>
                <w:sz w:val="20"/>
                <w:szCs w:val="20"/>
                <w:color w:val="auto"/>
              </w:rPr>
            </w:pPr>
            <w:r>
              <w:rPr>
                <w:rFonts w:ascii="Arial" w:cs="Arial" w:eastAsia="Arial" w:hAnsi="Arial"/>
                <w:sz w:val="12"/>
                <w:szCs w:val="12"/>
                <w:b w:val="1"/>
                <w:bCs w:val="1"/>
                <w:color w:val="auto"/>
                <w:w w:val="88"/>
              </w:rPr>
              <w:t>average</w:t>
            </w:r>
          </w:p>
        </w:tc>
        <w:tc>
          <w:tcPr>
            <w:tcW w:w="960" w:type="dxa"/>
            <w:vAlign w:val="bottom"/>
            <w:vMerge w:val="restart"/>
          </w:tcPr>
          <w:p>
            <w:pPr>
              <w:jc w:val="right"/>
              <w:ind w:right="228"/>
              <w:spacing w:after="0"/>
              <w:rPr>
                <w:sz w:val="20"/>
                <w:szCs w:val="20"/>
                <w:color w:val="auto"/>
              </w:rPr>
            </w:pPr>
            <w:r>
              <w:rPr>
                <w:rFonts w:ascii="Arial" w:cs="Arial" w:eastAsia="Arial" w:hAnsi="Arial"/>
                <w:sz w:val="12"/>
                <w:szCs w:val="12"/>
                <w:b w:val="1"/>
                <w:bCs w:val="1"/>
                <w:color w:val="auto"/>
              </w:rPr>
              <w:t>Options</w:t>
            </w:r>
          </w:p>
        </w:tc>
        <w:tc>
          <w:tcPr>
            <w:tcW w:w="2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2"/>
              </w:rPr>
              <w:t>contractual</w:t>
            </w:r>
          </w:p>
        </w:tc>
        <w:tc>
          <w:tcPr>
            <w:tcW w:w="160" w:type="dxa"/>
            <w:vAlign w:val="bottom"/>
          </w:tcPr>
          <w:p>
            <w:pPr>
              <w:spacing w:after="0"/>
              <w:rPr>
                <w:sz w:val="10"/>
                <w:szCs w:val="10"/>
                <w:color w:val="auto"/>
              </w:rPr>
            </w:pPr>
          </w:p>
        </w:tc>
        <w:tc>
          <w:tcPr>
            <w:tcW w:w="960" w:type="dxa"/>
            <w:vAlign w:val="bottom"/>
          </w:tcPr>
          <w:p>
            <w:pPr>
              <w:jc w:val="center"/>
              <w:ind w:right="210"/>
              <w:spacing w:after="0" w:line="125"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5"/>
        </w:trPr>
        <w:tc>
          <w:tcPr>
            <w:tcW w:w="1640" w:type="dxa"/>
            <w:vAlign w:val="bottom"/>
            <w:vMerge w:val="restart"/>
          </w:tcPr>
          <w:p>
            <w:pPr>
              <w:spacing w:after="0"/>
              <w:rPr>
                <w:sz w:val="20"/>
                <w:szCs w:val="20"/>
                <w:color w:val="auto"/>
              </w:rPr>
            </w:pPr>
            <w:r>
              <w:rPr>
                <w:rFonts w:ascii="Arial" w:cs="Arial" w:eastAsia="Arial" w:hAnsi="Arial"/>
                <w:sz w:val="12"/>
                <w:szCs w:val="12"/>
                <w:b w:val="1"/>
                <w:bCs w:val="1"/>
                <w:color w:val="auto"/>
              </w:rPr>
              <w:t>Exercise Price Range</w:t>
            </w:r>
          </w:p>
        </w:tc>
        <w:tc>
          <w:tcPr>
            <w:tcW w:w="120" w:type="dxa"/>
            <w:vAlign w:val="bottom"/>
            <w:vMerge w:val="restart"/>
          </w:tcPr>
          <w:p>
            <w:pPr>
              <w:spacing w:after="0"/>
              <w:rPr>
                <w:sz w:val="10"/>
                <w:szCs w:val="10"/>
                <w:color w:val="auto"/>
              </w:rPr>
            </w:pPr>
          </w:p>
        </w:tc>
        <w:tc>
          <w:tcPr>
            <w:tcW w:w="960" w:type="dxa"/>
            <w:vAlign w:val="bottom"/>
            <w:vMerge w:val="restart"/>
          </w:tcPr>
          <w:p>
            <w:pPr>
              <w:jc w:val="right"/>
              <w:ind w:right="206"/>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0"/>
                <w:szCs w:val="10"/>
                <w:color w:val="auto"/>
              </w:rPr>
            </w:pPr>
          </w:p>
        </w:tc>
        <w:tc>
          <w:tcPr>
            <w:tcW w:w="1040" w:type="dxa"/>
            <w:vAlign w:val="bottom"/>
          </w:tcPr>
          <w:p>
            <w:pPr>
              <w:jc w:val="center"/>
              <w:ind w:right="37"/>
              <w:spacing w:after="0" w:line="125" w:lineRule="exact"/>
              <w:rPr>
                <w:sz w:val="20"/>
                <w:szCs w:val="20"/>
                <w:color w:val="auto"/>
              </w:rPr>
            </w:pPr>
            <w:r>
              <w:rPr>
                <w:rFonts w:ascii="Arial" w:cs="Arial" w:eastAsia="Arial" w:hAnsi="Arial"/>
                <w:sz w:val="12"/>
                <w:szCs w:val="12"/>
                <w:b w:val="1"/>
                <w:bCs w:val="1"/>
                <w:color w:val="auto"/>
                <w:w w:val="99"/>
              </w:rPr>
              <w:t>term</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360"/>
              <w:spacing w:after="0" w:line="125" w:lineRule="exact"/>
              <w:rPr>
                <w:sz w:val="20"/>
                <w:szCs w:val="20"/>
                <w:color w:val="auto"/>
              </w:rPr>
            </w:pPr>
            <w:r>
              <w:rPr>
                <w:rFonts w:ascii="Arial" w:cs="Arial" w:eastAsia="Arial" w:hAnsi="Arial"/>
                <w:sz w:val="12"/>
                <w:szCs w:val="12"/>
                <w:b w:val="1"/>
                <w:bCs w:val="1"/>
                <w:color w:val="auto"/>
                <w:w w:val="89"/>
              </w:rPr>
              <w:t>Exercise</w:t>
            </w:r>
          </w:p>
        </w:tc>
        <w:tc>
          <w:tcPr>
            <w:tcW w:w="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2"/>
              </w:rPr>
              <w:t>term</w:t>
            </w:r>
          </w:p>
        </w:tc>
        <w:tc>
          <w:tcPr>
            <w:tcW w:w="160" w:type="dxa"/>
            <w:vAlign w:val="bottom"/>
          </w:tcPr>
          <w:p>
            <w:pPr>
              <w:spacing w:after="0"/>
              <w:rPr>
                <w:sz w:val="10"/>
                <w:szCs w:val="10"/>
                <w:color w:val="auto"/>
              </w:rPr>
            </w:pPr>
          </w:p>
        </w:tc>
        <w:tc>
          <w:tcPr>
            <w:tcW w:w="960" w:type="dxa"/>
            <w:vAlign w:val="bottom"/>
          </w:tcPr>
          <w:p>
            <w:pPr>
              <w:jc w:val="center"/>
              <w:ind w:right="210"/>
              <w:spacing w:after="0" w:line="125" w:lineRule="exact"/>
              <w:rPr>
                <w:sz w:val="20"/>
                <w:szCs w:val="20"/>
                <w:color w:val="auto"/>
              </w:rPr>
            </w:pPr>
            <w:r>
              <w:rPr>
                <w:rFonts w:ascii="Arial" w:cs="Arial" w:eastAsia="Arial" w:hAnsi="Arial"/>
                <w:sz w:val="12"/>
                <w:szCs w:val="12"/>
                <w:b w:val="1"/>
                <w:bCs w:val="1"/>
                <w:color w:val="auto"/>
                <w:w w:val="89"/>
              </w:rPr>
              <w:t>Exercise</w:t>
            </w:r>
          </w:p>
        </w:tc>
        <w:tc>
          <w:tcPr>
            <w:tcW w:w="0" w:type="dxa"/>
            <w:vAlign w:val="bottom"/>
          </w:tcPr>
          <w:p>
            <w:pPr>
              <w:spacing w:after="0"/>
              <w:rPr>
                <w:sz w:val="1"/>
                <w:szCs w:val="1"/>
                <w:color w:val="auto"/>
              </w:rPr>
            </w:pPr>
          </w:p>
        </w:tc>
      </w:tr>
      <w:tr>
        <w:trPr>
          <w:trHeight w:val="145"/>
        </w:trPr>
        <w:tc>
          <w:tcPr>
            <w:tcW w:w="16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2"/>
                <w:szCs w:val="12"/>
                <w:b w:val="1"/>
                <w:bCs w:val="1"/>
                <w:color w:val="auto"/>
                <w:w w:val="86"/>
              </w:rPr>
              <w:t>(years)</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2"/>
                <w:szCs w:val="12"/>
                <w:b w:val="1"/>
                <w:bCs w:val="1"/>
                <w:color w:val="auto"/>
                <w:w w:val="88"/>
              </w:rPr>
              <w:t>Price</w:t>
            </w:r>
          </w:p>
        </w:tc>
        <w:tc>
          <w:tcPr>
            <w:tcW w:w="12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exercisable</w:t>
            </w:r>
          </w:p>
        </w:tc>
        <w:tc>
          <w:tcPr>
            <w:tcW w:w="2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2"/>
                <w:szCs w:val="12"/>
                <w:b w:val="1"/>
                <w:bCs w:val="1"/>
                <w:color w:val="auto"/>
                <w:w w:val="91"/>
              </w:rPr>
              <w:t>(years)</w:t>
            </w: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2"/>
                <w:szCs w:val="12"/>
                <w:b w:val="1"/>
                <w:bCs w:val="1"/>
                <w:color w:val="auto"/>
                <w:w w:val="95"/>
              </w:rPr>
              <w:t>Price</w:t>
            </w:r>
          </w:p>
        </w:tc>
        <w:tc>
          <w:tcPr>
            <w:tcW w:w="0" w:type="dxa"/>
            <w:vAlign w:val="bottom"/>
          </w:tcPr>
          <w:p>
            <w:pPr>
              <w:spacing w:after="0"/>
              <w:rPr>
                <w:sz w:val="1"/>
                <w:szCs w:val="1"/>
                <w:color w:val="auto"/>
              </w:rPr>
            </w:pPr>
          </w:p>
        </w:tc>
      </w:tr>
      <w:tr>
        <w:trPr>
          <w:trHeight w:val="184"/>
        </w:trPr>
        <w:tc>
          <w:tcPr>
            <w:tcW w:w="1640" w:type="dxa"/>
            <w:vAlign w:val="bottom"/>
            <w:shd w:val="clear" w:color="auto" w:fill="CFF0FC"/>
          </w:tcPr>
          <w:p>
            <w:pPr>
              <w:spacing w:after="0"/>
              <w:rPr>
                <w:sz w:val="20"/>
                <w:szCs w:val="20"/>
                <w:color w:val="auto"/>
              </w:rPr>
            </w:pPr>
            <w:r>
              <w:rPr>
                <w:rFonts w:ascii="Arial" w:cs="Arial" w:eastAsia="Arial" w:hAnsi="Arial"/>
                <w:sz w:val="15"/>
                <w:szCs w:val="15"/>
                <w:color w:val="auto"/>
              </w:rPr>
              <w:t>$0.15 - $3.64</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3,323,945</w:t>
            </w:r>
          </w:p>
        </w:tc>
        <w:tc>
          <w:tcPr>
            <w:tcW w:w="1220" w:type="dxa"/>
            <w:vAlign w:val="bottom"/>
            <w:gridSpan w:val="2"/>
            <w:shd w:val="clear" w:color="auto" w:fill="CFF0FC"/>
          </w:tcPr>
          <w:p>
            <w:pPr>
              <w:jc w:val="right"/>
              <w:ind w:right="37"/>
              <w:spacing w:after="0"/>
              <w:rPr>
                <w:sz w:val="20"/>
                <w:szCs w:val="20"/>
                <w:color w:val="auto"/>
              </w:rPr>
            </w:pPr>
            <w:r>
              <w:rPr>
                <w:rFonts w:ascii="Arial" w:cs="Arial" w:eastAsia="Arial" w:hAnsi="Arial"/>
                <w:sz w:val="15"/>
                <w:szCs w:val="15"/>
                <w:color w:val="auto"/>
              </w:rPr>
              <w:t>5.62</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5"/>
                <w:szCs w:val="15"/>
                <w:color w:val="auto"/>
              </w:rPr>
              <w:t>2.77</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1,988,636</w:t>
            </w:r>
          </w:p>
        </w:tc>
        <w:tc>
          <w:tcPr>
            <w:tcW w:w="1240" w:type="dxa"/>
            <w:vAlign w:val="bottom"/>
            <w:gridSpan w:val="2"/>
            <w:shd w:val="clear" w:color="auto" w:fill="CFF0FC"/>
          </w:tcPr>
          <w:p>
            <w:pPr>
              <w:jc w:val="right"/>
              <w:ind w:right="37"/>
              <w:spacing w:after="0"/>
              <w:rPr>
                <w:sz w:val="20"/>
                <w:szCs w:val="20"/>
                <w:color w:val="auto"/>
              </w:rPr>
            </w:pPr>
            <w:r>
              <w:rPr>
                <w:rFonts w:ascii="Arial" w:cs="Arial" w:eastAsia="Arial" w:hAnsi="Arial"/>
                <w:sz w:val="15"/>
                <w:szCs w:val="15"/>
                <w:color w:val="auto"/>
              </w:rPr>
              <w:t>2.98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192"/>
        </w:trPr>
        <w:tc>
          <w:tcPr>
            <w:tcW w:w="1640" w:type="dxa"/>
            <w:vAlign w:val="bottom"/>
          </w:tcPr>
          <w:p>
            <w:pPr>
              <w:spacing w:after="0"/>
              <w:rPr>
                <w:sz w:val="20"/>
                <w:szCs w:val="20"/>
                <w:color w:val="auto"/>
              </w:rPr>
            </w:pPr>
            <w:r>
              <w:rPr>
                <w:rFonts w:ascii="Arial" w:cs="Arial" w:eastAsia="Arial" w:hAnsi="Arial"/>
                <w:sz w:val="15"/>
                <w:szCs w:val="15"/>
                <w:color w:val="auto"/>
              </w:rPr>
              <w:t>$4.26 - $7.95</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1,503,766</w:t>
            </w:r>
          </w:p>
        </w:tc>
        <w:tc>
          <w:tcPr>
            <w:tcW w:w="1220" w:type="dxa"/>
            <w:vAlign w:val="bottom"/>
            <w:gridSpan w:val="2"/>
          </w:tcPr>
          <w:p>
            <w:pPr>
              <w:jc w:val="right"/>
              <w:ind w:right="37"/>
              <w:spacing w:after="0"/>
              <w:rPr>
                <w:sz w:val="20"/>
                <w:szCs w:val="20"/>
                <w:color w:val="auto"/>
              </w:rPr>
            </w:pPr>
            <w:r>
              <w:rPr>
                <w:rFonts w:ascii="Arial" w:cs="Arial" w:eastAsia="Arial" w:hAnsi="Arial"/>
                <w:sz w:val="15"/>
                <w:szCs w:val="15"/>
                <w:color w:val="auto"/>
              </w:rPr>
              <w:t>6.84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0"/>
              <w:spacing w:after="0"/>
              <w:rPr>
                <w:sz w:val="20"/>
                <w:szCs w:val="20"/>
                <w:color w:val="auto"/>
              </w:rPr>
            </w:pPr>
            <w:r>
              <w:rPr>
                <w:rFonts w:ascii="Arial" w:cs="Arial" w:eastAsia="Arial" w:hAnsi="Arial"/>
                <w:sz w:val="15"/>
                <w:szCs w:val="15"/>
                <w:color w:val="auto"/>
              </w:rPr>
              <w:t>6.79</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866,968</w:t>
            </w:r>
          </w:p>
        </w:tc>
        <w:tc>
          <w:tcPr>
            <w:tcW w:w="1240" w:type="dxa"/>
            <w:vAlign w:val="bottom"/>
            <w:gridSpan w:val="2"/>
          </w:tcPr>
          <w:p>
            <w:pPr>
              <w:jc w:val="right"/>
              <w:ind w:right="37"/>
              <w:spacing w:after="0"/>
              <w:rPr>
                <w:sz w:val="20"/>
                <w:szCs w:val="20"/>
                <w:color w:val="auto"/>
              </w:rPr>
            </w:pPr>
            <w:r>
              <w:rPr>
                <w:rFonts w:ascii="Arial" w:cs="Arial" w:eastAsia="Arial" w:hAnsi="Arial"/>
                <w:sz w:val="15"/>
                <w:szCs w:val="15"/>
                <w:color w:val="auto"/>
              </w:rPr>
              <w:t>5.46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50"/>
              <w:spacing w:after="0"/>
              <w:rPr>
                <w:sz w:val="20"/>
                <w:szCs w:val="20"/>
                <w:color w:val="auto"/>
              </w:rPr>
            </w:pPr>
            <w:r>
              <w:rPr>
                <w:rFonts w:ascii="Arial" w:cs="Arial" w:eastAsia="Arial" w:hAnsi="Arial"/>
                <w:sz w:val="15"/>
                <w:szCs w:val="15"/>
                <w:color w:val="auto"/>
              </w:rPr>
              <w:t>6.38</w:t>
            </w:r>
          </w:p>
        </w:tc>
        <w:tc>
          <w:tcPr>
            <w:tcW w:w="0" w:type="dxa"/>
            <w:vAlign w:val="bottom"/>
          </w:tcPr>
          <w:p>
            <w:pPr>
              <w:spacing w:after="0"/>
              <w:rPr>
                <w:sz w:val="1"/>
                <w:szCs w:val="1"/>
                <w:color w:val="auto"/>
              </w:rPr>
            </w:pPr>
          </w:p>
        </w:tc>
      </w:tr>
      <w:tr>
        <w:trPr>
          <w:trHeight w:val="194"/>
        </w:trPr>
        <w:tc>
          <w:tcPr>
            <w:tcW w:w="1640" w:type="dxa"/>
            <w:vAlign w:val="bottom"/>
            <w:shd w:val="clear" w:color="auto" w:fill="CFF0FC"/>
          </w:tcPr>
          <w:p>
            <w:pPr>
              <w:spacing w:after="0"/>
              <w:rPr>
                <w:sz w:val="20"/>
                <w:szCs w:val="20"/>
                <w:color w:val="auto"/>
              </w:rPr>
            </w:pPr>
            <w:r>
              <w:rPr>
                <w:rFonts w:ascii="Arial" w:cs="Arial" w:eastAsia="Arial" w:hAnsi="Arial"/>
                <w:sz w:val="15"/>
                <w:szCs w:val="15"/>
                <w:color w:val="auto"/>
              </w:rPr>
              <w:t>$12.45 - $26.10</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35,011</w:t>
            </w:r>
          </w:p>
        </w:tc>
        <w:tc>
          <w:tcPr>
            <w:tcW w:w="1220" w:type="dxa"/>
            <w:vAlign w:val="bottom"/>
            <w:gridSpan w:val="2"/>
            <w:shd w:val="clear" w:color="auto" w:fill="CFF0FC"/>
          </w:tcPr>
          <w:p>
            <w:pPr>
              <w:jc w:val="right"/>
              <w:ind w:right="37"/>
              <w:spacing w:after="0"/>
              <w:rPr>
                <w:sz w:val="20"/>
                <w:szCs w:val="20"/>
                <w:color w:val="auto"/>
              </w:rPr>
            </w:pPr>
            <w:r>
              <w:rPr>
                <w:rFonts w:ascii="Arial" w:cs="Arial" w:eastAsia="Arial" w:hAnsi="Arial"/>
                <w:sz w:val="15"/>
                <w:szCs w:val="15"/>
                <w:color w:val="auto"/>
              </w:rPr>
              <w:t>7.97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5"/>
                <w:szCs w:val="15"/>
                <w:color w:val="auto"/>
              </w:rPr>
              <w:t>18.45</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17,511</w:t>
            </w:r>
          </w:p>
        </w:tc>
        <w:tc>
          <w:tcPr>
            <w:tcW w:w="1240" w:type="dxa"/>
            <w:vAlign w:val="bottom"/>
            <w:gridSpan w:val="2"/>
            <w:shd w:val="clear" w:color="auto" w:fill="CFF0FC"/>
          </w:tcPr>
          <w:p>
            <w:pPr>
              <w:jc w:val="right"/>
              <w:ind w:right="37"/>
              <w:spacing w:after="0"/>
              <w:rPr>
                <w:sz w:val="20"/>
                <w:szCs w:val="20"/>
                <w:color w:val="auto"/>
              </w:rPr>
            </w:pPr>
            <w:r>
              <w:rPr>
                <w:rFonts w:ascii="Arial" w:cs="Arial" w:eastAsia="Arial" w:hAnsi="Arial"/>
                <w:sz w:val="15"/>
                <w:szCs w:val="15"/>
                <w:color w:val="auto"/>
              </w:rPr>
              <w:t>7.80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5"/>
                <w:szCs w:val="15"/>
                <w:color w:val="auto"/>
              </w:rPr>
              <w:t>18.96</w:t>
            </w:r>
          </w:p>
        </w:tc>
        <w:tc>
          <w:tcPr>
            <w:tcW w:w="0" w:type="dxa"/>
            <w:vAlign w:val="bottom"/>
          </w:tcPr>
          <w:p>
            <w:pPr>
              <w:spacing w:after="0"/>
              <w:rPr>
                <w:sz w:val="1"/>
                <w:szCs w:val="1"/>
                <w:color w:val="auto"/>
              </w:rPr>
            </w:pPr>
          </w:p>
        </w:tc>
      </w:tr>
      <w:tr>
        <w:trPr>
          <w:trHeight w:val="192"/>
        </w:trPr>
        <w:tc>
          <w:tcPr>
            <w:tcW w:w="1640" w:type="dxa"/>
            <w:vAlign w:val="bottom"/>
          </w:tcPr>
          <w:p>
            <w:pPr>
              <w:spacing w:after="0"/>
              <w:rPr>
                <w:sz w:val="20"/>
                <w:szCs w:val="20"/>
                <w:color w:val="auto"/>
              </w:rPr>
            </w:pPr>
            <w:r>
              <w:rPr>
                <w:rFonts w:ascii="Arial" w:cs="Arial" w:eastAsia="Arial" w:hAnsi="Arial"/>
                <w:sz w:val="15"/>
                <w:szCs w:val="15"/>
                <w:color w:val="auto"/>
              </w:rPr>
              <w:t>$27.00 - $33.00</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13,564</w:t>
            </w:r>
          </w:p>
        </w:tc>
        <w:tc>
          <w:tcPr>
            <w:tcW w:w="1220" w:type="dxa"/>
            <w:vAlign w:val="bottom"/>
            <w:gridSpan w:val="2"/>
          </w:tcPr>
          <w:p>
            <w:pPr>
              <w:jc w:val="right"/>
              <w:ind w:right="37"/>
              <w:spacing w:after="0"/>
              <w:rPr>
                <w:sz w:val="20"/>
                <w:szCs w:val="20"/>
                <w:color w:val="auto"/>
              </w:rPr>
            </w:pPr>
            <w:r>
              <w:rPr>
                <w:rFonts w:ascii="Arial" w:cs="Arial" w:eastAsia="Arial" w:hAnsi="Arial"/>
                <w:sz w:val="15"/>
                <w:szCs w:val="15"/>
                <w:color w:val="auto"/>
              </w:rPr>
              <w:t>3.93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0"/>
              <w:spacing w:after="0"/>
              <w:rPr>
                <w:sz w:val="20"/>
                <w:szCs w:val="20"/>
                <w:color w:val="auto"/>
              </w:rPr>
            </w:pPr>
            <w:r>
              <w:rPr>
                <w:rFonts w:ascii="Arial" w:cs="Arial" w:eastAsia="Arial" w:hAnsi="Arial"/>
                <w:sz w:val="15"/>
                <w:szCs w:val="15"/>
                <w:color w:val="auto"/>
              </w:rPr>
              <w:t>27.94</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13,514</w:t>
            </w:r>
          </w:p>
        </w:tc>
        <w:tc>
          <w:tcPr>
            <w:tcW w:w="1240" w:type="dxa"/>
            <w:vAlign w:val="bottom"/>
            <w:gridSpan w:val="2"/>
          </w:tcPr>
          <w:p>
            <w:pPr>
              <w:jc w:val="right"/>
              <w:ind w:right="37"/>
              <w:spacing w:after="0"/>
              <w:rPr>
                <w:sz w:val="20"/>
                <w:szCs w:val="20"/>
                <w:color w:val="auto"/>
              </w:rPr>
            </w:pPr>
            <w:r>
              <w:rPr>
                <w:rFonts w:ascii="Arial" w:cs="Arial" w:eastAsia="Arial" w:hAnsi="Arial"/>
                <w:sz w:val="15"/>
                <w:szCs w:val="15"/>
                <w:color w:val="auto"/>
              </w:rPr>
              <w:t>3.92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50"/>
              <w:spacing w:after="0"/>
              <w:rPr>
                <w:sz w:val="20"/>
                <w:szCs w:val="20"/>
                <w:color w:val="auto"/>
              </w:rPr>
            </w:pPr>
            <w:r>
              <w:rPr>
                <w:rFonts w:ascii="Arial" w:cs="Arial" w:eastAsia="Arial" w:hAnsi="Arial"/>
                <w:sz w:val="15"/>
                <w:szCs w:val="15"/>
                <w:color w:val="auto"/>
              </w:rPr>
              <w:t>27.94</w:t>
            </w:r>
          </w:p>
        </w:tc>
        <w:tc>
          <w:tcPr>
            <w:tcW w:w="0" w:type="dxa"/>
            <w:vAlign w:val="bottom"/>
          </w:tcPr>
          <w:p>
            <w:pPr>
              <w:spacing w:after="0"/>
              <w:rPr>
                <w:sz w:val="1"/>
                <w:szCs w:val="1"/>
                <w:color w:val="auto"/>
              </w:rPr>
            </w:pPr>
          </w:p>
        </w:tc>
      </w:tr>
      <w:tr>
        <w:trPr>
          <w:trHeight w:val="193"/>
        </w:trPr>
        <w:tc>
          <w:tcPr>
            <w:tcW w:w="1640" w:type="dxa"/>
            <w:vAlign w:val="bottom"/>
            <w:shd w:val="clear" w:color="auto" w:fill="CFF0FC"/>
          </w:tcPr>
          <w:p>
            <w:pPr>
              <w:spacing w:after="0"/>
              <w:rPr>
                <w:sz w:val="20"/>
                <w:szCs w:val="20"/>
                <w:color w:val="auto"/>
              </w:rPr>
            </w:pPr>
            <w:r>
              <w:rPr>
                <w:rFonts w:ascii="Arial" w:cs="Arial" w:eastAsia="Arial" w:hAnsi="Arial"/>
                <w:sz w:val="15"/>
                <w:szCs w:val="15"/>
                <w:color w:val="auto"/>
              </w:rPr>
              <w:t>$36.00 - $94.65</w:t>
            </w:r>
          </w:p>
        </w:tc>
        <w:tc>
          <w:tcPr>
            <w:tcW w:w="120" w:type="dxa"/>
            <w:vAlign w:val="bottom"/>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8,911</w:t>
            </w:r>
          </w:p>
        </w:tc>
        <w:tc>
          <w:tcPr>
            <w:tcW w:w="180" w:type="dxa"/>
            <w:vAlign w:val="bottom"/>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5"/>
                <w:szCs w:val="15"/>
                <w:color w:val="auto"/>
              </w:rPr>
              <w:t>6.76</w:t>
            </w:r>
          </w:p>
        </w:tc>
        <w:tc>
          <w:tcPr>
            <w:tcW w:w="12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5"/>
                <w:szCs w:val="15"/>
                <w:color w:val="auto"/>
              </w:rPr>
              <w:t>46.29</w:t>
            </w:r>
          </w:p>
        </w:tc>
        <w:tc>
          <w:tcPr>
            <w:tcW w:w="120" w:type="dxa"/>
            <w:vAlign w:val="bottom"/>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7,962</w:t>
            </w:r>
          </w:p>
        </w:tc>
        <w:tc>
          <w:tcPr>
            <w:tcW w:w="200" w:type="dxa"/>
            <w:vAlign w:val="bottom"/>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5"/>
                <w:szCs w:val="15"/>
                <w:color w:val="auto"/>
              </w:rPr>
              <w:t>6.75</w:t>
            </w:r>
          </w:p>
        </w:tc>
        <w:tc>
          <w:tcPr>
            <w:tcW w:w="10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5"/>
                <w:szCs w:val="15"/>
                <w:color w:val="auto"/>
              </w:rPr>
              <w:t>45.16</w:t>
            </w: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4,885,197</w:t>
            </w:r>
          </w:p>
        </w:tc>
        <w:tc>
          <w:tcPr>
            <w:tcW w:w="1220" w:type="dxa"/>
            <w:vAlign w:val="bottom"/>
            <w:gridSpan w:val="2"/>
          </w:tcPr>
          <w:p>
            <w:pPr>
              <w:jc w:val="right"/>
              <w:ind w:right="37"/>
              <w:spacing w:after="0"/>
              <w:rPr>
                <w:sz w:val="20"/>
                <w:szCs w:val="20"/>
                <w:color w:val="auto"/>
              </w:rPr>
            </w:pPr>
            <w:r>
              <w:rPr>
                <w:rFonts w:ascii="Arial" w:cs="Arial" w:eastAsia="Arial" w:hAnsi="Arial"/>
                <w:sz w:val="15"/>
                <w:szCs w:val="15"/>
                <w:color w:val="auto"/>
              </w:rPr>
              <w:t>6.01</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30"/>
              <w:spacing w:after="0"/>
              <w:rPr>
                <w:sz w:val="20"/>
                <w:szCs w:val="20"/>
                <w:color w:val="auto"/>
              </w:rPr>
            </w:pPr>
            <w:r>
              <w:rPr>
                <w:rFonts w:ascii="Arial" w:cs="Arial" w:eastAsia="Arial" w:hAnsi="Arial"/>
                <w:sz w:val="15"/>
                <w:szCs w:val="15"/>
                <w:color w:val="auto"/>
              </w:rPr>
              <w:t>4.27</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2,894,591</w:t>
            </w:r>
          </w:p>
        </w:tc>
        <w:tc>
          <w:tcPr>
            <w:tcW w:w="1240" w:type="dxa"/>
            <w:vAlign w:val="bottom"/>
            <w:gridSpan w:val="2"/>
          </w:tcPr>
          <w:p>
            <w:pPr>
              <w:jc w:val="right"/>
              <w:ind w:right="37"/>
              <w:spacing w:after="0"/>
              <w:rPr>
                <w:sz w:val="20"/>
                <w:szCs w:val="20"/>
                <w:color w:val="auto"/>
              </w:rPr>
            </w:pPr>
            <w:r>
              <w:rPr>
                <w:rFonts w:ascii="Arial" w:cs="Arial" w:eastAsia="Arial" w:hAnsi="Arial"/>
                <w:sz w:val="15"/>
                <w:szCs w:val="15"/>
                <w:color w:val="auto"/>
              </w:rPr>
              <w:t>3.77</w:t>
            </w:r>
          </w:p>
        </w:tc>
        <w:tc>
          <w:tcPr>
            <w:tcW w:w="1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0"/>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$23 and $1,500 for the three months ended September 30, 2020 and 2019, respectively. The total intrinsic value of options exercised were $43 and $1,531 for the nine months ended September 30, 2020 and 2019, respectively.</w:t>
      </w:r>
    </w:p>
    <w:p>
      <w:pPr>
        <w:spacing w:after="0" w:line="158"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The weighted-average grant date fair value of options granted was $3.11 and $5.45 per share for the three months ended September 30, 2020 and 2019, respectively. The weighted-average grant date fair value of options granted was $4.20 and $5.50 per share for the nine months ended September 30, 2020 and 2019,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INCOME TAXES</w:t>
      </w:r>
    </w:p>
    <w:p>
      <w:pPr>
        <w:spacing w:after="0" w:line="195" w:lineRule="exact"/>
        <w:rPr>
          <w:sz w:val="20"/>
          <w:szCs w:val="20"/>
          <w:color w:val="auto"/>
        </w:rPr>
      </w:pPr>
    </w:p>
    <w:p>
      <w:pPr>
        <w:spacing w:after="0" w:line="358" w:lineRule="auto"/>
        <w:rPr>
          <w:sz w:val="20"/>
          <w:szCs w:val="20"/>
          <w:color w:val="auto"/>
        </w:rPr>
      </w:pPr>
      <w:r>
        <w:rPr>
          <w:rFonts w:ascii="Arial" w:cs="Arial" w:eastAsia="Arial" w:hAnsi="Arial"/>
          <w:sz w:val="13"/>
          <w:szCs w:val="13"/>
          <w:color w:val="auto"/>
        </w:rPr>
        <w:t>The Company generated a loss and recognized $966 and $1,010 of tax benefit for the three and nine months ended September 30, 2020, respectively. The Company recognized $80 of tax benefit and $867 of tax expense for the three and nine months ended September 30, 2019, respectively. A reconciliation of income tax benefit is as follows:</w:t>
      </w:r>
    </w:p>
    <w:p>
      <w:pPr>
        <w:spacing w:after="0" w:line="88"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Three Months</w:t>
            </w:r>
          </w:p>
        </w:tc>
        <w:tc>
          <w:tcPr>
            <w:tcW w:w="160" w:type="dxa"/>
            <w:vAlign w:val="bottom"/>
          </w:tcPr>
          <w:p>
            <w:pPr>
              <w:spacing w:after="0"/>
              <w:rPr>
                <w:sz w:val="12"/>
                <w:szCs w:val="12"/>
                <w:color w:val="auto"/>
              </w:rPr>
            </w:pPr>
          </w:p>
        </w:tc>
        <w:tc>
          <w:tcPr>
            <w:tcW w:w="102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2"/>
                <w:szCs w:val="12"/>
                <w:b w:val="1"/>
                <w:bCs w:val="1"/>
                <w:color w:val="auto"/>
              </w:rPr>
              <w:t>Ended September 30</w:t>
            </w:r>
          </w:p>
        </w:tc>
        <w:tc>
          <w:tcPr>
            <w:tcW w:w="160" w:type="dxa"/>
            <w:vAlign w:val="bottom"/>
          </w:tcPr>
          <w:p>
            <w:pPr>
              <w:spacing w:after="0"/>
              <w:rPr>
                <w:sz w:val="12"/>
                <w:szCs w:val="12"/>
                <w:color w:val="auto"/>
              </w:rPr>
            </w:pPr>
          </w:p>
        </w:tc>
        <w:tc>
          <w:tcPr>
            <w:tcW w:w="162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Ended September 30</w:t>
            </w:r>
          </w:p>
        </w:tc>
        <w:tc>
          <w:tcPr>
            <w:tcW w:w="0" w:type="dxa"/>
            <w:vAlign w:val="bottom"/>
          </w:tcPr>
          <w:p>
            <w:pPr>
              <w:spacing w:after="0"/>
              <w:rPr>
                <w:sz w:val="1"/>
                <w:szCs w:val="1"/>
                <w:color w:val="auto"/>
              </w:rPr>
            </w:pPr>
          </w:p>
        </w:tc>
      </w:tr>
      <w:tr>
        <w:trPr>
          <w:trHeight w:val="128"/>
        </w:trPr>
        <w:tc>
          <w:tcPr>
            <w:tcW w:w="422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08"/>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06"/>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88"/>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206"/>
              <w:spacing w:after="0" w:line="128" w:lineRule="exact"/>
              <w:rPr>
                <w:sz w:val="20"/>
                <w:szCs w:val="20"/>
                <w:color w:val="auto"/>
              </w:rPr>
            </w:pPr>
            <w:r>
              <w:rPr>
                <w:rFonts w:ascii="Arial" w:cs="Arial" w:eastAsia="Arial" w:hAnsi="Arial"/>
                <w:sz w:val="12"/>
                <w:szCs w:val="12"/>
                <w:b w:val="1"/>
                <w:bCs w:val="1"/>
                <w:color w:val="auto"/>
                <w:w w:val="82"/>
              </w:rPr>
              <w:t>2019</w:t>
            </w:r>
          </w:p>
        </w:tc>
        <w:tc>
          <w:tcPr>
            <w:tcW w:w="8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Loss before income taxes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(8,287)</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(9,057)</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(68,799)</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(18,693)</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5"/>
                <w:szCs w:val="15"/>
                <w:color w:val="auto"/>
                <w:w w:val="96"/>
              </w:rPr>
              <w:t>Theoretical tax benefit at the statutory rate (24.1% in 2020, 25.1%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20"/>
                <w:szCs w:val="20"/>
                <w:color w:val="auto"/>
              </w:rPr>
            </w:pPr>
            <w:r>
              <w:rPr>
                <w:rFonts w:ascii="Arial" w:cs="Arial" w:eastAsia="Arial" w:hAnsi="Arial"/>
                <w:sz w:val="15"/>
                <w:szCs w:val="15"/>
                <w:color w:val="auto"/>
              </w:rPr>
              <w:t>in 2019)</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(1,997)</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(2,273)</w:t>
            </w:r>
          </w:p>
        </w:tc>
        <w:tc>
          <w:tcPr>
            <w:tcW w:w="1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(16,581)</w:t>
            </w:r>
          </w:p>
        </w:tc>
        <w:tc>
          <w:tcPr>
            <w:tcW w:w="26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(4,692)</w:t>
            </w: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Differences in jurisdictional tax rates</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1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(496)</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(192)</w:t>
            </w:r>
          </w:p>
        </w:tc>
        <w:tc>
          <w:tcPr>
            <w:tcW w:w="26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(482)</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20"/>
                <w:szCs w:val="20"/>
                <w:color w:val="auto"/>
              </w:rPr>
            </w:pPr>
            <w:r>
              <w:rPr>
                <w:rFonts w:ascii="Arial" w:cs="Arial" w:eastAsia="Arial" w:hAnsi="Arial"/>
                <w:sz w:val="15"/>
                <w:szCs w:val="15"/>
                <w:color w:val="auto"/>
              </w:rPr>
              <w:t>Losses utilization</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(214)</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(214)</w:t>
            </w: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Valuation allowance</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1,871</w:t>
            </w:r>
          </w:p>
        </w:tc>
        <w:tc>
          <w:tcPr>
            <w:tcW w:w="1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2,311</w:t>
            </w:r>
          </w:p>
        </w:tc>
        <w:tc>
          <w:tcPr>
            <w:tcW w:w="1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9,169</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4,857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20"/>
                <w:szCs w:val="20"/>
                <w:color w:val="auto"/>
              </w:rPr>
            </w:pPr>
            <w:r>
              <w:rPr>
                <w:rFonts w:ascii="Arial" w:cs="Arial" w:eastAsia="Arial" w:hAnsi="Arial"/>
                <w:sz w:val="15"/>
                <w:szCs w:val="15"/>
                <w:color w:val="auto"/>
              </w:rPr>
              <w:t>Non-deductible expenses</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(662)</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6,800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6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20" w:type="dxa"/>
            <w:vAlign w:val="bottom"/>
          </w:tcPr>
          <w:p>
            <w:pPr>
              <w:spacing w:after="0"/>
              <w:rPr>
                <w:sz w:val="20"/>
                <w:szCs w:val="20"/>
                <w:color w:val="auto"/>
              </w:rPr>
            </w:pPr>
            <w:r>
              <w:rPr>
                <w:rFonts w:ascii="Arial" w:cs="Arial" w:eastAsia="Arial" w:hAnsi="Arial"/>
                <w:sz w:val="15"/>
                <w:szCs w:val="15"/>
                <w:color w:val="auto"/>
              </w:rPr>
              <w:t>Total income tax (benefit) expense</w:t>
            </w:r>
          </w:p>
        </w:tc>
        <w:tc>
          <w:tcPr>
            <w:tcW w:w="1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(966)</w:t>
            </w: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(80)</w:t>
            </w:r>
          </w:p>
        </w:tc>
        <w:tc>
          <w:tcPr>
            <w:tcW w:w="1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(1,010)</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loss</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(7,321)</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(8,977)</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(67,789)</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(19,560)</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Income tax benefit is recognized based on the actual income or loss incurred during the three and nine months ended September 30, 2020 and September 30, 2019. The effective tax rate differs from the statutory tax rate due to the recognition of previously unrecognized carried forward tax losses.</w:t>
      </w:r>
    </w:p>
    <w:p>
      <w:pPr>
        <w:spacing w:after="0" w:line="146"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900"/>
          </w:cols>
          <w:pgMar w:left="680" w:top="492" w:right="31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15. SEGMENT AND GEOGRAPHIC INFORMATION</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 and type.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Revenue by geographic location, which is based on the product shipped to location, is summarized as follows: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3"/>
              </w:rPr>
              <w:t>Three Months</w:t>
            </w:r>
          </w:p>
        </w:tc>
        <w:tc>
          <w:tcPr>
            <w:tcW w:w="160" w:type="dxa"/>
            <w:vAlign w:val="bottom"/>
          </w:tcPr>
          <w:p>
            <w:pPr>
              <w:spacing w:after="0"/>
              <w:rPr>
                <w:sz w:val="12"/>
                <w:szCs w:val="12"/>
                <w:color w:val="auto"/>
              </w:rPr>
            </w:pPr>
          </w:p>
        </w:tc>
        <w:tc>
          <w:tcPr>
            <w:tcW w:w="1080" w:type="dxa"/>
            <w:vAlign w:val="bottom"/>
            <w:gridSpan w:val="3"/>
          </w:tcPr>
          <w:p>
            <w:pPr>
              <w:jc w:val="center"/>
              <w:ind w:left="292"/>
              <w:spacing w:after="0"/>
              <w:rPr>
                <w:sz w:val="20"/>
                <w:szCs w:val="20"/>
                <w:color w:val="auto"/>
              </w:rPr>
            </w:pPr>
            <w:r>
              <w:rPr>
                <w:rFonts w:ascii="Arial" w:cs="Arial" w:eastAsia="Arial" w:hAnsi="Arial"/>
                <w:sz w:val="12"/>
                <w:szCs w:val="12"/>
                <w:b w:val="1"/>
                <w:bCs w:val="1"/>
                <w:color w:val="auto"/>
                <w:w w:val="94"/>
              </w:rPr>
              <w:t>Nine Months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90"/>
              </w:rPr>
              <w:t>Ended September 30</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0"/>
              </w:rPr>
              <w:t>Ended September 30</w:t>
            </w:r>
          </w:p>
        </w:tc>
      </w:tr>
      <w:tr>
        <w:trPr>
          <w:trHeight w:val="128"/>
        </w:trPr>
        <w:tc>
          <w:tcPr>
            <w:tcW w:w="406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2"/>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8"/>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2"/>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08"/>
              <w:spacing w:after="0" w:line="128" w:lineRule="exact"/>
              <w:rPr>
                <w:sz w:val="20"/>
                <w:szCs w:val="20"/>
                <w:color w:val="auto"/>
              </w:rPr>
            </w:pPr>
            <w:r>
              <w:rPr>
                <w:rFonts w:ascii="Arial" w:cs="Arial" w:eastAsia="Arial" w:hAnsi="Arial"/>
                <w:sz w:val="12"/>
                <w:szCs w:val="12"/>
                <w:b w:val="1"/>
                <w:bCs w:val="1"/>
                <w:color w:val="auto"/>
                <w:w w:val="89"/>
              </w:rPr>
              <w:t>2019</w:t>
            </w:r>
          </w:p>
        </w:tc>
        <w:tc>
          <w:tcPr>
            <w:tcW w:w="80" w:type="dxa"/>
            <w:vAlign w:val="bottom"/>
            <w:tcBorders>
              <w:bottom w:val="single" w:sz="8" w:color="CFF0FC"/>
            </w:tcBorders>
          </w:tcPr>
          <w:p>
            <w:pPr>
              <w:spacing w:after="0"/>
              <w:rPr>
                <w:sz w:val="11"/>
                <w:szCs w:val="11"/>
                <w:color w:val="auto"/>
              </w:rPr>
            </w:pPr>
          </w:p>
        </w:tc>
      </w:tr>
      <w:tr>
        <w:trPr>
          <w:trHeight w:val="18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United States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7,784</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10,118</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22,339</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31,337</w:t>
            </w:r>
          </w:p>
        </w:tc>
        <w:tc>
          <w:tcPr>
            <w:tcW w:w="80" w:type="dxa"/>
            <w:vAlign w:val="bottom"/>
            <w:shd w:val="clear" w:color="auto" w:fill="CFF0FC"/>
          </w:tcPr>
          <w:p>
            <w:pPr>
              <w:spacing w:after="0"/>
              <w:rPr>
                <w:sz w:val="16"/>
                <w:szCs w:val="16"/>
                <w:color w:val="auto"/>
              </w:rPr>
            </w:pPr>
          </w:p>
        </w:tc>
      </w:tr>
      <w:tr>
        <w:trPr>
          <w:trHeight w:val="192"/>
        </w:trPr>
        <w:tc>
          <w:tcPr>
            <w:tcW w:w="40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International</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12,896</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16,036</w:t>
            </w:r>
          </w:p>
        </w:tc>
        <w:tc>
          <w:tcPr>
            <w:tcW w:w="1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29,845</w:t>
            </w: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47,215</w:t>
            </w:r>
          </w:p>
        </w:tc>
        <w:tc>
          <w:tcPr>
            <w:tcW w:w="80" w:type="dxa"/>
            <w:vAlign w:val="bottom"/>
            <w:tcBorders>
              <w:bottom w:val="single" w:sz="8" w:color="CFF0FC"/>
            </w:tcBorders>
          </w:tcPr>
          <w:p>
            <w:pPr>
              <w:spacing w:after="0"/>
              <w:rPr>
                <w:sz w:val="16"/>
                <w:szCs w:val="16"/>
                <w:color w:val="auto"/>
              </w:rPr>
            </w:pPr>
          </w:p>
        </w:tc>
      </w:tr>
      <w:tr>
        <w:trPr>
          <w:trHeight w:val="184"/>
        </w:trPr>
        <w:tc>
          <w:tcPr>
            <w:tcW w:w="40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revenue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20,680</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26,154</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52,184</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78,552</w:t>
            </w:r>
          </w:p>
        </w:tc>
        <w:tc>
          <w:tcPr>
            <w:tcW w:w="80" w:type="dxa"/>
            <w:vAlign w:val="bottom"/>
            <w:shd w:val="clear" w:color="auto" w:fill="CFF0FC"/>
          </w:tcPr>
          <w:p>
            <w:pPr>
              <w:spacing w:after="0"/>
              <w:rPr>
                <w:sz w:val="16"/>
                <w:szCs w:val="16"/>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71"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As of September 30, 2020, long-lived assets in the amount of $20,866 were located in the United States and $2,600 were located in foreign locations. As of December 31, 2019, long-lived assets in the amount of $23,883 were located in the United States and $3,103 were located in foreign locations.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Revenue by type is a key indicator for providing management with an understanding of the Company’s financial performance, which is organized into four different categories:</w:t>
      </w:r>
    </w:p>
    <w:p>
      <w:pPr>
        <w:spacing w:after="0" w:line="202" w:lineRule="exact"/>
        <w:rPr>
          <w:sz w:val="20"/>
          <w:szCs w:val="20"/>
          <w:color w:val="auto"/>
        </w:rPr>
      </w:pPr>
    </w:p>
    <w:p>
      <w:pPr>
        <w:ind w:left="660" w:hanging="654"/>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Lease revenue - includes all system sales with typical lease terms of 36 months.</w:t>
      </w:r>
    </w:p>
    <w:p>
      <w:pPr>
        <w:spacing w:after="0" w:line="190" w:lineRule="exact"/>
        <w:rPr>
          <w:rFonts w:ascii="Arial" w:cs="Arial" w:eastAsia="Arial" w:hAnsi="Arial"/>
          <w:sz w:val="15"/>
          <w:szCs w:val="15"/>
          <w:color w:val="auto"/>
        </w:rPr>
      </w:pPr>
    </w:p>
    <w:p>
      <w:pPr>
        <w:ind w:left="660" w:hanging="654"/>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System revenue – includes all systems sales with payment terms within 12 months.</w:t>
      </w:r>
    </w:p>
    <w:p>
      <w:pPr>
        <w:spacing w:after="0" w:line="190" w:lineRule="exact"/>
        <w:rPr>
          <w:rFonts w:ascii="Arial" w:cs="Arial" w:eastAsia="Arial" w:hAnsi="Arial"/>
          <w:sz w:val="15"/>
          <w:szCs w:val="15"/>
          <w:color w:val="auto"/>
        </w:rPr>
      </w:pPr>
    </w:p>
    <w:p>
      <w:pPr>
        <w:ind w:left="660" w:hanging="654"/>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Product revenue – includes skincare, hair and other consumables payable upon receipt.</w:t>
      </w:r>
    </w:p>
    <w:p>
      <w:pPr>
        <w:spacing w:after="0" w:line="190" w:lineRule="exact"/>
        <w:rPr>
          <w:rFonts w:ascii="Arial" w:cs="Arial" w:eastAsia="Arial" w:hAnsi="Arial"/>
          <w:sz w:val="15"/>
          <w:szCs w:val="15"/>
          <w:color w:val="auto"/>
        </w:rPr>
      </w:pPr>
    </w:p>
    <w:p>
      <w:pPr>
        <w:ind w:left="660" w:hanging="654"/>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Service revenue - includes NeoGraft® technician services, ad agency services and extended warranty sales.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revenue by type:</w:t>
      </w:r>
    </w:p>
    <w:tbl>
      <w:tblPr>
        <w:tblLayout w:type="fixed"/>
        <w:tblInd w:w="1320" w:type="dxa"/>
        <w:tblCellMar>
          <w:top w:w="0" w:type="dxa"/>
          <w:left w:w="0" w:type="dxa"/>
          <w:bottom w:w="0" w:type="dxa"/>
          <w:right w:w="0" w:type="dxa"/>
        </w:tblCellMar>
      </w:tblPr>
      <w:tr>
        <w:trPr>
          <w:trHeight w:val="136"/>
        </w:trPr>
        <w:tc>
          <w:tcPr>
            <w:tcW w:w="4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5"/>
          </w:tcPr>
          <w:p>
            <w:pPr>
              <w:jc w:val="center"/>
              <w:ind w:right="360"/>
              <w:spacing w:after="0" w:line="137" w:lineRule="exact"/>
              <w:rPr>
                <w:sz w:val="20"/>
                <w:szCs w:val="20"/>
                <w:color w:val="auto"/>
              </w:rPr>
            </w:pPr>
            <w:r>
              <w:rPr>
                <w:rFonts w:ascii="Arial" w:cs="Arial" w:eastAsia="Arial" w:hAnsi="Arial"/>
                <w:sz w:val="12"/>
                <w:szCs w:val="12"/>
                <w:b w:val="1"/>
                <w:bCs w:val="1"/>
                <w:color w:val="auto"/>
                <w:w w:val="93"/>
              </w:rPr>
              <w:t>Three Months</w:t>
            </w:r>
          </w:p>
        </w:tc>
        <w:tc>
          <w:tcPr>
            <w:tcW w:w="160" w:type="dxa"/>
            <w:vAlign w:val="bottom"/>
          </w:tcPr>
          <w:p>
            <w:pPr>
              <w:spacing w:after="0"/>
              <w:rPr>
                <w:sz w:val="11"/>
                <w:szCs w:val="11"/>
                <w:color w:val="auto"/>
              </w:rPr>
            </w:pPr>
          </w:p>
        </w:tc>
        <w:tc>
          <w:tcPr>
            <w:tcW w:w="1080" w:type="dxa"/>
            <w:vAlign w:val="bottom"/>
            <w:gridSpan w:val="3"/>
          </w:tcPr>
          <w:p>
            <w:pPr>
              <w:jc w:val="center"/>
              <w:ind w:left="290"/>
              <w:spacing w:after="0" w:line="137" w:lineRule="exact"/>
              <w:rPr>
                <w:sz w:val="20"/>
                <w:szCs w:val="20"/>
                <w:color w:val="auto"/>
              </w:rPr>
            </w:pPr>
            <w:r>
              <w:rPr>
                <w:rFonts w:ascii="Arial" w:cs="Arial" w:eastAsia="Arial" w:hAnsi="Arial"/>
                <w:sz w:val="12"/>
                <w:szCs w:val="12"/>
                <w:b w:val="1"/>
                <w:bCs w:val="1"/>
                <w:color w:val="auto"/>
                <w:w w:val="94"/>
              </w:rPr>
              <w:t>Nine Months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90"/>
              </w:rPr>
              <w:t>Ended September 30</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0"/>
              </w:rPr>
              <w:t>Ended September 30</w:t>
            </w:r>
          </w:p>
        </w:tc>
      </w:tr>
      <w:tr>
        <w:trPr>
          <w:trHeight w:val="128"/>
        </w:trPr>
        <w:tc>
          <w:tcPr>
            <w:tcW w:w="406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0"/>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7"/>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0"/>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07"/>
              <w:spacing w:after="0" w:line="128" w:lineRule="exact"/>
              <w:rPr>
                <w:sz w:val="20"/>
                <w:szCs w:val="20"/>
                <w:color w:val="auto"/>
              </w:rPr>
            </w:pPr>
            <w:r>
              <w:rPr>
                <w:rFonts w:ascii="Arial" w:cs="Arial" w:eastAsia="Arial" w:hAnsi="Arial"/>
                <w:sz w:val="12"/>
                <w:szCs w:val="12"/>
                <w:b w:val="1"/>
                <w:bCs w:val="1"/>
                <w:color w:val="auto"/>
                <w:w w:val="89"/>
              </w:rPr>
              <w:t>2019</w:t>
            </w:r>
          </w:p>
        </w:tc>
        <w:tc>
          <w:tcPr>
            <w:tcW w:w="80" w:type="dxa"/>
            <w:vAlign w:val="bottom"/>
            <w:tcBorders>
              <w:bottom w:val="single" w:sz="8" w:color="CFF0FC"/>
            </w:tcBorders>
          </w:tcPr>
          <w:p>
            <w:pPr>
              <w:spacing w:after="0"/>
              <w:rPr>
                <w:sz w:val="11"/>
                <w:szCs w:val="11"/>
                <w:color w:val="auto"/>
              </w:rPr>
            </w:pPr>
          </w:p>
        </w:tc>
      </w:tr>
      <w:tr>
        <w:trPr>
          <w:trHeight w:val="18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Lease revenue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9,431</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16,427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23,709</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48,812</w:t>
            </w:r>
          </w:p>
        </w:tc>
        <w:tc>
          <w:tcPr>
            <w:tcW w:w="80" w:type="dxa"/>
            <w:vAlign w:val="bottom"/>
            <w:shd w:val="clear" w:color="auto" w:fill="CFF0FC"/>
          </w:tcPr>
          <w:p>
            <w:pPr>
              <w:spacing w:after="0"/>
              <w:rPr>
                <w:sz w:val="16"/>
                <w:szCs w:val="16"/>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5"/>
                <w:szCs w:val="15"/>
                <w:color w:val="auto"/>
              </w:rPr>
              <w:t>System revenue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7,503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7,105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17,758</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21,188</w:t>
            </w:r>
          </w:p>
        </w:tc>
        <w:tc>
          <w:tcPr>
            <w:tcW w:w="80" w:type="dxa"/>
            <w:vAlign w:val="bottom"/>
          </w:tcPr>
          <w:p>
            <w:pPr>
              <w:spacing w:after="0"/>
              <w:rPr>
                <w:sz w:val="16"/>
                <w:szCs w:val="16"/>
                <w:color w:val="auto"/>
              </w:rPr>
            </w:pPr>
          </w:p>
        </w:tc>
      </w:tr>
      <w:tr>
        <w:trPr>
          <w:trHeight w:val="19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Product revenue</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2,631</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7,136</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4,117</w:t>
            </w:r>
          </w:p>
        </w:tc>
        <w:tc>
          <w:tcPr>
            <w:tcW w:w="80" w:type="dxa"/>
            <w:vAlign w:val="bottom"/>
            <w:shd w:val="clear" w:color="auto" w:fill="CFF0FC"/>
          </w:tcPr>
          <w:p>
            <w:pPr>
              <w:spacing w:after="0"/>
              <w:rPr>
                <w:sz w:val="16"/>
                <w:szCs w:val="16"/>
                <w:color w:val="auto"/>
              </w:rPr>
            </w:pPr>
          </w:p>
        </w:tc>
      </w:tr>
      <w:tr>
        <w:trPr>
          <w:trHeight w:val="192"/>
        </w:trPr>
        <w:tc>
          <w:tcPr>
            <w:tcW w:w="40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Service revenue</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1,115</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1,455</w:t>
            </w:r>
          </w:p>
        </w:tc>
        <w:tc>
          <w:tcPr>
            <w:tcW w:w="1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3,581</w:t>
            </w: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4,435</w:t>
            </w:r>
          </w:p>
        </w:tc>
        <w:tc>
          <w:tcPr>
            <w:tcW w:w="80" w:type="dxa"/>
            <w:vAlign w:val="bottom"/>
            <w:tcBorders>
              <w:bottom w:val="single" w:sz="8" w:color="CFF0FC"/>
            </w:tcBorders>
          </w:tcPr>
          <w:p>
            <w:pPr>
              <w:spacing w:after="0"/>
              <w:rPr>
                <w:sz w:val="16"/>
                <w:szCs w:val="16"/>
                <w:color w:val="auto"/>
              </w:rPr>
            </w:pPr>
          </w:p>
        </w:tc>
      </w:tr>
      <w:tr>
        <w:trPr>
          <w:trHeight w:val="184"/>
        </w:trPr>
        <w:tc>
          <w:tcPr>
            <w:tcW w:w="40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revenue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20,680</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26,154</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52,184</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78,552</w:t>
            </w:r>
          </w:p>
        </w:tc>
        <w:tc>
          <w:tcPr>
            <w:tcW w:w="80" w:type="dxa"/>
            <w:vAlign w:val="bottom"/>
            <w:shd w:val="clear" w:color="auto" w:fill="CFF0FC"/>
          </w:tcPr>
          <w:p>
            <w:pPr>
              <w:spacing w:after="0"/>
              <w:rPr>
                <w:sz w:val="16"/>
                <w:szCs w:val="16"/>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RELATED PARTY TRANSACTIONS</w:t>
      </w:r>
    </w:p>
    <w:p>
      <w:pPr>
        <w:spacing w:after="0" w:line="195"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All amounts were recorded at the exchange amount, which is the amount established and agreed to by the related parties. The following are transactions between the Company and its related parties: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Non-Interest Demand Loan to PT Neoasia Medical</w:t>
      </w:r>
    </w:p>
    <w:p>
      <w:pPr>
        <w:spacing w:after="0" w:line="191"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On July 1, 2016, a senior manager of the Company transferred 100.0% of his shares in Inphronics Limited to the Company, making it a wholly-owned subsidiary. At such time, an unsecured non-interest-bearing working capital loan to PT Neoasia Medical, a subsidiary of Inphronics Limited, that was previously provided by the senior manager of the Company was outstanding. As of September 30, 2020 and December 31, 2019, the outstanding amount of the loan was Indonesian rupiah (“IDR”) 6.9 billion, which is equivalent to $468 and $498, respectively. This loan is reported as part of accrued expenses and other current liabilities.</w:t>
      </w:r>
    </w:p>
    <w:p>
      <w:pPr>
        <w:spacing w:after="0" w:line="340"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488"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i w:val="1"/>
          <w:iCs w:val="1"/>
          <w:color w:val="auto"/>
        </w:rPr>
        <w:t>Distribution Agreements</w:t>
      </w:r>
    </w:p>
    <w:p>
      <w:pPr>
        <w:spacing w:after="0" w:line="191"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auto"/>
        </w:rPr>
        <w:t>On January 1, 2018, the Company entered into a new Distribution Agreement with Technicalbiomed Co., Ltd. (“TBC”), pursuant to which TBC will continue to distribute the Company’s products in Thailand. A senior manager of the Company is a 30.0% shareholder of TBC. For the three months ended September 30, 2020 and 2019, TBC purchased products in the amount of $41 and $97, respectively, under this distribution agreement. For the nine months ended September 30, 2020 and 2019, TBC purchased products in the amount of $136 and $278, respectively, under this distribution agreement. These sales are included in products and services revenue.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Intellectual Property Transfer Agreement</w:t>
      </w:r>
    </w:p>
    <w:p>
      <w:pPr>
        <w:spacing w:after="0" w:line="191"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In August 2013, the Company entered into a license agreement for the rights to an invention for fractional radio frequency treatment of the skin with the developers of the technology. Pursuant to the license agreement, the developers, amongst which one is a senior executive of the Company, granted to the Company an exclusive worldwide, perpetual, irrevocable license to develop and commercialize their inventions and any product into which it is integrated. As consideration for such license, the Company agreed to pay the developers 7.0% of the gross income received by the Company from sales of the Venus Viva system and the related consumables and $1.50 per Venus Versa system, up to an aggregate amount of $3,000. No royalties were paid in the three and nine months ended September 30, 2020 and 2019, respectively. The Company reported the amounts under research and development expenses in the condensed consolidated financial statements. No amounts were outstanding as at September 30, 2020 and December 31, 2019.</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SUBSEQUENT EVENTS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Sales of Common Stock to Lincoln Park Under the Equity Purchase Agreement</w:t>
      </w:r>
    </w:p>
    <w:p>
      <w:pPr>
        <w:spacing w:after="0" w:line="191"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Between October 1, 2020 and November 16, 2020, the Company issued and sold a total of 259,293 shares of its common stock to Lincoln Park pursuant to the Equity Purchase Agreement, generating aggregate proceeds of $584.</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Sale of subsidiary</w:t>
      </w:r>
    </w:p>
    <w:p>
      <w:pPr>
        <w:spacing w:after="0" w:line="191"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On November 12, 2020, the Company sold its share of 51% interest in Venus Aesthetic LLP for cash consideration of $400. The sale resulted in loss of approximately $300 that will be recognized in the consolidated statements of operations in the fourth quarter.</w:t>
      </w:r>
    </w:p>
    <w:p>
      <w:pPr>
        <w:spacing w:after="0" w:line="146"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00"/>
          </w:cols>
          <w:pgMar w:left="680" w:top="311" w:right="41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195" w:lineRule="exact"/>
        <w:rPr>
          <w:sz w:val="20"/>
          <w:szCs w:val="20"/>
          <w:color w:val="auto"/>
        </w:rPr>
      </w:pPr>
    </w:p>
    <w:p>
      <w:pPr>
        <w:ind w:right="20"/>
        <w:spacing w:after="0" w:line="301" w:lineRule="auto"/>
        <w:rPr>
          <w:sz w:val="20"/>
          <w:szCs w:val="20"/>
          <w:color w:val="auto"/>
        </w:rPr>
      </w:pPr>
      <w:r>
        <w:rPr>
          <w:rFonts w:ascii="Arial" w:cs="Arial" w:eastAsia="Arial" w:hAnsi="Arial"/>
          <w:sz w:val="13"/>
          <w:szCs w:val="13"/>
          <w:i w:val="1"/>
          <w:iCs w:val="1"/>
          <w:color w:val="auto"/>
        </w:rPr>
        <w:t>The following discussion contains management’s discussion and analysis of our financial condition and results of operations and should be read together with the unaudited condensed consolidated financial statements and the notes thereto included elsewhere in this Quarterly Report on Form 10-Q and with our audited consolidated financial statements and notes thereto in our Annual Report filed on Form 10-K for the year ended December 31, 2019 (“Form 10-K”), and our Forms 10-Q for the quarters ended March 31, 2020, and June 30, 2020, respectively, filed with the Securities and Exchange Commission (the “SEC”) and other filings we have made with the SEC. This discussion contains forward-looking statements that reflect our plans, estimates and beliefs and involve numerous risks and uncertainties, including but not limited to those described in Part II, Item 1A “Risk Factors” of this Quarterly Report on Form 10-Q, Part II Item 1A“Risk Factors” in our Forms 10-Q for the quarters ended March 31, 2020, and June 30, 2020, respectively, and Part I, Item IA “Risk Factors” of our Form 10-K. Actual results may differ materially from those contained in any forward-looking statements. You should carefully read Part II, Item 1A, “Risk Factors” herein, Part II Item 1A“Risk Factors” in our Forms 10-Q for the quarters ended March 31, 2020, and June 30, 2020, respectively, and Part I, Item IA, “Risk Factors” of our Form 10-K.</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right="380"/>
        <w:spacing w:after="0" w:line="313" w:lineRule="auto"/>
        <w:rPr>
          <w:sz w:val="20"/>
          <w:szCs w:val="20"/>
          <w:color w:val="auto"/>
        </w:rPr>
      </w:pPr>
      <w:r>
        <w:rPr>
          <w:rFonts w:ascii="Arial" w:cs="Arial" w:eastAsia="Arial" w:hAnsi="Arial"/>
          <w:sz w:val="13"/>
          <w:szCs w:val="13"/>
          <w:color w:val="auto"/>
        </w:rPr>
        <w:t>We are an innovative global medical technology company that develops, commercializes, and delivers minimally invasive and non-invasive medical aesthetic and hair restoration technologies and related services. Our systems have been designed on a cost-effective, proprietary and flexible platforms that enable us to expand beyond the aesthetic industry’s traditional markets of dermatology and plastic surgery, and into non-traditional markets, including family and general practitioners and aesthetic medical spas. In the three and nine months ended September 30, 2020 and 2019, respectively, a substantial majority of our systems delivered in North America were in non-traditional markets.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In November 2019, we completed our business combination with Venus Concept Ltd. and the business of Venus Concept Ltd. became the primary business of the company.</w:t>
      </w:r>
    </w:p>
    <w:p>
      <w:pPr>
        <w:spacing w:after="0" w:line="202"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We have had recurring net operating losses and negative cash flows from operations. As of September 30, 2020 and December 31, 2019, we had an accumulated deficit of $142.7 million and $75.7 million, respectively. Until we generate revenue at a level to support our cost structure, we expect to continue to incur substantial operating losses and negative cash flows from operations. In order to continue our operations, we must achieve profitable operations and/or obtain additional equity investment or debt financing. Until we achieve profitability, we plan to fund our operations and capital expenditures with cash on hand, borrowings and issuances of capital stock. As of September 30, 2020 and December 31, 2019, we had cash and cash equivalents of $12.8 million and $15.7 million, respectively. On March 19, 2020 we issued and sold securities in a private placement for gross proceeds of approximately $22.3 million. See “—</w:t>
      </w:r>
      <w:r>
        <w:rPr>
          <w:rFonts w:ascii="Arial" w:cs="Arial" w:eastAsia="Arial" w:hAnsi="Arial"/>
          <w:sz w:val="14"/>
          <w:szCs w:val="14"/>
          <w:i w:val="1"/>
          <w:iCs w:val="1"/>
          <w:color w:val="auto"/>
        </w:rPr>
        <w:t>2020 Private Placement</w:t>
      </w:r>
      <w:r>
        <w:rPr>
          <w:rFonts w:ascii="Arial" w:cs="Arial" w:eastAsia="Arial" w:hAnsi="Arial"/>
          <w:sz w:val="14"/>
          <w:szCs w:val="14"/>
          <w:color w:val="auto"/>
        </w:rPr>
        <w:t xml:space="preserve">” below. On June 16, 2020, we entered into a purchase agreement (the “Equity Purchase Agreement”) with Lincoln Park Capital Fund, LLC (“Lincoln Park”), which provides that, upon the terms and subject to the conditions and limitations set forth therein, we may sell to Lincoln Park up to $31.0 million of shares of our common stock. During the quarter ended September 30, 2020, we raised net cash proceeds of $3.3 million under the Equity Purchase Agreement as described below. See </w:t>
      </w:r>
      <w:r>
        <w:rPr>
          <w:rFonts w:ascii="Arial" w:cs="Arial" w:eastAsia="Arial" w:hAnsi="Arial"/>
          <w:sz w:val="14"/>
          <w:szCs w:val="14"/>
          <w:i w:val="1"/>
          <w:iCs w:val="1"/>
          <w:color w:val="auto"/>
        </w:rPr>
        <w:t>“—Equity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Purchase Agreement with Lincoln Park” </w:t>
      </w:r>
      <w:r>
        <w:rPr>
          <w:rFonts w:ascii="Arial" w:cs="Arial" w:eastAsia="Arial" w:hAnsi="Arial"/>
          <w:sz w:val="14"/>
          <w:szCs w:val="14"/>
          <w:color w:val="auto"/>
        </w:rPr>
        <w:t>below. The COVID-19 pandemic has had a significant negative impact on our business, and we expect the pandemic to continue to have a</w:t>
      </w:r>
      <w:r>
        <w:rPr>
          <w:rFonts w:ascii="Arial" w:cs="Arial" w:eastAsia="Arial" w:hAnsi="Arial"/>
          <w:sz w:val="14"/>
          <w:szCs w:val="14"/>
          <w:i w:val="1"/>
          <w:iCs w:val="1"/>
          <w:color w:val="auto"/>
        </w:rPr>
        <w:t xml:space="preserve"> </w:t>
      </w:r>
      <w:r>
        <w:rPr>
          <w:rFonts w:ascii="Arial" w:cs="Arial" w:eastAsia="Arial" w:hAnsi="Arial"/>
          <w:sz w:val="14"/>
          <w:szCs w:val="14"/>
          <w:color w:val="auto"/>
        </w:rPr>
        <w:t>negative impact in the foreseeable future, the extent of which is uncertain and largely subject to whether the severity of the pandemic worsens, or duration lengthens. Given the COVID-19 pandemic,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 See ‘‘</w:t>
      </w:r>
      <w:r>
        <w:rPr>
          <w:rFonts w:ascii="Arial" w:cs="Arial" w:eastAsia="Arial" w:hAnsi="Arial"/>
          <w:sz w:val="14"/>
          <w:szCs w:val="14"/>
          <w:i w:val="1"/>
          <w:iCs w:val="1"/>
          <w:color w:val="auto"/>
        </w:rPr>
        <w:t>—Liquidity and</w:t>
      </w:r>
      <w:r>
        <w:rPr>
          <w:rFonts w:ascii="Arial" w:cs="Arial" w:eastAsia="Arial" w:hAnsi="Arial"/>
          <w:sz w:val="14"/>
          <w:szCs w:val="14"/>
          <w:color w:val="auto"/>
        </w:rPr>
        <w:t xml:space="preserve"> </w:t>
      </w:r>
      <w:r>
        <w:rPr>
          <w:rFonts w:ascii="Arial" w:cs="Arial" w:eastAsia="Arial" w:hAnsi="Arial"/>
          <w:sz w:val="14"/>
          <w:szCs w:val="14"/>
          <w:i w:val="1"/>
          <w:iCs w:val="1"/>
          <w:color w:val="auto"/>
        </w:rPr>
        <w:t>Capital Resources</w:t>
      </w:r>
      <w:r>
        <w:rPr>
          <w:rFonts w:ascii="Arial" w:cs="Arial" w:eastAsia="Arial" w:hAnsi="Arial"/>
          <w:sz w:val="14"/>
          <w:szCs w:val="14"/>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2020 Private Placement</w:t>
      </w:r>
    </w:p>
    <w:p>
      <w:pPr>
        <w:spacing w:after="0" w:line="191" w:lineRule="exact"/>
        <w:rPr>
          <w:sz w:val="20"/>
          <w:szCs w:val="20"/>
          <w:color w:val="auto"/>
        </w:rPr>
      </w:pPr>
    </w:p>
    <w:p>
      <w:pPr>
        <w:ind w:right="220"/>
        <w:spacing w:after="0" w:line="296" w:lineRule="auto"/>
        <w:rPr>
          <w:sz w:val="20"/>
          <w:szCs w:val="20"/>
          <w:color w:val="auto"/>
        </w:rPr>
      </w:pPr>
      <w:r>
        <w:rPr>
          <w:rFonts w:ascii="Arial" w:cs="Arial" w:eastAsia="Arial" w:hAnsi="Arial"/>
          <w:sz w:val="13"/>
          <w:szCs w:val="13"/>
          <w:color w:val="auto"/>
        </w:rPr>
        <w:t>On March 18, 2020, we entered into a securities purchase agreement with certain investors pursuant to which we agreed to sell and they agreed to purchase an aggregate of approximately 2.3 million shares of our common stock, 0.7 million shares of Series A Preferred Stock, which is convertible into 6.6 million shares of our common stock and the 2020 Private Placement Warrants to purchase up to an aggregate of approximately 6.7 million shares of our common stock at an exercise price of $3.50 per share, which we refer to as the</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2020 Private Placement. The 2020 Private Placement Warrants have a five-year term and are exercisable beginning 181 days after their issue date. The aggregate net purchase price for the securities sold in the 2020 Private Placement was approximately $20.3 million. The transaction was completed on March 19, 2020. All outstanding shares of Series A Preferred Stock automatically converted into shares 6.6 million shares of our common stock on June 16, 2020 upon receipt of stockholder approval at our annual meeting of stockholders held on June 16, 2020.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i w:val="1"/>
          <w:iCs w:val="1"/>
          <w:color w:val="auto"/>
        </w:rPr>
        <w:t>Equity Purchase Agreement with Lincoln Park</w:t>
      </w:r>
    </w:p>
    <w:p>
      <w:pPr>
        <w:spacing w:after="0" w:line="191"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Concurrently with entering into the Equity Purchase Agreement, we also entered into a registration rights agreement with Lincoln Park, pursuant to which we agreed to provide Lincoln Park with certain registration rights related to the shares issued under the Equity Purchase Agreement (the “Registration Rights Agreement”). See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As of September 30, 2020, we issued and sold to Lincoln Park 2.03 million shares of our common stock, 0.2 million of these shares were issued to Lincoln Park as a commitment fee in connection with entering into the Equity Purchase Agreement (the “Commitment Shares”). The total value of the Commitment Shares of $0.6 million together with the issuance costs of $0.1 million were recorded as deferred issuance costs in the condensed consolidated balance sheet. These costs will be amortized into condensed consolidated statements of stockholders’ equity proportionally based on proceeds received during the period and the expected total proceeds to be raised over the term of the Equity Purchase Agreement. The net cash proceeds from shares issuance as of September 30, 2020 were $6.2 million. The Equity Purchase Agreement will enhance our balance sheet and financial condition to support our future growth initiatives.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We derive revenue from the sale of products and services. Product revenue includes revenue from the following:</w:t>
      </w:r>
    </w:p>
    <w:p>
      <w:pPr>
        <w:spacing w:after="0" w:line="191" w:lineRule="exact"/>
        <w:rPr>
          <w:sz w:val="20"/>
          <w:szCs w:val="20"/>
          <w:color w:val="auto"/>
        </w:rPr>
      </w:pPr>
    </w:p>
    <w:p>
      <w:pPr>
        <w:ind w:left="740" w:hanging="374"/>
        <w:spacing w:after="0"/>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sale of systems, which includes the main console and is inclusive of control software and applicators (referred to as system revenue);</w:t>
      </w:r>
    </w:p>
    <w:p>
      <w:pPr>
        <w:spacing w:after="0" w:line="18" w:lineRule="exact"/>
        <w:rPr>
          <w:rFonts w:ascii="Arial" w:cs="Arial" w:eastAsia="Arial" w:hAnsi="Arial"/>
          <w:sz w:val="15"/>
          <w:szCs w:val="15"/>
          <w:color w:val="auto"/>
        </w:rPr>
      </w:pPr>
    </w:p>
    <w:p>
      <w:pPr>
        <w:ind w:left="740" w:hanging="374"/>
        <w:spacing w:after="0"/>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marketing supplies and kits;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consumables and disposables;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replacement applicators/handpieces; and</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Venus Concept skincare and hair products.</w:t>
      </w:r>
    </w:p>
    <w:p>
      <w:pPr>
        <w:spacing w:after="0" w:line="182"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Service revenue includes revenue derived from our VeroGrafters</w:t>
      </w:r>
      <w:r>
        <w:rPr>
          <w:rFonts w:ascii="Arial" w:cs="Arial" w:eastAsia="Arial" w:hAnsi="Arial"/>
          <w:sz w:val="15"/>
          <w:szCs w:val="15"/>
          <w:color w:val="3C4043"/>
        </w:rPr>
        <w:t>™</w:t>
      </w:r>
      <w:r>
        <w:rPr>
          <w:rFonts w:ascii="Arial" w:cs="Arial" w:eastAsia="Arial" w:hAnsi="Arial"/>
          <w:sz w:val="15"/>
          <w:szCs w:val="15"/>
          <w:color w:val="auto"/>
        </w:rPr>
        <w:t xml:space="preserve"> technician services, our 2two5 internal advertising agency, and our extended warranty service contracts provided to our existing customers.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Systems are sold through our subscription model, or through traditional sales contracts directly and through distributors.</w:t>
      </w:r>
    </w:p>
    <w:p>
      <w:pPr>
        <w:spacing w:after="0" w:line="191"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auto"/>
        </w:rPr>
        <w:t>We generate recurring monthly revenue under our subscription-based business model and from traditional system sales. Venus Concept Ltd. commenced a subscription-based model in North America in 2011 and, for the nine months ended September 30, 2020, and 2019, approximately 57% and 70% of system revenues were derived from our subscription model, respectively. We have launched our subscription model in targeted international markets in which we operate directly. We currently do not offer the ARTAS® iX System for hair restoration under the subscription model, which accounts for the drop in the percent of sales sold under subscription in 2020.</w:t>
      </w:r>
    </w:p>
    <w:p>
      <w:pPr>
        <w:spacing w:after="0" w:line="144" w:lineRule="exact"/>
        <w:rPr>
          <w:sz w:val="20"/>
          <w:szCs w:val="20"/>
          <w:color w:val="auto"/>
        </w:rPr>
      </w:pPr>
    </w:p>
    <w:p>
      <w:pPr>
        <w:ind w:right="120"/>
        <w:spacing w:after="0" w:line="278" w:lineRule="auto"/>
        <w:rPr>
          <w:sz w:val="20"/>
          <w:szCs w:val="20"/>
          <w:color w:val="auto"/>
        </w:rPr>
      </w:pPr>
      <w:r>
        <w:rPr>
          <w:rFonts w:ascii="Arial" w:cs="Arial" w:eastAsia="Arial" w:hAnsi="Arial"/>
          <w:sz w:val="14"/>
          <w:szCs w:val="14"/>
          <w:color w:val="auto"/>
        </w:rPr>
        <w:t>Our subscription model includes an up-front fee and a monthly payment schedule, typically over a period of 36 months, with approximately 40% of total contract payments collected in the first year. To ensure that each monthly product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to new agreements for the newest available or alternative Venus Concept’s technology throughout the subscription period. This structure can provide greater flexibility than traditional equipment leases secured through financing companies. We work closely with our customers and physicians to provide business recommendations that improve the quality of service outcomes, build patient traffic and improve financial returns for the customer’s business.</w:t>
      </w:r>
    </w:p>
    <w:p>
      <w:pPr>
        <w:spacing w:after="0" w:line="14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We have developed and commercialized twelve technology platforms, including our ARTAS® and NeoGraft® systems. Our medical aesthetic technology platforms have received regulatory clearance for indications such as treatment of facial wrinkles in certain skin types, temporary reduction of appearance of cellulite, non-invasive fat reduction (lipolysis) in the abdomen and flanks for certain body types and relief of minor muscle aches and pains, as well as other indications, that are cleared for marketing in overseas markets but not in the United States, including treatment of certain soft tissue injuries, temporary increase of skin tightening, temporary body contouring, and vaginal treatments in the Israeli and other markets. We believe our ARTAS® and NeoGraft® systems are complementary and give us a hair restoration product offering that can serve a broad segment of the market.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2" w:name="page33"/>
    <w:bookmarkEnd w:id="32"/>
    <w:p>
      <w:pPr>
        <w:ind w:right="80"/>
        <w:spacing w:after="0" w:line="285" w:lineRule="auto"/>
        <w:rPr>
          <w:sz w:val="20"/>
          <w:szCs w:val="20"/>
          <w:color w:val="auto"/>
        </w:rPr>
      </w:pPr>
      <w:r>
        <w:rPr>
          <w:rFonts w:ascii="Arial" w:cs="Arial" w:eastAsia="Arial" w:hAnsi="Arial"/>
          <w:sz w:val="14"/>
          <w:szCs w:val="14"/>
          <w:color w:val="auto"/>
        </w:rPr>
        <w:t>In the United States, we have obtained 510(k) clearance from FDA for our Venus Freeze and Freeze Plus systems, Venus Viva, Venus Viva MD, Venus Legacy, Venus Versa, Venus Velocity, Venus Heal, Venus Bliss, Venus Epileve and ARTAS® systems. The Venus Glow and NeoGraft® systems are listed as class I devices under FDA classification system. Outside the United States, we market our technologies in over 60 countries across Europe, Asia-Pacific and Latin America. Because each country has its own regulatory scheme and clearance process, not every device is cleared or authorized for the same indications in each market in which a particular system is marketed.</w:t>
      </w:r>
    </w:p>
    <w:p>
      <w:pPr>
        <w:spacing w:after="0" w:line="144" w:lineRule="exact"/>
        <w:rPr>
          <w:sz w:val="20"/>
          <w:szCs w:val="20"/>
          <w:color w:val="auto"/>
        </w:rPr>
      </w:pPr>
    </w:p>
    <w:p>
      <w:pPr>
        <w:ind w:right="280"/>
        <w:spacing w:after="0" w:line="315" w:lineRule="auto"/>
        <w:rPr>
          <w:sz w:val="20"/>
          <w:szCs w:val="20"/>
          <w:color w:val="auto"/>
        </w:rPr>
      </w:pPr>
      <w:r>
        <w:rPr>
          <w:rFonts w:ascii="Arial" w:cs="Arial" w:eastAsia="Arial" w:hAnsi="Arial"/>
          <w:sz w:val="14"/>
          <w:szCs w:val="14"/>
          <w:color w:val="auto"/>
        </w:rPr>
        <w:t>As of September 30, 2020, we operated directly in 26 international markets through our 23 direct offices in the United States, Canada, United Kingdom, Japan, South Korea, Mexico, Argentina, Colombia, Spain, France, Germany, Australia, China, Hong Kong, Singapore, Indonesia, Vietnam, India, Israel, Italy, Russia, Kazakhstan and South Africa.</w:t>
      </w:r>
    </w:p>
    <w:p>
      <w:pPr>
        <w:spacing w:after="0" w:line="123" w:lineRule="exact"/>
        <w:rPr>
          <w:sz w:val="20"/>
          <w:szCs w:val="20"/>
          <w:color w:val="auto"/>
        </w:rPr>
      </w:pPr>
    </w:p>
    <w:p>
      <w:pPr>
        <w:ind w:right="280"/>
        <w:spacing w:after="0" w:line="293" w:lineRule="auto"/>
        <w:rPr>
          <w:sz w:val="20"/>
          <w:szCs w:val="20"/>
          <w:color w:val="auto"/>
        </w:rPr>
      </w:pPr>
      <w:r>
        <w:rPr>
          <w:rFonts w:ascii="Arial" w:cs="Arial" w:eastAsia="Arial" w:hAnsi="Arial"/>
          <w:sz w:val="14"/>
          <w:szCs w:val="14"/>
          <w:color w:val="auto"/>
        </w:rPr>
        <w:t>Our revenues for the three months ended September 30, 2020 and September 30, 2019 were $20.7 million and $26.2 million, respectively. We had a net loss attributable to Venus Concept of $7.2 million and $8.6 million in the three months ended September 30, 2020 and September 30, 2019, respectively. We had an Adjusted EBITDA loss of $1.4 million and Adjusted EBITDA income of $28 thousand for the three months ended September 30, 2020 and September 30, 2019, respectively.</w:t>
      </w:r>
    </w:p>
    <w:p>
      <w:pPr>
        <w:spacing w:after="0" w:line="137"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Our revenues for the nine months ended September 30, 2020 and September 30, 2019 were $52.2 million and $78.6 million, respectively. We had a net loss attributable to Venus Concept of $70.6 million and $19.8 million in the nine months ended September 30, 2020 and September 30, 2019, respectively. We had an Adjusted EBITDA loss of $17.7 million and $1.0 million for the nine months ended September 30, 2020 and September 30, 2019,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Non-GAAP Financial Measures</w:t>
      </w:r>
    </w:p>
    <w:p>
      <w:pPr>
        <w:spacing w:after="0" w:line="191" w:lineRule="exact"/>
        <w:rPr>
          <w:sz w:val="20"/>
          <w:szCs w:val="20"/>
          <w:color w:val="auto"/>
        </w:rPr>
      </w:pPr>
    </w:p>
    <w:p>
      <w:pPr>
        <w:ind w:right="40"/>
        <w:spacing w:after="0" w:line="300" w:lineRule="auto"/>
        <w:rPr>
          <w:sz w:val="20"/>
          <w:szCs w:val="20"/>
          <w:color w:val="auto"/>
        </w:rPr>
      </w:pPr>
      <w:r>
        <w:rPr>
          <w:rFonts w:ascii="Arial" w:cs="Arial" w:eastAsia="Arial" w:hAnsi="Arial"/>
          <w:sz w:val="13"/>
          <w:szCs w:val="13"/>
          <w:color w:val="auto"/>
        </w:rPr>
        <w:t>Adjusted EBITDA is a non-GAAP measure defined as net loss income before foreign exchange loss, financial expenses, income tax expense,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a non-cash charges, the assets being depreciated will often have to be replaced in the future, and Adjusted EBITDA does not reflect any cash requirements for such replacements.</w:t>
      </w:r>
    </w:p>
    <w:p>
      <w:pPr>
        <w:spacing w:after="0" w:line="135"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reconciliation of net loss to Adjusted EBITDA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tcPr>
          <w:p>
            <w:pPr>
              <w:jc w:val="center"/>
              <w:ind w:right="360"/>
              <w:spacing w:after="0"/>
              <w:rPr>
                <w:sz w:val="20"/>
                <w:szCs w:val="20"/>
                <w:color w:val="auto"/>
              </w:rPr>
            </w:pPr>
            <w:r>
              <w:rPr>
                <w:rFonts w:ascii="Arial" w:cs="Arial" w:eastAsia="Arial" w:hAnsi="Arial"/>
                <w:sz w:val="12"/>
                <w:szCs w:val="12"/>
                <w:b w:val="1"/>
                <w:bCs w:val="1"/>
                <w:color w:val="auto"/>
                <w:w w:val="93"/>
              </w:rPr>
              <w:t>Three Months</w:t>
            </w:r>
          </w:p>
        </w:tc>
        <w:tc>
          <w:tcPr>
            <w:tcW w:w="160" w:type="dxa"/>
            <w:vAlign w:val="bottom"/>
          </w:tcPr>
          <w:p>
            <w:pPr>
              <w:spacing w:after="0"/>
              <w:rPr>
                <w:sz w:val="12"/>
                <w:szCs w:val="12"/>
                <w:color w:val="auto"/>
              </w:rPr>
            </w:pPr>
          </w:p>
        </w:tc>
        <w:tc>
          <w:tcPr>
            <w:tcW w:w="1100" w:type="dxa"/>
            <w:vAlign w:val="bottom"/>
            <w:gridSpan w:val="3"/>
          </w:tcPr>
          <w:p>
            <w:pPr>
              <w:jc w:val="center"/>
              <w:ind w:left="269"/>
              <w:spacing w:after="0"/>
              <w:rPr>
                <w:sz w:val="20"/>
                <w:szCs w:val="20"/>
                <w:color w:val="auto"/>
              </w:rPr>
            </w:pPr>
            <w:r>
              <w:rPr>
                <w:rFonts w:ascii="Arial" w:cs="Arial" w:eastAsia="Arial" w:hAnsi="Arial"/>
                <w:sz w:val="12"/>
                <w:szCs w:val="12"/>
                <w:b w:val="1"/>
                <w:bCs w:val="1"/>
                <w:color w:val="auto"/>
                <w:w w:val="94"/>
              </w:rPr>
              <w:t>Nine Months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tcPr>
          <w:p>
            <w:pPr>
              <w:jc w:val="center"/>
              <w:ind w:right="340"/>
              <w:spacing w:after="0"/>
              <w:rPr>
                <w:sz w:val="20"/>
                <w:szCs w:val="20"/>
                <w:color w:val="auto"/>
              </w:rPr>
            </w:pPr>
            <w:r>
              <w:rPr>
                <w:rFonts w:ascii="Arial" w:cs="Arial" w:eastAsia="Arial" w:hAnsi="Arial"/>
                <w:sz w:val="12"/>
                <w:szCs w:val="12"/>
                <w:b w:val="1"/>
                <w:bCs w:val="1"/>
                <w:color w:val="auto"/>
                <w:w w:val="90"/>
              </w:rPr>
              <w:t>Ended September 30</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0"/>
              </w:rPr>
              <w:t>Ended September 30</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820" w:type="dxa"/>
            <w:vAlign w:val="bottom"/>
            <w:gridSpan w:val="2"/>
            <w:vMerge w:val="restart"/>
          </w:tcPr>
          <w:p>
            <w:pPr>
              <w:ind w:left="1680"/>
              <w:spacing w:after="0"/>
              <w:rPr>
                <w:sz w:val="20"/>
                <w:szCs w:val="20"/>
                <w:color w:val="auto"/>
              </w:rPr>
            </w:pPr>
            <w:r>
              <w:rPr>
                <w:rFonts w:ascii="Arial" w:cs="Arial" w:eastAsia="Arial" w:hAnsi="Arial"/>
                <w:sz w:val="12"/>
                <w:szCs w:val="12"/>
                <w:b w:val="1"/>
                <w:bCs w:val="1"/>
                <w:color w:val="auto"/>
              </w:rPr>
              <w:t>Reconciliation of net loss to Adjusted EBITDA</w:t>
            </w:r>
          </w:p>
        </w:tc>
        <w:tc>
          <w:tcPr>
            <w:tcW w:w="9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9"/>
              <w:spacing w:after="0" w:line="128"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6"/>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9"/>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206"/>
              <w:spacing w:after="0" w:line="128" w:lineRule="exact"/>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2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5"/>
          </w:tcPr>
          <w:p>
            <w:pPr>
              <w:jc w:val="center"/>
              <w:ind w:right="126"/>
              <w:spacing w:after="0" w:line="128" w:lineRule="exact"/>
              <w:rPr>
                <w:sz w:val="20"/>
                <w:szCs w:val="20"/>
                <w:color w:val="auto"/>
              </w:rPr>
            </w:pPr>
            <w:r>
              <w:rPr>
                <w:rFonts w:ascii="Arial" w:cs="Arial" w:eastAsia="Arial" w:hAnsi="Arial"/>
                <w:sz w:val="12"/>
                <w:szCs w:val="12"/>
                <w:b w:val="1"/>
                <w:bCs w:val="1"/>
                <w:color w:val="auto"/>
                <w:w w:val="89"/>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center"/>
              <w:ind w:left="289"/>
              <w:spacing w:after="0" w:line="128" w:lineRule="exact"/>
              <w:rPr>
                <w:sz w:val="20"/>
                <w:szCs w:val="20"/>
                <w:color w:val="auto"/>
              </w:rPr>
            </w:pPr>
            <w:r>
              <w:rPr>
                <w:rFonts w:ascii="Arial" w:cs="Arial" w:eastAsia="Arial" w:hAnsi="Arial"/>
                <w:sz w:val="12"/>
                <w:szCs w:val="12"/>
                <w:b w:val="1"/>
                <w:bCs w:val="1"/>
                <w:color w:val="auto"/>
                <w:w w:val="89"/>
              </w:rPr>
              <w:t>(in thousands)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(7,321)</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(8,977)</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(67,789)</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(19,560)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20" w:type="dxa"/>
            <w:vAlign w:val="bottom"/>
            <w:gridSpan w:val="2"/>
          </w:tcPr>
          <w:p>
            <w:pPr>
              <w:ind w:left="1680"/>
              <w:spacing w:after="0"/>
              <w:rPr>
                <w:sz w:val="20"/>
                <w:szCs w:val="20"/>
                <w:color w:val="auto"/>
              </w:rPr>
            </w:pPr>
            <w:r>
              <w:rPr>
                <w:rFonts w:ascii="Arial" w:cs="Arial" w:eastAsia="Arial" w:hAnsi="Arial"/>
                <w:sz w:val="15"/>
                <w:szCs w:val="15"/>
                <w:color w:val="auto"/>
              </w:rPr>
              <w:t>Foreign exchange loss</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1,096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396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4,209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409</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5"/>
                <w:szCs w:val="15"/>
                <w:color w:val="auto"/>
              </w:rPr>
              <w:t>Finance expenses</w:t>
            </w: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1,897</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6,522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5,904</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20" w:type="dxa"/>
            <w:vAlign w:val="bottom"/>
            <w:gridSpan w:val="2"/>
          </w:tcPr>
          <w:p>
            <w:pPr>
              <w:ind w:left="1680"/>
              <w:spacing w:after="0"/>
              <w:rPr>
                <w:sz w:val="20"/>
                <w:szCs w:val="20"/>
                <w:color w:val="auto"/>
              </w:rPr>
            </w:pPr>
            <w:r>
              <w:rPr>
                <w:rFonts w:ascii="Arial" w:cs="Arial" w:eastAsia="Arial" w:hAnsi="Arial"/>
                <w:sz w:val="15"/>
                <w:szCs w:val="15"/>
                <w:color w:val="auto"/>
              </w:rPr>
              <w:t>Income tax expense (benefit)</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(966)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(80)</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(1,010)</w:t>
            </w: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867</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5"/>
                <w:szCs w:val="15"/>
                <w:color w:val="auto"/>
              </w:rPr>
              <w:t>Depreciation and amortization</w:t>
            </w: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1,181</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329</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1,064</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20" w:type="dxa"/>
            <w:vAlign w:val="bottom"/>
            <w:gridSpan w:val="2"/>
          </w:tcPr>
          <w:p>
            <w:pPr>
              <w:ind w:left="1680"/>
              <w:spacing w:after="0"/>
              <w:rPr>
                <w:sz w:val="20"/>
                <w:szCs w:val="20"/>
                <w:color w:val="auto"/>
              </w:rPr>
            </w:pPr>
            <w:r>
              <w:rPr>
                <w:rFonts w:ascii="Arial" w:cs="Arial" w:eastAsia="Arial" w:hAnsi="Arial"/>
                <w:sz w:val="15"/>
                <w:szCs w:val="15"/>
                <w:color w:val="auto"/>
              </w:rPr>
              <w:t>Stock-based compensation expense</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547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313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1,603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1,732</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5"/>
                <w:szCs w:val="15"/>
                <w:color w:val="auto"/>
              </w:rPr>
              <w:t>Goodwill impairment charge</w:t>
            </w: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31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 xml:space="preserve">Other adjustments </w:t>
            </w:r>
            <w:r>
              <w:rPr>
                <w:rFonts w:ascii="Arial" w:cs="Arial" w:eastAsia="Arial" w:hAnsi="Arial"/>
                <w:sz w:val="10"/>
                <w:szCs w:val="10"/>
                <w:color w:val="auto"/>
              </w:rPr>
              <w:t>(1)</w:t>
            </w:r>
          </w:p>
        </w:tc>
        <w:tc>
          <w:tcPr>
            <w:tcW w:w="9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2,178</w:t>
            </w:r>
          </w:p>
        </w:tc>
        <w:tc>
          <w:tcPr>
            <w:tcW w:w="10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5,950</w:t>
            </w:r>
          </w:p>
        </w:tc>
        <w:tc>
          <w:tcPr>
            <w:tcW w:w="1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7,572</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8,600</w:t>
            </w:r>
          </w:p>
        </w:tc>
        <w:tc>
          <w:tcPr>
            <w:tcW w:w="80" w:type="dxa"/>
            <w:vAlign w:val="bottom"/>
            <w:tcBorders>
              <w:bottom w:val="single" w:sz="8" w:color="CFF0FC"/>
            </w:tcBorders>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(1,388)</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(17,748)</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(984)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5"/>
                <w:szCs w:val="15"/>
                <w:color w:val="auto"/>
              </w:rPr>
              <w:t>32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1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33" w:name="page34"/>
    <w:bookmarkEnd w:id="33"/>
    <w:p>
      <w:pPr>
        <w:ind w:left="9" w:right="60" w:hanging="9"/>
        <w:spacing w:after="0" w:line="293" w:lineRule="auto"/>
        <w:tabs>
          <w:tab w:leader="none" w:pos="191" w:val="left"/>
        </w:tabs>
        <w:numPr>
          <w:ilvl w:val="0"/>
          <w:numId w:val="10"/>
        </w:numPr>
        <w:rPr>
          <w:rFonts w:ascii="Arial" w:cs="Arial" w:eastAsia="Arial" w:hAnsi="Arial"/>
          <w:sz w:val="12"/>
          <w:szCs w:val="12"/>
          <w:color w:val="auto"/>
        </w:rPr>
      </w:pPr>
      <w:r>
        <w:rPr>
          <w:rFonts w:ascii="Arial" w:cs="Arial" w:eastAsia="Arial" w:hAnsi="Arial"/>
          <w:sz w:val="14"/>
          <w:szCs w:val="14"/>
          <w:color w:val="auto"/>
        </w:rPr>
        <w:t>For the three and nine months ended September 30, 2020, the other adjustments are mainly represented by severance and retention payments ($nil and $1.5 million, respectively), additional bad debt provision due to COVID-19 ($2.2 million and $5.7 million, respectively) as well as a loss on sale of subsidiary in Bulgaria ($nil and $0.4 million, respectively). For the three and nine months ended September 30, 2019, the other adjustments are mainly represented by professional fees related to the Merger.</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Key Factors Impacting Our Results of Operations</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5"/>
          <w:szCs w:val="15"/>
          <w:color w:val="auto"/>
        </w:rPr>
        <w:t>Our results of operations are impacted by several factors, but we consider the following to be particularly significant to our business:</w:t>
      </w:r>
    </w:p>
    <w:p>
      <w:pPr>
        <w:spacing w:after="0" w:line="187" w:lineRule="exact"/>
        <w:rPr>
          <w:sz w:val="20"/>
          <w:szCs w:val="20"/>
          <w:color w:val="auto"/>
        </w:rPr>
      </w:pPr>
    </w:p>
    <w:p>
      <w:pPr>
        <w:ind w:left="9" w:right="300"/>
        <w:spacing w:after="0" w:line="284" w:lineRule="auto"/>
        <w:rPr>
          <w:sz w:val="20"/>
          <w:szCs w:val="20"/>
          <w:color w:val="auto"/>
        </w:rPr>
      </w:pPr>
      <w:r>
        <w:rPr>
          <w:rFonts w:ascii="Arial" w:cs="Arial" w:eastAsia="Arial" w:hAnsi="Arial"/>
          <w:sz w:val="15"/>
          <w:szCs w:val="15"/>
          <w:b w:val="1"/>
          <w:bCs w:val="1"/>
          <w:color w:val="auto"/>
        </w:rPr>
        <w:t xml:space="preserve">Number of systems delivered. </w:t>
      </w:r>
      <w:r>
        <w:rPr>
          <w:rFonts w:ascii="Arial" w:cs="Arial" w:eastAsia="Arial" w:hAnsi="Arial"/>
          <w:sz w:val="15"/>
          <w:szCs w:val="15"/>
          <w:color w:val="auto"/>
        </w:rPr>
        <w:t>The majority of our revenue is generated from the delivery of systems, both under traditional sale contracts and under subscription agreements.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table set forth the number of systems we have delivered in the geographic regions indicated:</w:t>
      </w:r>
    </w:p>
    <w:p>
      <w:pPr>
        <w:spacing w:after="0" w:line="130" w:lineRule="exact"/>
        <w:rPr>
          <w:sz w:val="20"/>
          <w:szCs w:val="20"/>
          <w:color w:val="auto"/>
        </w:rPr>
      </w:pPr>
    </w:p>
    <w:tbl>
      <w:tblPr>
        <w:tblLayout w:type="fixed"/>
        <w:tblInd w:w="1689"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gridSpan w:val="3"/>
          </w:tcPr>
          <w:p>
            <w:pPr>
              <w:jc w:val="center"/>
              <w:ind w:right="319"/>
              <w:spacing w:after="0"/>
              <w:rPr>
                <w:sz w:val="20"/>
                <w:szCs w:val="20"/>
                <w:color w:val="auto"/>
              </w:rPr>
            </w:pPr>
            <w:r>
              <w:rPr>
                <w:rFonts w:ascii="Arial" w:cs="Arial" w:eastAsia="Arial" w:hAnsi="Arial"/>
                <w:sz w:val="12"/>
                <w:szCs w:val="12"/>
                <w:b w:val="1"/>
                <w:bCs w:val="1"/>
                <w:color w:val="auto"/>
                <w:w w:val="93"/>
              </w:rPr>
              <w:t>Three Months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ind w:left="840"/>
              <w:spacing w:after="0"/>
              <w:rPr>
                <w:sz w:val="20"/>
                <w:szCs w:val="20"/>
                <w:color w:val="auto"/>
              </w:rPr>
            </w:pPr>
            <w:r>
              <w:rPr>
                <w:rFonts w:ascii="Arial" w:cs="Arial" w:eastAsia="Arial" w:hAnsi="Arial"/>
                <w:sz w:val="12"/>
                <w:szCs w:val="12"/>
                <w:b w:val="1"/>
                <w:bCs w:val="1"/>
                <w:color w:val="auto"/>
              </w:rPr>
              <w:t>Nine Months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2940" w:type="dxa"/>
            <w:vAlign w:val="bottom"/>
          </w:tcPr>
          <w:p>
            <w:pPr>
              <w:spacing w:after="0"/>
              <w:rPr>
                <w:sz w:val="12"/>
                <w:szCs w:val="12"/>
                <w:color w:val="auto"/>
              </w:rPr>
            </w:pPr>
          </w:p>
        </w:tc>
        <w:tc>
          <w:tcPr>
            <w:tcW w:w="2000" w:type="dxa"/>
            <w:vAlign w:val="bottom"/>
            <w:gridSpan w:val="4"/>
          </w:tcPr>
          <w:p>
            <w:pPr>
              <w:jc w:val="center"/>
              <w:ind w:left="259"/>
              <w:spacing w:after="0"/>
              <w:rPr>
                <w:sz w:val="20"/>
                <w:szCs w:val="20"/>
                <w:color w:val="auto"/>
              </w:rPr>
            </w:pPr>
            <w:r>
              <w:rPr>
                <w:rFonts w:ascii="Arial" w:cs="Arial" w:eastAsia="Arial" w:hAnsi="Arial"/>
                <w:sz w:val="12"/>
                <w:szCs w:val="12"/>
                <w:b w:val="1"/>
                <w:bCs w:val="1"/>
                <w:color w:val="auto"/>
                <w:w w:val="90"/>
              </w:rPr>
              <w:t>Ended September 30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5"/>
          </w:tcPr>
          <w:p>
            <w:pPr>
              <w:ind w:left="640"/>
              <w:spacing w:after="0"/>
              <w:rPr>
                <w:sz w:val="20"/>
                <w:szCs w:val="20"/>
                <w:color w:val="auto"/>
              </w:rPr>
            </w:pPr>
            <w:r>
              <w:rPr>
                <w:rFonts w:ascii="Arial" w:cs="Arial" w:eastAsia="Arial" w:hAnsi="Arial"/>
                <w:sz w:val="12"/>
                <w:szCs w:val="12"/>
                <w:b w:val="1"/>
                <w:bCs w:val="1"/>
                <w:color w:val="auto"/>
              </w:rPr>
              <w:t>Ended September 30</w:t>
            </w:r>
          </w:p>
        </w:tc>
      </w:tr>
      <w:tr>
        <w:trPr>
          <w:trHeight w:val="128"/>
        </w:trPr>
        <w:tc>
          <w:tcPr>
            <w:tcW w:w="2940" w:type="dxa"/>
            <w:vAlign w:val="bottom"/>
            <w:tcBorders>
              <w:bottom w:val="single" w:sz="8" w:color="CFF0FC"/>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3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CFF0FC"/>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9"/>
              <w:spacing w:after="0" w:line="128"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top w:val="single" w:sz="8" w:color="auto"/>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1080" w:type="dxa"/>
            <w:vAlign w:val="bottom"/>
            <w:tcBorders>
              <w:top w:val="single" w:sz="8" w:color="auto"/>
              <w:bottom w:val="single" w:sz="8" w:color="auto"/>
            </w:tcBorders>
          </w:tcPr>
          <w:p>
            <w:pPr>
              <w:ind w:left="420"/>
              <w:spacing w:after="0" w:line="128"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CFF0FC"/>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348"/>
              <w:spacing w:after="0" w:line="128"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FF0FC"/>
            </w:tcBorders>
          </w:tcPr>
          <w:p>
            <w:pPr>
              <w:spacing w:after="0"/>
              <w:rPr>
                <w:sz w:val="11"/>
                <w:szCs w:val="11"/>
                <w:color w:val="auto"/>
              </w:rPr>
            </w:pPr>
          </w:p>
        </w:tc>
      </w:tr>
      <w:tr>
        <w:trPr>
          <w:trHeight w:val="184"/>
        </w:trPr>
        <w:tc>
          <w:tcPr>
            <w:tcW w:w="36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United States</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ind w:left="840"/>
              <w:spacing w:after="0"/>
              <w:rPr>
                <w:sz w:val="20"/>
                <w:szCs w:val="20"/>
                <w:color w:val="auto"/>
              </w:rPr>
            </w:pPr>
            <w:r>
              <w:rPr>
                <w:rFonts w:ascii="Arial" w:cs="Arial" w:eastAsia="Arial" w:hAnsi="Arial"/>
                <w:sz w:val="15"/>
                <w:szCs w:val="15"/>
                <w:color w:val="auto"/>
                <w:w w:val="87"/>
              </w:rPr>
              <w:t>201</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483</w:t>
            </w:r>
          </w:p>
        </w:tc>
        <w:tc>
          <w:tcPr>
            <w:tcW w:w="80" w:type="dxa"/>
            <w:vAlign w:val="bottom"/>
            <w:shd w:val="clear" w:color="auto" w:fill="CFF0FC"/>
          </w:tcPr>
          <w:p>
            <w:pPr>
              <w:spacing w:after="0"/>
              <w:rPr>
                <w:sz w:val="16"/>
                <w:szCs w:val="16"/>
                <w:color w:val="auto"/>
              </w:rPr>
            </w:pPr>
          </w:p>
        </w:tc>
      </w:tr>
      <w:tr>
        <w:trPr>
          <w:trHeight w:val="192"/>
        </w:trPr>
        <w:tc>
          <w:tcPr>
            <w:tcW w:w="29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International</w:t>
            </w: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w:t>
            </w:r>
          </w:p>
        </w:tc>
        <w:tc>
          <w:tcPr>
            <w:tcW w:w="18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w:t>
            </w:r>
          </w:p>
        </w:tc>
        <w:tc>
          <w:tcPr>
            <w:tcW w:w="18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5"/>
                <w:szCs w:val="15"/>
                <w:color w:val="auto"/>
                <w:w w:val="87"/>
              </w:rPr>
              <w:t>652</w:t>
            </w:r>
          </w:p>
        </w:tc>
        <w:tc>
          <w:tcPr>
            <w:tcW w:w="18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1,363</w:t>
            </w:r>
          </w:p>
        </w:tc>
        <w:tc>
          <w:tcPr>
            <w:tcW w:w="80" w:type="dxa"/>
            <w:vAlign w:val="bottom"/>
            <w:tcBorders>
              <w:bottom w:val="single" w:sz="8" w:color="CFF0FC"/>
            </w:tcBorders>
          </w:tcPr>
          <w:p>
            <w:pPr>
              <w:spacing w:after="0"/>
              <w:rPr>
                <w:sz w:val="16"/>
                <w:szCs w:val="16"/>
                <w:color w:val="auto"/>
              </w:rPr>
            </w:pPr>
          </w:p>
        </w:tc>
      </w:tr>
      <w:tr>
        <w:trPr>
          <w:trHeight w:val="184"/>
        </w:trPr>
        <w:tc>
          <w:tcPr>
            <w:tcW w:w="36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Total systems delivered</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333</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ind w:left="840"/>
              <w:spacing w:after="0"/>
              <w:rPr>
                <w:sz w:val="20"/>
                <w:szCs w:val="20"/>
                <w:color w:val="auto"/>
              </w:rPr>
            </w:pPr>
            <w:r>
              <w:rPr>
                <w:rFonts w:ascii="Arial" w:cs="Arial" w:eastAsia="Arial" w:hAnsi="Arial"/>
                <w:sz w:val="15"/>
                <w:szCs w:val="15"/>
                <w:color w:val="auto"/>
                <w:w w:val="87"/>
              </w:rPr>
              <w:t>853</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1,846</w:t>
            </w:r>
          </w:p>
        </w:tc>
        <w:tc>
          <w:tcPr>
            <w:tcW w:w="80" w:type="dxa"/>
            <w:vAlign w:val="bottom"/>
            <w:shd w:val="clear" w:color="auto" w:fill="CFF0FC"/>
          </w:tcPr>
          <w:p>
            <w:pPr>
              <w:spacing w:after="0"/>
              <w:rPr>
                <w:sz w:val="16"/>
                <w:szCs w:val="16"/>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67" w:lineRule="exact"/>
        <w:rPr>
          <w:sz w:val="20"/>
          <w:szCs w:val="20"/>
          <w:color w:val="auto"/>
        </w:rPr>
      </w:pPr>
    </w:p>
    <w:p>
      <w:pPr>
        <w:ind w:left="9" w:right="100"/>
        <w:spacing w:after="0" w:line="259" w:lineRule="auto"/>
        <w:rPr>
          <w:sz w:val="20"/>
          <w:szCs w:val="20"/>
          <w:color w:val="auto"/>
        </w:rPr>
      </w:pPr>
      <w:r>
        <w:rPr>
          <w:rFonts w:ascii="Arial" w:cs="Arial" w:eastAsia="Arial" w:hAnsi="Arial"/>
          <w:sz w:val="15"/>
          <w:szCs w:val="15"/>
          <w:b w:val="1"/>
          <w:bCs w:val="1"/>
          <w:color w:val="auto"/>
        </w:rPr>
        <w:t xml:space="preserve">Mix between traditional sales, subscription model sales and distributor sales. </w:t>
      </w:r>
      <w:r>
        <w:rPr>
          <w:rFonts w:ascii="Arial" w:cs="Arial" w:eastAsia="Arial" w:hAnsi="Arial"/>
          <w:sz w:val="15"/>
          <w:szCs w:val="15"/>
          <w:color w:val="auto"/>
        </w:rPr>
        <w:t>We deliver systems through (1) traditional direct system sales contracts to customers, (2) our</w:t>
      </w:r>
      <w:r>
        <w:rPr>
          <w:rFonts w:ascii="Arial" w:cs="Arial" w:eastAsia="Arial" w:hAnsi="Arial"/>
          <w:sz w:val="15"/>
          <w:szCs w:val="15"/>
          <w:b w:val="1"/>
          <w:bCs w:val="1"/>
          <w:color w:val="auto"/>
        </w:rPr>
        <w:t xml:space="preserve"> </w:t>
      </w:r>
      <w:r>
        <w:rPr>
          <w:rFonts w:ascii="Arial" w:cs="Arial" w:eastAsia="Arial" w:hAnsi="Arial"/>
          <w:sz w:val="15"/>
          <w:szCs w:val="15"/>
          <w:color w:val="auto"/>
        </w:rPr>
        <w:t>subscription model, and (3) system sales through distributor agreements. Unit deliveries under direct system sales contracts and subscription agreements have the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contracts and subscription contracts have similar gross margins, cash collections on subscription contracts generally occur over a three-year period, with approximately 40% collected in the first year and the balance collected evenly over the remaining two years of the subscription agreement.</w:t>
      </w:r>
    </w:p>
    <w:p>
      <w:pPr>
        <w:spacing w:after="0" w:line="155" w:lineRule="exact"/>
        <w:rPr>
          <w:sz w:val="20"/>
          <w:szCs w:val="20"/>
          <w:color w:val="auto"/>
        </w:rPr>
      </w:pPr>
    </w:p>
    <w:p>
      <w:pPr>
        <w:ind w:left="9" w:right="20"/>
        <w:spacing w:after="0" w:line="279" w:lineRule="auto"/>
        <w:rPr>
          <w:sz w:val="20"/>
          <w:szCs w:val="20"/>
          <w:color w:val="auto"/>
        </w:rPr>
      </w:pPr>
      <w:r>
        <w:rPr>
          <w:rFonts w:ascii="Arial" w:cs="Arial" w:eastAsia="Arial" w:hAnsi="Arial"/>
          <w:sz w:val="14"/>
          <w:szCs w:val="14"/>
          <w:b w:val="1"/>
          <w:bCs w:val="1"/>
          <w:color w:val="auto"/>
        </w:rPr>
        <w:t xml:space="preserve">Investment in Sales, Marketing and Operations. </w:t>
      </w:r>
      <w:r>
        <w:rPr>
          <w:rFonts w:ascii="Arial" w:cs="Arial" w:eastAsia="Arial" w:hAnsi="Arial"/>
          <w:sz w:val="14"/>
          <w:szCs w:val="14"/>
          <w:color w:val="auto"/>
        </w:rPr>
        <w:t>In recent years, we made a strategic decision to penetrate the global market by investing in sales and marketing expenses across all</w:t>
      </w:r>
      <w:r>
        <w:rPr>
          <w:rFonts w:ascii="Arial" w:cs="Arial" w:eastAsia="Arial" w:hAnsi="Arial"/>
          <w:sz w:val="14"/>
          <w:szCs w:val="14"/>
          <w:b w:val="1"/>
          <w:bCs w:val="1"/>
          <w:color w:val="auto"/>
        </w:rPr>
        <w:t xml:space="preserve"> </w:t>
      </w:r>
      <w:r>
        <w:rPr>
          <w:rFonts w:ascii="Arial" w:cs="Arial" w:eastAsia="Arial" w:hAnsi="Arial"/>
          <w:sz w:val="14"/>
          <w:szCs w:val="14"/>
          <w:color w:val="auto"/>
        </w:rPr>
        <w:t>geographic segments. This included the opening of more direct offices and hiring experienced sales, marketing and operational staff. While we generated incremental product sales in these new markets, these revenues and the related margins did not fully offset the startup investments made in certain countries. We have been evaluating our profitability and growth prospects in these countries post COVID-19, and we will exit countries that have yet to produce sustainable results. In the nine months ended September 30, 2020 and September 30, 2019, respectively, we did not open any direct sales offices. As of June 30, 2020, we sold our share (51%) in our Bulgarian subsidiary, Venus Concept Central Eastern Europe Ltd., to a third party for the cash consideration of 0.5 million Euro which is equivalent to $0.5 million. The disposal resulted in loss of $0.4 million. We expect to announce further office closures in the fourth quarter of 2020 as we focus on markets with higher growth and profit potential.</w:t>
      </w:r>
    </w:p>
    <w:p>
      <w:pPr>
        <w:spacing w:after="0" w:line="144" w:lineRule="exact"/>
        <w:rPr>
          <w:sz w:val="20"/>
          <w:szCs w:val="20"/>
          <w:color w:val="auto"/>
        </w:rPr>
      </w:pPr>
    </w:p>
    <w:p>
      <w:pPr>
        <w:ind w:left="9"/>
        <w:spacing w:after="0" w:line="279" w:lineRule="auto"/>
        <w:rPr>
          <w:sz w:val="20"/>
          <w:szCs w:val="20"/>
          <w:color w:val="auto"/>
        </w:rPr>
      </w:pPr>
      <w:r>
        <w:rPr>
          <w:rFonts w:ascii="Arial" w:cs="Arial" w:eastAsia="Arial" w:hAnsi="Arial"/>
          <w:sz w:val="14"/>
          <w:szCs w:val="14"/>
          <w:b w:val="1"/>
          <w:bCs w:val="1"/>
          <w:color w:val="auto"/>
        </w:rPr>
        <w:t xml:space="preserve">Bad Debt Expense. </w:t>
      </w:r>
      <w:r>
        <w:rPr>
          <w:rFonts w:ascii="Arial" w:cs="Arial" w:eastAsia="Arial" w:hAnsi="Arial"/>
          <w:sz w:val="14"/>
          <w:szCs w:val="14"/>
          <w:color w:val="auto"/>
        </w:rPr>
        <w:t>We maintain an allowance for doubtful accounts for estimated losses that may primarily arise from subscription customers that are unable to make the remaining</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payments under their subscription contracts. Due to COVID-19, in the first half of 2020, we have experienced significant reductions in the collection of accounts receivable from our subscription customers across the markets we operate. As a result, in addition to our regular allowance for doubtful accounts, we recorded a COVID-19 related bad debt charge of $0.5 million, $3.0 million and $2.2 million in the first, the second and the third quarters of 2020, respectively. The cumulative COVID-19 bad debt charge of $5.7 million represents 6.0% of the gross outstanding accounts receivable as of September 30, 2020. In July of 2020, our collection efforts and results improved dramatically, and continued to do so through to September of 2020. We entered into repayment arrangements with the majority of non-paying customers, and as government lockdown and shelter in place orders were lifted we experienced a significant improvement in collections as businesses reopened.</w:t>
      </w:r>
    </w:p>
    <w:p>
      <w:pPr>
        <w:spacing w:after="0" w:line="14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Outlook</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COVID-19</w:t>
      </w:r>
    </w:p>
    <w:p>
      <w:pPr>
        <w:spacing w:after="0" w:line="191" w:lineRule="exact"/>
        <w:rPr>
          <w:sz w:val="20"/>
          <w:szCs w:val="20"/>
          <w:color w:val="auto"/>
        </w:rPr>
      </w:pPr>
    </w:p>
    <w:p>
      <w:pPr>
        <w:ind w:left="9" w:right="140"/>
        <w:spacing w:after="0" w:line="278" w:lineRule="auto"/>
        <w:rPr>
          <w:sz w:val="20"/>
          <w:szCs w:val="20"/>
          <w:color w:val="auto"/>
        </w:rPr>
      </w:pPr>
      <w:r>
        <w:rPr>
          <w:rFonts w:ascii="Arial" w:cs="Arial" w:eastAsia="Arial" w:hAnsi="Arial"/>
          <w:sz w:val="15"/>
          <w:szCs w:val="15"/>
          <w:color w:val="auto"/>
        </w:rPr>
        <w:t>The global pandemic caused by the novel coronavirus (COVID-19) has significantly negatively affected all aspects of our business during the first nine months of 2020, including our sales, supply chain, manufacturing and accounts receivable collections.</w:t>
      </w:r>
    </w:p>
    <w:p>
      <w:pPr>
        <w:spacing w:after="0" w:line="146" w:lineRule="exact"/>
        <w:rPr>
          <w:sz w:val="20"/>
          <w:szCs w:val="20"/>
          <w:color w:val="auto"/>
        </w:rPr>
      </w:pPr>
    </w:p>
    <w:p>
      <w:pPr>
        <w:jc w:val="center"/>
        <w:ind w:right="-68"/>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851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189"/>
          </w:cols>
          <w:pgMar w:left="311" w:top="311" w:right="399" w:bottom="1440" w:gutter="0" w:footer="0" w:header="0"/>
        </w:sectPr>
      </w:pPr>
    </w:p>
    <w:bookmarkStart w:id="34" w:name="page35"/>
    <w:bookmarkEnd w:id="34"/>
    <w:p>
      <w:pPr>
        <w:ind w:right="400"/>
        <w:spacing w:after="0" w:line="321" w:lineRule="auto"/>
        <w:rPr>
          <w:sz w:val="20"/>
          <w:szCs w:val="20"/>
          <w:color w:val="auto"/>
        </w:rPr>
      </w:pPr>
      <w:r>
        <w:rPr>
          <w:rFonts w:ascii="Arial" w:cs="Arial" w:eastAsia="Arial" w:hAnsi="Arial"/>
          <w:sz w:val="14"/>
          <w:szCs w:val="14"/>
          <w:b w:val="1"/>
          <w:bCs w:val="1"/>
          <w:color w:val="auto"/>
        </w:rPr>
        <w:t xml:space="preserve">Employee and customers’ health and safety measures. </w:t>
      </w:r>
      <w:r>
        <w:rPr>
          <w:rFonts w:ascii="Arial" w:cs="Arial" w:eastAsia="Arial" w:hAnsi="Arial"/>
          <w:sz w:val="14"/>
          <w:szCs w:val="14"/>
          <w:color w:val="auto"/>
        </w:rPr>
        <w:t>At Venus Concept, safety is our top responsibility and that includes the health and wellness of our employees globally. In</w:t>
      </w:r>
      <w:r>
        <w:rPr>
          <w:rFonts w:ascii="Arial" w:cs="Arial" w:eastAsia="Arial" w:hAnsi="Arial"/>
          <w:sz w:val="14"/>
          <w:szCs w:val="14"/>
          <w:b w:val="1"/>
          <w:bCs w:val="1"/>
          <w:color w:val="auto"/>
        </w:rPr>
        <w:t xml:space="preserve"> </w:t>
      </w:r>
      <w:r>
        <w:rPr>
          <w:rFonts w:ascii="Arial" w:cs="Arial" w:eastAsia="Arial" w:hAnsi="Arial"/>
          <w:sz w:val="14"/>
          <w:szCs w:val="14"/>
          <w:color w:val="auto"/>
        </w:rPr>
        <w:t>response to COVID-19, we instituted several operational measures to ensure the safety of our employees, which include, but are not limited to the following:</w:t>
      </w:r>
    </w:p>
    <w:p>
      <w:pPr>
        <w:spacing w:after="0" w:line="102" w:lineRule="exact"/>
        <w:rPr>
          <w:sz w:val="20"/>
          <w:szCs w:val="20"/>
          <w:color w:val="auto"/>
        </w:rPr>
      </w:pPr>
    </w:p>
    <w:p>
      <w:pPr>
        <w:ind w:left="740" w:hanging="374"/>
        <w:spacing w:after="0"/>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Suspended or reduced operations at manufacturing and warehouse facilities;</w:t>
      </w:r>
    </w:p>
    <w:p>
      <w:pPr>
        <w:spacing w:after="0" w:line="25" w:lineRule="exact"/>
        <w:rPr>
          <w:rFonts w:ascii="Arial" w:cs="Arial" w:eastAsia="Arial" w:hAnsi="Arial"/>
          <w:sz w:val="18"/>
          <w:szCs w:val="18"/>
          <w:color w:val="212529"/>
        </w:rPr>
      </w:pPr>
    </w:p>
    <w:p>
      <w:pPr>
        <w:ind w:left="740" w:hanging="374"/>
        <w:spacing w:after="0" w:line="207"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Implemented and continuously updated our health and safety policies and processes;</w:t>
      </w:r>
    </w:p>
    <w:p>
      <w:pPr>
        <w:spacing w:after="0" w:line="25" w:lineRule="exact"/>
        <w:rPr>
          <w:rFonts w:ascii="Arial" w:cs="Arial" w:eastAsia="Arial" w:hAnsi="Arial"/>
          <w:sz w:val="18"/>
          <w:szCs w:val="18"/>
          <w:color w:val="212529"/>
        </w:rPr>
      </w:pPr>
    </w:p>
    <w:p>
      <w:pPr>
        <w:ind w:left="740" w:hanging="374"/>
        <w:spacing w:after="0" w:line="207"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Established remote working guidelines;</w:t>
      </w:r>
    </w:p>
    <w:p>
      <w:pPr>
        <w:spacing w:after="0" w:line="25" w:lineRule="exact"/>
        <w:rPr>
          <w:rFonts w:ascii="Arial" w:cs="Arial" w:eastAsia="Arial" w:hAnsi="Arial"/>
          <w:sz w:val="18"/>
          <w:szCs w:val="18"/>
          <w:color w:val="212529"/>
        </w:rPr>
      </w:pPr>
    </w:p>
    <w:p>
      <w:pPr>
        <w:ind w:left="740" w:right="220" w:hanging="374"/>
        <w:spacing w:after="0" w:line="228"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Maintained communication with customers, including planning for business resumption, implementing virtual training sessions and monitoring announcements regarding developments;</w:t>
      </w:r>
    </w:p>
    <w:p>
      <w:pPr>
        <w:ind w:left="740" w:hanging="374"/>
        <w:spacing w:after="0" w:line="210"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Enhanced safety guidelines and access to personal protective equipment for our clinical trainers; shifted to virtual training sessions where possible; and</w:t>
      </w:r>
    </w:p>
    <w:p>
      <w:pPr>
        <w:spacing w:after="0" w:line="26" w:lineRule="exact"/>
        <w:rPr>
          <w:rFonts w:ascii="Arial" w:cs="Arial" w:eastAsia="Arial" w:hAnsi="Arial"/>
          <w:sz w:val="18"/>
          <w:szCs w:val="18"/>
          <w:color w:val="212529"/>
        </w:rPr>
      </w:pPr>
    </w:p>
    <w:p>
      <w:pPr>
        <w:ind w:left="740" w:hanging="374"/>
        <w:spacing w:after="0" w:line="207"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Initiated thorough cleaning and decontamination procedures throughout our global manufacturing, warehouse and office facilities.</w:t>
      </w:r>
    </w:p>
    <w:p>
      <w:pPr>
        <w:spacing w:after="0" w:line="192"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b w:val="1"/>
          <w:bCs w:val="1"/>
          <w:color w:val="auto"/>
        </w:rPr>
        <w:t xml:space="preserve">Supply chain. </w:t>
      </w:r>
      <w:r>
        <w:rPr>
          <w:rFonts w:ascii="Arial" w:cs="Arial" w:eastAsia="Arial" w:hAnsi="Arial"/>
          <w:sz w:val="14"/>
          <w:szCs w:val="14"/>
          <w:color w:val="auto"/>
        </w:rPr>
        <w:t>A number of the components we use to manufacture our systems are sourced from China. We had experienced difficulty with sourcing certain component parts from</w:t>
      </w:r>
      <w:r>
        <w:rPr>
          <w:rFonts w:ascii="Arial" w:cs="Arial" w:eastAsia="Arial" w:hAnsi="Arial"/>
          <w:sz w:val="14"/>
          <w:szCs w:val="14"/>
          <w:b w:val="1"/>
          <w:bCs w:val="1"/>
          <w:color w:val="auto"/>
        </w:rPr>
        <w:t xml:space="preserve"> </w:t>
      </w:r>
      <w:r>
        <w:rPr>
          <w:rFonts w:ascii="Arial" w:cs="Arial" w:eastAsia="Arial" w:hAnsi="Arial"/>
          <w:sz w:val="14"/>
          <w:szCs w:val="14"/>
          <w:color w:val="auto"/>
        </w:rPr>
        <w:t>China for some of our systems, including Venus Bliss, in the first quarter of 2020 and, consequently, we were not able to manufacture the number of systems we forecasted for the first quarter and part of the second quarter of 2020. Our China sourcing issue was fully remedied in the second quarter of 2020; nevertheless, we experienced difficulties in meeting customers’ demand in the second quarter of 2020 as a result of sourcing disruption earlier this year. In addition, from March 16, 2020 to June 1, 2020, we were unable to access our facility in San Jose or NPI Solutions, Inc.’s (“NPI”) facility. As a result, we were unable to manufacture sufficient ARTAS procedure kits in the second quarter of 2020 and were limited to shipping procedure kits from existing inventory. While we currently have access to our San Jose facility and NPI’s facility has re-opened and we are able to manufacture ARTAS procedure kits, we cannot predict whether these facilities will be closed again by the Order of the Health Officer of the County of Santa Clara, or California State public health orders in response to future COVID-19 developments in the County or State.</w:t>
      </w:r>
    </w:p>
    <w:p>
      <w:pPr>
        <w:spacing w:after="0" w:line="144"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b w:val="1"/>
          <w:bCs w:val="1"/>
          <w:color w:val="auto"/>
        </w:rPr>
        <w:t xml:space="preserve">Sales markets. </w:t>
      </w:r>
      <w:r>
        <w:rPr>
          <w:rFonts w:ascii="Arial" w:cs="Arial" w:eastAsia="Arial" w:hAnsi="Arial"/>
          <w:sz w:val="14"/>
          <w:szCs w:val="14"/>
          <w:color w:val="auto"/>
        </w:rPr>
        <w:t>We are a global business, having established a commercial presence in more than 60 countries over the course of our ten-year history. The economic recovery in</w:t>
      </w:r>
      <w:r>
        <w:rPr>
          <w:rFonts w:ascii="Arial" w:cs="Arial" w:eastAsia="Arial" w:hAnsi="Arial"/>
          <w:sz w:val="14"/>
          <w:szCs w:val="14"/>
          <w:b w:val="1"/>
          <w:bCs w:val="1"/>
          <w:color w:val="auto"/>
        </w:rPr>
        <w:t xml:space="preserve"> </w:t>
      </w:r>
      <w:r>
        <w:rPr>
          <w:rFonts w:ascii="Arial" w:cs="Arial" w:eastAsia="Arial" w:hAnsi="Arial"/>
          <w:sz w:val="14"/>
          <w:szCs w:val="14"/>
          <w:color w:val="auto"/>
        </w:rPr>
        <w:t>individual countries in the second and third quarters of 2020 progressed unevenly depending on the success of each country in controlling the spread and impact of COVID-19. We also saw a pronounced decline in system sales, product sales and service revenues in all markets beginning in March 2020 and continuing throughout the second quarter of fiscal 2020, primarily as a result of mandated government “shelter-in-place” requirements in these regions. While our results for the third quarter of 2020 were better than we anticipated in both Europe and North America, we expect that COVID-19 will continue to negatively affect customer demand into the first half of 2021 and while we expect further recovery in most markets, the impact of COVID-19 on our sales is unpredictable and could continue to be significant for the foreseeable future.</w:t>
      </w:r>
    </w:p>
    <w:p>
      <w:pPr>
        <w:spacing w:after="0" w:line="145"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b w:val="1"/>
          <w:bCs w:val="1"/>
          <w:color w:val="auto"/>
        </w:rPr>
        <w:t xml:space="preserve">Accounts receivable collections. </w:t>
      </w:r>
      <w:r>
        <w:rPr>
          <w:rFonts w:ascii="Arial" w:cs="Arial" w:eastAsia="Arial" w:hAnsi="Arial"/>
          <w:sz w:val="15"/>
          <w:szCs w:val="15"/>
          <w:color w:val="auto"/>
        </w:rPr>
        <w:t>As a result of the global economic turmoil that has resulted from COVID-19, many of our customers are experiencing difficulty in making timely</w:t>
      </w:r>
      <w:r>
        <w:rPr>
          <w:rFonts w:ascii="Arial" w:cs="Arial" w:eastAsia="Arial" w:hAnsi="Arial"/>
          <w:sz w:val="15"/>
          <w:szCs w:val="15"/>
          <w:b w:val="1"/>
          <w:bCs w:val="1"/>
          <w:color w:val="auto"/>
        </w:rPr>
        <w:t xml:space="preserve"> </w:t>
      </w:r>
      <w:r>
        <w:rPr>
          <w:rFonts w:ascii="Arial" w:cs="Arial" w:eastAsia="Arial" w:hAnsi="Arial"/>
          <w:sz w:val="15"/>
          <w:szCs w:val="15"/>
          <w:color w:val="auto"/>
        </w:rPr>
        <w:t>payments or payments at all during the pandemic under their subscription agreements and we have experienced a significant reduction in the collection of accounts receivable from our subscription customers across markets in the first half of 2020. As a result, in addition to our regular allowance for doubtful accounts, we recorded a COVID-19 related bad debt charge of $0.5 million, $3.0 million and $2.2 million in the first, the second and the third quarters of 2020, respectively. The cumulative COVID-19 bad debt charge of $5.7 million represents 6.0% of the gross outstanding accounts receivable as of September 30, 2020.</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In our largest subscription markets we collected approximately 60% of our billings in March 2020, 30% of our billings in April 2020, 35% in May 2020, 60% in June 2020, 104% in July 2020, 97% in August 2020 and 98% in September 2020. The improvement in collection trends, starting from May 2020, are directly correlated to business re-openings and our collection efforts. We continue to proactively manage the collection of accounts receivables and have made repayment arrangements with the majority of our non-paying subscription customers to either defer collection or to collect a reduced amount, with the expectation of full collection as business activities resume. As a result of implementing repayment arrangements with the majority of our non-paying subscription customers, the majority of these customers have recommenced payments in those jurisdictions where shelter-in-place orders have been lifted and their businesses reopened. Our systems are equipped with monthly activation codes, and non-paying customers will not be provided with codes unless overdue balances are cleared, or they make a repayment arrangement with us. In most markets, our cash collections have approached pre-COVID-19 levels. We will continue our pro-active management of collections and will revisit our allowance for doubtful accounts during the next quarter.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t xml:space="preserve">Mitigation efforts. </w:t>
      </w:r>
      <w:r>
        <w:rPr>
          <w:rFonts w:ascii="Arial" w:cs="Arial" w:eastAsia="Arial" w:hAnsi="Arial"/>
          <w:sz w:val="13"/>
          <w:szCs w:val="13"/>
          <w:color w:val="auto"/>
        </w:rPr>
        <w:t>We are focused on continuing to mitigate the impacts of the COVID-19 pandemic on our business to the extent possible. Our mitigation efforts include the following:</w:t>
      </w:r>
    </w:p>
    <w:p>
      <w:pPr>
        <w:spacing w:after="0" w:line="218" w:lineRule="exact"/>
        <w:rPr>
          <w:sz w:val="20"/>
          <w:szCs w:val="20"/>
          <w:color w:val="auto"/>
        </w:rPr>
      </w:pPr>
    </w:p>
    <w:p>
      <w:pPr>
        <w:ind w:left="740" w:right="140" w:hanging="374"/>
        <w:spacing w:after="0" w:line="257" w:lineRule="auto"/>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Accounts Receivables Collections Initiatives. </w:t>
      </w:r>
      <w:r>
        <w:rPr>
          <w:rFonts w:ascii="Arial" w:cs="Arial" w:eastAsia="Arial" w:hAnsi="Arial"/>
          <w:sz w:val="15"/>
          <w:szCs w:val="15"/>
          <w:color w:val="auto"/>
        </w:rPr>
        <w:t>We have made repayment arrangements with the majority of our non-paying subscription customers to collect temporarily</w:t>
      </w:r>
      <w:r>
        <w:rPr>
          <w:rFonts w:ascii="Arial" w:cs="Arial" w:eastAsia="Arial" w:hAnsi="Arial"/>
          <w:sz w:val="15"/>
          <w:szCs w:val="15"/>
          <w:i w:val="1"/>
          <w:iCs w:val="1"/>
          <w:color w:val="auto"/>
        </w:rPr>
        <w:t xml:space="preserve"> </w:t>
      </w:r>
      <w:r>
        <w:rPr>
          <w:rFonts w:ascii="Arial" w:cs="Arial" w:eastAsia="Arial" w:hAnsi="Arial"/>
          <w:sz w:val="15"/>
          <w:szCs w:val="15"/>
          <w:color w:val="auto"/>
        </w:rPr>
        <w:t>reduced monthly payments where possible and/or deferred amounts in expectation of full collection as business activities continue to resume. We modified our payment arrangements with these subscription customers such that past due amounts are scheduled to be repaid over a three to six month period. Based on our interactions and arrangements in place thus far with our subscription customers, the majority of them have recommenced payments in those jurisdictions where shelter-in-place orders have been lifted and their businesses reopened. While the repayment arrangements and improvements in collections activities made this far have resulted in cash collections approaching pre-COVID-19 levels, we cannot assure you that all subscription customers will resume payments under their contracts, or that we will be successful in collecting all outstanding amounts.</w:t>
      </w:r>
    </w:p>
    <w:p>
      <w:pPr>
        <w:spacing w:after="0" w:line="160" w:lineRule="exact"/>
        <w:rPr>
          <w:rFonts w:ascii="Arial" w:cs="Arial" w:eastAsia="Arial" w:hAnsi="Arial"/>
          <w:sz w:val="15"/>
          <w:szCs w:val="15"/>
          <w:color w:val="auto"/>
        </w:rPr>
      </w:pPr>
    </w:p>
    <w:p>
      <w:pPr>
        <w:ind w:left="740" w:right="20" w:hanging="374"/>
        <w:spacing w:after="0" w:line="274" w:lineRule="auto"/>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Cost reduction initiatives. </w:t>
      </w:r>
      <w:r>
        <w:rPr>
          <w:rFonts w:ascii="Arial" w:cs="Arial" w:eastAsia="Arial" w:hAnsi="Arial"/>
          <w:sz w:val="14"/>
          <w:szCs w:val="14"/>
          <w:color w:val="auto"/>
        </w:rPr>
        <w:t>Our efforts to reduce the operating expense profile of the combined company are progressing well and we expect our restructuring program,</w:t>
      </w:r>
      <w:r>
        <w:rPr>
          <w:rFonts w:ascii="Arial" w:cs="Arial" w:eastAsia="Arial" w:hAnsi="Arial"/>
          <w:sz w:val="14"/>
          <w:szCs w:val="14"/>
          <w:i w:val="1"/>
          <w:iCs w:val="1"/>
          <w:color w:val="auto"/>
        </w:rPr>
        <w:t xml:space="preserve"> </w:t>
      </w:r>
      <w:r>
        <w:rPr>
          <w:rFonts w:ascii="Arial" w:cs="Arial" w:eastAsia="Arial" w:hAnsi="Arial"/>
          <w:sz w:val="14"/>
          <w:szCs w:val="14"/>
          <w:color w:val="auto"/>
        </w:rPr>
        <w:t>combined with synergies and cost reductions, to result in cost savings of approximately $38.0 million in 2020 and continuing into 2021. After the Merger, we focused on improving the profitability of the combined businesses and identified approximately $18.0 million of synergies and cost reductions related to the Merger. In addition, and in response to the challenging business environment related to COVID-19, we also conducted a full review of our 2020 operating budget. In the first quarter of fiscal 2020, we implemented a restructuring program which was mainly focused on reduction of payroll costs through a combination of permanent headcount reductions, a hiring freeze, temporary unpaid leave and a reduced work week for certain employees and reduction of discretionary spending across all departments. We expect to realize costs savings of approximately $20.0 million in 2020 and continuing into 2021. In the nine months ended September 30, 2020, we realized in excess of $14.0 million of the projected $20.0 million and expect to realize the balance in the fourth quarter of 2020. Our results for nine months ended September 30, 2020, reflect a severance provision of approximately $1.5 million. This severance provision related to approximately 107 employees who were terminated by September 30, 2020. We also took immediate actions to reduce discretionary expenses, including advertising and promotion activities, travel, meetings, professional and consulting services. We have agreed to extended payment arrangements with several professional service providers, and we expect to repay outstanding amounts by the first half of 2021. In addition, and in response to COVID-19, we are performing an ongoing reassessment of the viability of our subsidiaries that have insufficient revenues to cover high operating expenses. As a part of this reassessment, in the second quarter of 2020 we sold our share (51%) in our Bulgarian subsidiary, Venus Concept Central Eastern Europe Ltd., to a third party for $0.5 million, and recorded a divestment loss of $0.4 million. While no subsidiaries were closed in the third quarter of 2020, we are planning some closures in the fourth quarter of 2020.</w:t>
      </w:r>
    </w:p>
    <w:p>
      <w:pPr>
        <w:spacing w:after="0" w:line="150" w:lineRule="exact"/>
        <w:rPr>
          <w:rFonts w:ascii="Arial" w:cs="Arial" w:eastAsia="Arial" w:hAnsi="Arial"/>
          <w:sz w:val="14"/>
          <w:szCs w:val="14"/>
          <w:color w:val="auto"/>
        </w:rPr>
      </w:pPr>
    </w:p>
    <w:p>
      <w:pPr>
        <w:ind w:left="740" w:right="300" w:hanging="374"/>
        <w:spacing w:after="0" w:line="299" w:lineRule="auto"/>
        <w:tabs>
          <w:tab w:leader="none" w:pos="74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Cash Interest Payment Deferral and Covenant Relief. </w:t>
      </w:r>
      <w:r>
        <w:rPr>
          <w:rFonts w:ascii="Arial" w:cs="Arial" w:eastAsia="Arial" w:hAnsi="Arial"/>
          <w:sz w:val="13"/>
          <w:szCs w:val="13"/>
          <w:color w:val="auto"/>
        </w:rPr>
        <w:t>On April 29, 2020, we entered into an amendment to the Madryn Credit Agreement that (i) required that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payments for the period beginning January 1, 2020 and ending on, and including, April 29, 2020 (the “PIK Period”), be paid-in-kind, (ii) increased the interest rate from</w:t>
      </w:r>
    </w:p>
    <w:p>
      <w:pPr>
        <w:ind w:left="740"/>
        <w:spacing w:after="0" w:line="274" w:lineRule="auto"/>
        <w:rPr>
          <w:rFonts w:ascii="Arial" w:cs="Arial" w:eastAsia="Arial" w:hAnsi="Arial"/>
          <w:sz w:val="13"/>
          <w:szCs w:val="13"/>
          <w:color w:val="auto"/>
        </w:rPr>
      </w:pPr>
      <w:r>
        <w:rPr>
          <w:rFonts w:ascii="Arial" w:cs="Arial" w:eastAsia="Arial" w:hAnsi="Arial"/>
          <w:sz w:val="14"/>
          <w:szCs w:val="14"/>
          <w:color w:val="auto"/>
        </w:rPr>
        <w:t>9.00% per annum to 12.00% per annum during the PIK Period and (iii) require us to provide certain additional financial and other reporting information to the lenders. On June 30, 2020, we entered into another amendment to the Madryn Credit Agreement that (i) extends the PIK period through June 30, 2020, (ii) reduces the consolidated minimum revenue threshold requirement (a) for the four consecutive fiscal quarter period ending June 30, 2020, to at least $85.0 million and (b) for the four consecutive fiscal quarter period ending September 30, 2020, to at least $75.0 million, (iii) requires us to raise at least $5.0 million of cash proceeds from the issuance of equity during the period June 1, 2020, through September 30, 2020 and (iv) obligates us to use our best efforts to raise an additional $2.0 million of cash proceeds from the issuance of equity during the period June 1, 2020 through September 30, 2020. On September 30, 2020 we entered into another amendment to the Madryn Credit Agreement that (i) requires that fifty percent (50%) of the interest payments for the period beginning July 1, 2020 and ending on, and including, September 30, 2020 (the “Second PIK Period”), be paid in cash, (ii) the remaining fifty percent (50%) of the interest payments for the Second PIK Period, be paid in kind, and (iii) increase the interest rate applicable to the Second PIK Period from 9.00% per annum to 10.50% per annum during the Second PIK Period.</w:t>
      </w:r>
    </w:p>
    <w:p>
      <w:pPr>
        <w:spacing w:after="0" w:line="153" w:lineRule="exact"/>
        <w:rPr>
          <w:rFonts w:ascii="Arial" w:cs="Arial" w:eastAsia="Arial" w:hAnsi="Arial"/>
          <w:sz w:val="13"/>
          <w:szCs w:val="13"/>
          <w:color w:val="auto"/>
        </w:rPr>
      </w:pPr>
    </w:p>
    <w:p>
      <w:pPr>
        <w:ind w:left="740" w:hanging="374"/>
        <w:spacing w:after="0" w:line="259" w:lineRule="auto"/>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Equity Purchase Agreement with Lincoln Park. </w:t>
      </w:r>
      <w:r>
        <w:rPr>
          <w:rFonts w:ascii="Arial" w:cs="Arial" w:eastAsia="Arial" w:hAnsi="Arial"/>
          <w:sz w:val="15"/>
          <w:szCs w:val="15"/>
          <w:color w:val="auto"/>
        </w:rPr>
        <w:t>On June 16, 2020, we entered into the Equity Purchase Agreement with Lincoln Park. Under this agreement, as of September</w:t>
      </w:r>
      <w:r>
        <w:rPr>
          <w:rFonts w:ascii="Arial" w:cs="Arial" w:eastAsia="Arial" w:hAnsi="Arial"/>
          <w:sz w:val="15"/>
          <w:szCs w:val="15"/>
          <w:i w:val="1"/>
          <w:iCs w:val="1"/>
          <w:color w:val="auto"/>
        </w:rPr>
        <w:t xml:space="preserve"> </w:t>
      </w:r>
      <w:r>
        <w:rPr>
          <w:rFonts w:ascii="Arial" w:cs="Arial" w:eastAsia="Arial" w:hAnsi="Arial"/>
          <w:sz w:val="15"/>
          <w:szCs w:val="15"/>
          <w:color w:val="auto"/>
        </w:rPr>
        <w:t>30, 2020, we sold approximately 2.03 million shares of our common stock through this equity line facility yielding net cash proceeds of $6.2 million. In October and November 2020, we sold additional 0.3 million shares of our common stock for $0.6 million in net cash proceeds. The Lincoln Park facility has a two-year term and provides us with the ability to opportunistically enhance our liquidity position should the COVID-19 pandemic continue for a sustained period of time, as well as facilitate compliance with the Madryn Credit Agreement requirements.</w:t>
      </w:r>
    </w:p>
    <w:p>
      <w:pPr>
        <w:spacing w:after="0" w:line="159" w:lineRule="exact"/>
        <w:rPr>
          <w:rFonts w:ascii="Arial" w:cs="Arial" w:eastAsia="Arial" w:hAnsi="Arial"/>
          <w:sz w:val="15"/>
          <w:szCs w:val="15"/>
          <w:color w:val="auto"/>
        </w:rPr>
      </w:pPr>
    </w:p>
    <w:p>
      <w:pPr>
        <w:ind w:left="740" w:right="180" w:hanging="374"/>
        <w:spacing w:after="0" w:line="265" w:lineRule="auto"/>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Government Assistance Programs. </w:t>
      </w:r>
      <w:r>
        <w:rPr>
          <w:rFonts w:ascii="Arial" w:cs="Arial" w:eastAsia="Arial" w:hAnsi="Arial"/>
          <w:sz w:val="15"/>
          <w:szCs w:val="15"/>
          <w:color w:val="auto"/>
        </w:rPr>
        <w:t>Certain of our subsidiaries applied for government assistance programs and received loans and other government subsidies aggregating</w:t>
      </w:r>
      <w:r>
        <w:rPr>
          <w:rFonts w:ascii="Arial" w:cs="Arial" w:eastAsia="Arial" w:hAnsi="Arial"/>
          <w:sz w:val="15"/>
          <w:szCs w:val="15"/>
          <w:i w:val="1"/>
          <w:iCs w:val="1"/>
          <w:color w:val="auto"/>
        </w:rPr>
        <w:t xml:space="preserve"> </w:t>
      </w:r>
      <w:r>
        <w:rPr>
          <w:rFonts w:ascii="Arial" w:cs="Arial" w:eastAsia="Arial" w:hAnsi="Arial"/>
          <w:sz w:val="15"/>
          <w:szCs w:val="15"/>
          <w:color w:val="auto"/>
        </w:rPr>
        <w:t>$5.3 million, including $4.1 million in PPP Loans under the CARES Act. The terms of these government assistance programs vary by jurisdiction. See ‘‘—</w:t>
      </w:r>
      <w:r>
        <w:rPr>
          <w:rFonts w:ascii="Arial" w:cs="Arial" w:eastAsia="Arial" w:hAnsi="Arial"/>
          <w:sz w:val="15"/>
          <w:szCs w:val="15"/>
          <w:i w:val="1"/>
          <w:iCs w:val="1"/>
          <w:color w:val="auto"/>
        </w:rPr>
        <w:t>Liquidity and</w:t>
      </w:r>
      <w:r>
        <w:rPr>
          <w:rFonts w:ascii="Arial" w:cs="Arial" w:eastAsia="Arial" w:hAnsi="Arial"/>
          <w:sz w:val="15"/>
          <w:szCs w:val="15"/>
          <w:color w:val="auto"/>
        </w:rPr>
        <w:t xml:space="preserve"> </w:t>
      </w:r>
      <w:r>
        <w:rPr>
          <w:rFonts w:ascii="Arial" w:cs="Arial" w:eastAsia="Arial" w:hAnsi="Arial"/>
          <w:sz w:val="15"/>
          <w:szCs w:val="15"/>
          <w:i w:val="1"/>
          <w:iCs w:val="1"/>
          <w:color w:val="auto"/>
        </w:rPr>
        <w:t>Capital Resources</w:t>
      </w:r>
      <w:r>
        <w:rPr>
          <w:rFonts w:ascii="Arial" w:cs="Arial" w:eastAsia="Arial" w:hAnsi="Arial"/>
          <w:sz w:val="15"/>
          <w:szCs w:val="15"/>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6" w:name="page37"/>
    <w:bookmarkEnd w:id="36"/>
    <w:p>
      <w:pPr>
        <w:ind w:left="9"/>
        <w:spacing w:after="0" w:line="285" w:lineRule="auto"/>
        <w:rPr>
          <w:sz w:val="20"/>
          <w:szCs w:val="20"/>
          <w:color w:val="auto"/>
        </w:rPr>
      </w:pPr>
      <w:r>
        <w:rPr>
          <w:rFonts w:ascii="Arial" w:cs="Arial" w:eastAsia="Arial" w:hAnsi="Arial"/>
          <w:sz w:val="14"/>
          <w:szCs w:val="14"/>
          <w:color w:val="auto"/>
        </w:rPr>
        <w:t>The extent to which the COVID-19 pandemic may continue to impact our business, operating results, financial condition, and liquidity in the future will depend on future developments, which we cannot predict, including the duration and severity of the pandemic, travel restrictions, business and workforce disruptions, and the effectiveness of actions taken to contain and treat the disease in each of the markets in which we operate. The situation surrounding COVID-19 remains fluid, and the potential for additional negative impacts on our results of operations, financial condition and liquidity increases the longer the pandemic impacts activity levels in the U.S. and the other countries in which we operate.</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Basis of Presentation</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Revenues</w:t>
      </w:r>
    </w:p>
    <w:p>
      <w:pPr>
        <w:spacing w:after="0" w:line="191" w:lineRule="exact"/>
        <w:rPr>
          <w:sz w:val="20"/>
          <w:szCs w:val="20"/>
          <w:color w:val="auto"/>
        </w:rPr>
      </w:pPr>
    </w:p>
    <w:p>
      <w:pPr>
        <w:ind w:left="9" w:right="120"/>
        <w:spacing w:after="0" w:line="261" w:lineRule="auto"/>
        <w:rPr>
          <w:sz w:val="20"/>
          <w:szCs w:val="20"/>
          <w:color w:val="auto"/>
        </w:rPr>
      </w:pPr>
      <w:r>
        <w:rPr>
          <w:rFonts w:ascii="Arial" w:cs="Arial" w:eastAsia="Arial" w:hAnsi="Arial"/>
          <w:sz w:val="15"/>
          <w:szCs w:val="15"/>
          <w:color w:val="auto"/>
        </w:rPr>
        <w:t>We generate revenue from (1) sales of systems through our subscription model, traditional system sales to customers and distributors, (2) other product revenues from the sale of marketing supplies and kits, consumables and our skincare and hair products and (3) service revenue from the sale of our VeroGrafters™ technician services, our 2two5 internal advertising agency and our extended warranty service contracts provided to existing customers. Our 2two5 internal advertising agency services were discontinued in the third quarter of 2020. These revenues were not material to our 2020 year to date results.</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5"/>
          <w:szCs w:val="15"/>
          <w:i w:val="1"/>
          <w:iCs w:val="1"/>
          <w:u w:val="single" w:color="auto"/>
          <w:color w:val="auto"/>
        </w:rPr>
        <w:t>System Revenue</w:t>
      </w:r>
    </w:p>
    <w:p>
      <w:pPr>
        <w:spacing w:after="0" w:line="191" w:lineRule="exact"/>
        <w:rPr>
          <w:sz w:val="20"/>
          <w:szCs w:val="20"/>
          <w:color w:val="auto"/>
        </w:rPr>
      </w:pPr>
    </w:p>
    <w:p>
      <w:pPr>
        <w:ind w:left="9" w:right="20"/>
        <w:spacing w:after="0" w:line="278" w:lineRule="auto"/>
        <w:rPr>
          <w:sz w:val="20"/>
          <w:szCs w:val="20"/>
          <w:color w:val="auto"/>
        </w:rPr>
      </w:pPr>
      <w:r>
        <w:rPr>
          <w:rFonts w:ascii="Arial" w:cs="Arial" w:eastAsia="Arial" w:hAnsi="Arial"/>
          <w:sz w:val="14"/>
          <w:szCs w:val="14"/>
          <w:color w:val="auto"/>
        </w:rPr>
        <w:t>For the three and nine months ended September 30, 2020, approximately 56% and 57%, respectively, of our system revenues were derived from our subscription model. For the three and nine months ended September 30, 2019, approximately 70% and 70%, respectively, of system revenues were derived from our subscription model. Our subscription model is designed to provide a low barrier to ownership of our systems and includes an up-front fee followed by monthly payments, typically over a 36-month period. The up-front fee serves as a deposit. The significantly reduced up-front financial commitment, coupled with less onerous credit and disclosure requirements, is intended to make our subscription-based sales program more appealing and affordable to physicians, including non-traditional providers of aesthetic services such as family practice, general practice, and medical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48" w:lineRule="exact"/>
        <w:rPr>
          <w:sz w:val="20"/>
          <w:szCs w:val="20"/>
          <w:color w:val="auto"/>
        </w:rPr>
      </w:pPr>
    </w:p>
    <w:p>
      <w:pPr>
        <w:ind w:left="9"/>
        <w:spacing w:after="0" w:line="296" w:lineRule="auto"/>
        <w:rPr>
          <w:sz w:val="20"/>
          <w:szCs w:val="20"/>
          <w:color w:val="auto"/>
        </w:rPr>
      </w:pPr>
      <w:r>
        <w:rPr>
          <w:rFonts w:ascii="Arial" w:cs="Arial" w:eastAsia="Arial" w:hAnsi="Arial"/>
          <w:sz w:val="13"/>
          <w:szCs w:val="13"/>
          <w:color w:val="auto"/>
        </w:rPr>
        <w:t>For the three and nine months ended September 30, 2020, approximately 37% and 37%, respectively, of our system revenues were derived from traditional sales. For the three and nine months ended September 30, 2019, approximately 22% and 24%, respectively, of system revenues were derived from traditional sales. Customers generally demand higher discounts in connection with these types of sales. We recognize revenues from products sold to end customers based on the following five steps: (1) identification of the contract(s) with the customer;</w:t>
      </w:r>
    </w:p>
    <w:p>
      <w:pPr>
        <w:spacing w:after="0" w:line="1" w:lineRule="exact"/>
        <w:rPr>
          <w:sz w:val="20"/>
          <w:szCs w:val="20"/>
          <w:color w:val="auto"/>
        </w:rPr>
      </w:pPr>
    </w:p>
    <w:p>
      <w:pPr>
        <w:ind w:left="9" w:right="80" w:hanging="9"/>
        <w:spacing w:after="0" w:line="259" w:lineRule="auto"/>
        <w:tabs>
          <w:tab w:leader="none" w:pos="224" w:val="left"/>
        </w:tabs>
        <w:numPr>
          <w:ilvl w:val="0"/>
          <w:numId w:val="13"/>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 (3) determine the transaction price; and (4) allocate the transaction price to the separate performance obligations in the contract; and (5) recognize revenue when (or as) the entity satisfies a performance obligation. We do not generally grant rights of return or early termination rights to our end customers. These traditional sales are generally made through our sales team in the countries in which the team operates.</w:t>
      </w:r>
    </w:p>
    <w:p>
      <w:pPr>
        <w:spacing w:after="0" w:line="159" w:lineRule="exact"/>
        <w:rPr>
          <w:sz w:val="20"/>
          <w:szCs w:val="20"/>
          <w:color w:val="auto"/>
        </w:rPr>
      </w:pPr>
    </w:p>
    <w:p>
      <w:pPr>
        <w:ind w:left="9"/>
        <w:spacing w:after="0" w:line="285" w:lineRule="auto"/>
        <w:rPr>
          <w:sz w:val="20"/>
          <w:szCs w:val="20"/>
          <w:color w:val="auto"/>
        </w:rPr>
      </w:pPr>
      <w:r>
        <w:rPr>
          <w:rFonts w:ascii="Arial" w:cs="Arial" w:eastAsia="Arial" w:hAnsi="Arial"/>
          <w:sz w:val="14"/>
          <w:szCs w:val="14"/>
          <w:color w:val="auto"/>
        </w:rPr>
        <w:t>For the three and nine months ended September 30, 2020, approximately 7% and 6%, respectively, of our system revenues were derived from distributor sales. For the three and nine months ended September 30, 2019, approximately 8% and 6%,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44" w:lineRule="exact"/>
        <w:rPr>
          <w:sz w:val="20"/>
          <w:szCs w:val="20"/>
          <w:color w:val="auto"/>
        </w:rPr>
      </w:pPr>
    </w:p>
    <w:p>
      <w:pPr>
        <w:ind w:left="9"/>
        <w:spacing w:after="0"/>
        <w:rPr>
          <w:sz w:val="20"/>
          <w:szCs w:val="20"/>
          <w:color w:val="auto"/>
        </w:rPr>
      </w:pPr>
      <w:r>
        <w:rPr>
          <w:rFonts w:ascii="Arial" w:cs="Arial" w:eastAsia="Arial" w:hAnsi="Arial"/>
          <w:sz w:val="15"/>
          <w:szCs w:val="15"/>
          <w:i w:val="1"/>
          <w:iCs w:val="1"/>
          <w:u w:val="single" w:color="auto"/>
          <w:color w:val="auto"/>
        </w:rPr>
        <w:t>Procedure Based Revenue</w:t>
      </w:r>
    </w:p>
    <w:p>
      <w:pPr>
        <w:spacing w:after="0" w:line="191" w:lineRule="exact"/>
        <w:rPr>
          <w:sz w:val="20"/>
          <w:szCs w:val="20"/>
          <w:color w:val="auto"/>
        </w:rPr>
      </w:pPr>
    </w:p>
    <w:p>
      <w:pPr>
        <w:ind w:left="9"/>
        <w:spacing w:after="0" w:line="277" w:lineRule="auto"/>
        <w:rPr>
          <w:sz w:val="20"/>
          <w:szCs w:val="20"/>
          <w:color w:val="auto"/>
        </w:rPr>
      </w:pPr>
      <w:r>
        <w:rPr>
          <w:rFonts w:ascii="Arial" w:cs="Arial" w:eastAsia="Arial" w:hAnsi="Arial"/>
          <w:sz w:val="14"/>
          <w:szCs w:val="14"/>
          <w:color w:val="auto"/>
        </w:rPr>
        <w:t>We generate revenue from our harvesting and site making procedures in hair restoration procedures. The harvesting procedure is an act of activating the needle mechanism of the ARTAS® System and it consists of multiple harvests (each harvested hair follicle is one harvest), which direct customers can purchase at fixed price per harvest (with a minimum of 750 harvests) or a set price per procedure, as agreed upon at the time of system purchase. We also provide one sterile and one non-sterile disposable clinical kit per procedure. On average, each procedure consists of approximately 1,500 harvests. The customer must place an online order with us for the number of procedures desired and make a payment. Upon receipt of the order and the related payment, we release an electronic key that enables the ARTAS® System to perform the number of procedures purchased. Once the procedures are exhausted (or “consumed”), the customer must purchase additional procedures. Harvesting procedures can also be purchased in bulk orders. The site making procedure uses ARTAS® System to create a recipient site (i.e., site making) in the patient’s scalp affected by androgenic alopecia or AGA (or male pattern baldness). The site making procedures generally include one disposable site making kit. The site making procedures are sold to customers in the same manner as the harvesting procedures.</w:t>
      </w:r>
    </w:p>
    <w:p>
      <w:pPr>
        <w:spacing w:after="0" w:line="33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851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9"/>
          </w:cols>
          <w:pgMar w:left="311" w:top="311" w:right="319" w:bottom="1440" w:gutter="0" w:footer="0" w:header="0"/>
        </w:sectPr>
      </w:pPr>
    </w:p>
    <w:bookmarkStart w:id="37" w:name="page38"/>
    <w:bookmarkEnd w:id="37"/>
    <w:p>
      <w:pPr>
        <w:spacing w:after="0"/>
        <w:rPr>
          <w:sz w:val="20"/>
          <w:szCs w:val="20"/>
          <w:color w:val="auto"/>
        </w:rPr>
      </w:pPr>
      <w:r>
        <w:rPr>
          <w:rFonts w:ascii="Arial" w:cs="Arial" w:eastAsia="Arial" w:hAnsi="Arial"/>
          <w:sz w:val="15"/>
          <w:szCs w:val="15"/>
          <w:i w:val="1"/>
          <w:iCs w:val="1"/>
          <w:u w:val="single" w:color="auto"/>
          <w:color w:val="auto"/>
        </w:rPr>
        <w:t>Other Product Revenue</w:t>
      </w:r>
    </w:p>
    <w:p>
      <w:pPr>
        <w:spacing w:after="0" w:line="191" w:lineRule="exact"/>
        <w:rPr>
          <w:sz w:val="20"/>
          <w:szCs w:val="20"/>
          <w:color w:val="auto"/>
        </w:rPr>
      </w:pPr>
    </w:p>
    <w:p>
      <w:pPr>
        <w:ind w:right="680"/>
        <w:spacing w:after="0" w:line="315" w:lineRule="auto"/>
        <w:rPr>
          <w:sz w:val="20"/>
          <w:szCs w:val="20"/>
          <w:color w:val="auto"/>
        </w:rPr>
      </w:pPr>
      <w:r>
        <w:rPr>
          <w:rFonts w:ascii="Arial" w:cs="Arial" w:eastAsia="Arial" w:hAnsi="Arial"/>
          <w:sz w:val="14"/>
          <w:szCs w:val="14"/>
          <w:color w:val="auto"/>
        </w:rPr>
        <w:t>We also generate revenue from our customer base by selling Glide (a cooling/conductive gel which is required for use with many of our systems), marketing supplies and kits, consumables and disposables, replacement applicators and handpieces, our skincare products (Venus Skin) and hair products, and ARTAS® System training.</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Service Revenue</w:t>
      </w:r>
    </w:p>
    <w:p>
      <w:pPr>
        <w:spacing w:after="0" w:line="191"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We generate ancillary revenue from our existing customers by selling additional services including VeroGrafters™ technician services for hair restoration using our NeoGraft® system, extended warranty service contracts, and services provided by our 2two5 internal advertising agency. Our 2two5 internal advertising agency services were discontinued in the third quarter of 2020. These revenues were not material to our 2020 year to date results.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Goods Sold and Gross Profit</w:t>
      </w:r>
    </w:p>
    <w:p>
      <w:pPr>
        <w:spacing w:after="0" w:line="191" w:lineRule="exact"/>
        <w:rPr>
          <w:sz w:val="20"/>
          <w:szCs w:val="20"/>
          <w:color w:val="auto"/>
        </w:rPr>
      </w:pPr>
    </w:p>
    <w:p>
      <w:pPr>
        <w:ind w:right="280"/>
        <w:spacing w:after="0" w:line="293" w:lineRule="auto"/>
        <w:rPr>
          <w:sz w:val="20"/>
          <w:szCs w:val="20"/>
          <w:color w:val="auto"/>
        </w:rPr>
      </w:pPr>
      <w:r>
        <w:rPr>
          <w:rFonts w:ascii="Arial" w:cs="Arial" w:eastAsia="Arial" w:hAnsi="Arial"/>
          <w:sz w:val="14"/>
          <w:szCs w:val="14"/>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87" w:lineRule="exact"/>
        <w:rPr>
          <w:sz w:val="20"/>
          <w:szCs w:val="20"/>
          <w:color w:val="auto"/>
        </w:rPr>
      </w:pPr>
    </w:p>
    <w:p>
      <w:pPr>
        <w:ind w:right="320"/>
        <w:spacing w:after="0" w:line="268" w:lineRule="auto"/>
        <w:rPr>
          <w:sz w:val="20"/>
          <w:szCs w:val="20"/>
          <w:color w:val="auto"/>
        </w:rPr>
      </w:pPr>
      <w:r>
        <w:rPr>
          <w:rFonts w:ascii="Arial" w:cs="Arial" w:eastAsia="Arial" w:hAnsi="Arial"/>
          <w:sz w:val="15"/>
          <w:szCs w:val="15"/>
          <w:b w:val="1"/>
          <w:bCs w:val="1"/>
          <w:i w:val="1"/>
          <w:iCs w:val="1"/>
          <w:color w:val="auto"/>
        </w:rPr>
        <w:t>Selling and Marketing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currently sell our products and services using direct sales representatives in North America and in select international markets. Our sales costs primarily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 of salaries, commissions, benefits, incentive compensation and stock-based compensation. Costs also include expenses for travel and other promotional and sales-related activities.</w:t>
      </w:r>
    </w:p>
    <w:p>
      <w:pPr>
        <w:spacing w:after="0" w:line="153"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color w:val="auto"/>
        </w:rPr>
        <w:t>Our marketing costs primarily consist of salaries, benefits, incentive compensation and stock-based compensation. They also include expenses for travel, trade shows, and other promotional and marketing activities, including direct and online marketing. Due to business disruption and restrictions imposed by the governments in many countries in which we operate, we have experienced significant decline in our selling and marketing expenses. As the business environment improves, we expect selling and marketing expenses to increase, but at a rate slightly below our rate of revenue growth.</w:t>
      </w:r>
    </w:p>
    <w:p>
      <w:pPr>
        <w:spacing w:after="0" w:line="158"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Our general and administrative costs primarily consist of expenses associated with our executive, accounting and finance, legal, intellectual property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human resource departments. These expenses 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Our research and development costs primarily consist of personnel-related costs (primarily salaries, benefits, incentive compensation, and stock-based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material costs, amortization of intangible assets, regulatory affairs, and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58" w:lineRule="exact"/>
        <w:rPr>
          <w:sz w:val="20"/>
          <w:szCs w:val="20"/>
          <w:color w:val="auto"/>
        </w:rPr>
      </w:pPr>
    </w:p>
    <w:p>
      <w:pPr>
        <w:ind w:right="520"/>
        <w:spacing w:after="0" w:line="358" w:lineRule="auto"/>
        <w:rPr>
          <w:sz w:val="20"/>
          <w:szCs w:val="20"/>
          <w:color w:val="auto"/>
        </w:rPr>
      </w:pPr>
      <w:r>
        <w:rPr>
          <w:rFonts w:ascii="Arial" w:cs="Arial" w:eastAsia="Arial" w:hAnsi="Arial"/>
          <w:sz w:val="13"/>
          <w:szCs w:val="13"/>
          <w:color w:val="auto"/>
        </w:rPr>
        <w:t>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Finance Expenses</w:t>
      </w:r>
    </w:p>
    <w:p>
      <w:pPr>
        <w:spacing w:after="0" w:line="191" w:lineRule="exact"/>
        <w:rPr>
          <w:sz w:val="20"/>
          <w:szCs w:val="20"/>
          <w:color w:val="auto"/>
        </w:rPr>
      </w:pPr>
    </w:p>
    <w:p>
      <w:pPr>
        <w:ind w:right="60"/>
        <w:spacing w:after="0" w:line="293" w:lineRule="auto"/>
        <w:rPr>
          <w:sz w:val="20"/>
          <w:szCs w:val="20"/>
          <w:color w:val="auto"/>
        </w:rPr>
      </w:pPr>
      <w:r>
        <w:rPr>
          <w:rFonts w:ascii="Arial" w:cs="Arial" w:eastAsia="Arial" w:hAnsi="Arial"/>
          <w:sz w:val="14"/>
          <w:szCs w:val="14"/>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 on our long-term debt is fixed at 9% as of September 30, 2020, and 9% as of December 31, 2019.</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Exchange Loss (Income)</w:t>
      </w:r>
    </w:p>
    <w:p>
      <w:pPr>
        <w:spacing w:after="0" w:line="191"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Foreign currency exchange loss (income) changes reflect foreign exchange gains or losses related to the change in value of assets and liabilities denominated in currencies other than the U.S. dollar.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i w:val="1"/>
          <w:iCs w:val="1"/>
          <w:color w:val="auto"/>
        </w:rPr>
        <w:t>Income Taxes (Benefit) Expense</w:t>
      </w:r>
    </w:p>
    <w:p>
      <w:pPr>
        <w:spacing w:after="0" w:line="191"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Our most significant temporary difference results from our subscription business.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61" w:lineRule="exact"/>
        <w:rPr>
          <w:sz w:val="20"/>
          <w:szCs w:val="20"/>
          <w:color w:val="auto"/>
        </w:rPr>
      </w:pPr>
    </w:p>
    <w:p>
      <w:pPr>
        <w:jc w:val="both"/>
        <w:ind w:right="420"/>
        <w:spacing w:after="0" w:line="265" w:lineRule="auto"/>
        <w:rPr>
          <w:sz w:val="20"/>
          <w:szCs w:val="20"/>
          <w:color w:val="auto"/>
        </w:rPr>
      </w:pPr>
      <w:r>
        <w:rPr>
          <w:rFonts w:ascii="Arial" w:cs="Arial" w:eastAsia="Arial" w:hAnsi="Arial"/>
          <w:sz w:val="15"/>
          <w:szCs w:val="15"/>
          <w:color w:val="auto"/>
        </w:rPr>
        <w:t>Income tax benefit is recognized based on the actual income or loss incurred during the nine months ended September 30, 2020. Due to the uncertainties as a result of COVID-19, management was unable to determine an annualized effective tax rate and calculate the income tax benefit in accordance with such method. The effective tax rate differs from the statutory tax rate due to the recognition of previously unrecognized carried forward tax losses.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Non-Controlling Interests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many countries where we have direct operations, we have minority shareholders.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Restatement of Comparative Amounts</w:t>
      </w:r>
    </w:p>
    <w:p>
      <w:pPr>
        <w:spacing w:after="0" w:line="191"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For the three months ended March 31, 2019, six months ended June 30, 2019 and nine months ended September 30, 2019, we previously classified the issuance of common stock and preferred stock as a credit to common stock. In accordance with U.S. GAAP, amounts issued in excess of par value are required to be accounted for in additional paid in capital (APIC). The error is a reclassification from common stock into APIC and has an immaterial impact on the consolidated statements of stockholders’ equity and consolidated balance sheets. Items previously reported have been reclassified to conform to U.S. GAAP and the reclassification did not have any impact on the Company’s consolidated statements of operations, consolidated statements of comprehensive loss, consolidated statements of cash flows and net loss per share calculations.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0"/>
          </w:cols>
          <w:pgMar w:left="320" w:top="311" w:right="35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set forth our consolidated results of operations in U.S. dollars and as a percentage of revenues for the periods indicated:</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left="286"/>
              <w:spacing w:after="0"/>
              <w:rPr>
                <w:sz w:val="20"/>
                <w:szCs w:val="20"/>
                <w:color w:val="auto"/>
              </w:rPr>
            </w:pPr>
            <w:r>
              <w:rPr>
                <w:rFonts w:ascii="Arial" w:cs="Arial" w:eastAsia="Arial" w:hAnsi="Arial"/>
                <w:sz w:val="12"/>
                <w:szCs w:val="12"/>
                <w:b w:val="1"/>
                <w:bCs w:val="1"/>
                <w:color w:val="auto"/>
                <w:w w:val="93"/>
              </w:rPr>
              <w:t>Three Months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center"/>
              <w:ind w:left="286"/>
              <w:spacing w:after="0"/>
              <w:rPr>
                <w:sz w:val="20"/>
                <w:szCs w:val="20"/>
                <w:color w:val="auto"/>
              </w:rPr>
            </w:pPr>
            <w:r>
              <w:rPr>
                <w:rFonts w:ascii="Arial" w:cs="Arial" w:eastAsia="Arial" w:hAnsi="Arial"/>
                <w:sz w:val="12"/>
                <w:szCs w:val="12"/>
                <w:b w:val="1"/>
                <w:bCs w:val="1"/>
                <w:color w:val="auto"/>
                <w:w w:val="91"/>
              </w:rPr>
              <w:t>Nine Months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5"/>
          </w:tcPr>
          <w:p>
            <w:pPr>
              <w:jc w:val="center"/>
              <w:ind w:right="460"/>
              <w:spacing w:after="0"/>
              <w:rPr>
                <w:sz w:val="20"/>
                <w:szCs w:val="20"/>
                <w:color w:val="auto"/>
              </w:rPr>
            </w:pPr>
            <w:r>
              <w:rPr>
                <w:rFonts w:ascii="Arial" w:cs="Arial" w:eastAsia="Arial" w:hAnsi="Arial"/>
                <w:sz w:val="12"/>
                <w:szCs w:val="12"/>
                <w:b w:val="1"/>
                <w:bCs w:val="1"/>
                <w:color w:val="auto"/>
                <w:w w:val="90"/>
              </w:rPr>
              <w:t>Ended September 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6"/>
          </w:tcPr>
          <w:p>
            <w:pPr>
              <w:jc w:val="center"/>
              <w:ind w:right="282"/>
              <w:spacing w:after="0"/>
              <w:rPr>
                <w:sz w:val="20"/>
                <w:szCs w:val="20"/>
                <w:color w:val="auto"/>
              </w:rPr>
            </w:pPr>
            <w:r>
              <w:rPr>
                <w:rFonts w:ascii="Arial" w:cs="Arial" w:eastAsia="Arial" w:hAnsi="Arial"/>
                <w:sz w:val="12"/>
                <w:szCs w:val="12"/>
                <w:b w:val="1"/>
                <w:bCs w:val="1"/>
                <w:color w:val="auto"/>
                <w:w w:val="89"/>
              </w:rPr>
              <w:t>Ended September 30</w:t>
            </w:r>
          </w:p>
        </w:tc>
        <w:tc>
          <w:tcPr>
            <w:tcW w:w="0" w:type="dxa"/>
            <w:vAlign w:val="bottom"/>
          </w:tcPr>
          <w:p>
            <w:pPr>
              <w:spacing w:after="0"/>
              <w:rPr>
                <w:sz w:val="1"/>
                <w:szCs w:val="1"/>
                <w:color w:val="auto"/>
              </w:rPr>
            </w:pPr>
          </w:p>
        </w:tc>
      </w:tr>
      <w:tr>
        <w:trPr>
          <w:trHeight w:val="128"/>
        </w:trPr>
        <w:tc>
          <w:tcPr>
            <w:tcW w:w="3560" w:type="dxa"/>
            <w:vAlign w:val="bottom"/>
            <w:vMerge w:val="restart"/>
          </w:tcPr>
          <w:p>
            <w:pPr>
              <w:spacing w:after="0"/>
              <w:rPr>
                <w:sz w:val="20"/>
                <w:szCs w:val="20"/>
                <w:color w:val="auto"/>
              </w:rPr>
            </w:pPr>
            <w:r>
              <w:rPr>
                <w:rFonts w:ascii="Arial" w:cs="Arial" w:eastAsia="Arial" w:hAnsi="Arial"/>
                <w:sz w:val="12"/>
                <w:szCs w:val="12"/>
                <w:b w:val="1"/>
                <w:bCs w:val="1"/>
                <w:color w:val="auto"/>
              </w:rPr>
              <w:t>Consolidated Statements of Loss:</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06"/>
              <w:spacing w:after="0" w:line="128" w:lineRule="exact"/>
              <w:rPr>
                <w:sz w:val="20"/>
                <w:szCs w:val="20"/>
                <w:color w:val="auto"/>
              </w:rPr>
            </w:pPr>
            <w:r>
              <w:rPr>
                <w:rFonts w:ascii="Arial" w:cs="Arial" w:eastAsia="Arial" w:hAnsi="Arial"/>
                <w:sz w:val="12"/>
                <w:szCs w:val="12"/>
                <w:b w:val="1"/>
                <w:bCs w:val="1"/>
                <w:color w:val="auto"/>
              </w:rPr>
              <w:t>2020</w:t>
            </w:r>
          </w:p>
        </w:tc>
        <w:tc>
          <w:tcPr>
            <w:tcW w:w="2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05"/>
              <w:spacing w:after="0" w:line="128" w:lineRule="exact"/>
              <w:rPr>
                <w:sz w:val="20"/>
                <w:szCs w:val="20"/>
                <w:color w:val="auto"/>
              </w:rPr>
            </w:pPr>
            <w:r>
              <w:rPr>
                <w:rFonts w:ascii="Arial" w:cs="Arial" w:eastAsia="Arial" w:hAnsi="Arial"/>
                <w:sz w:val="12"/>
                <w:szCs w:val="12"/>
                <w:b w:val="1"/>
                <w:bCs w:val="1"/>
                <w:color w:val="auto"/>
                <w:w w:val="89"/>
              </w:rPr>
              <w:t>2019</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06"/>
              <w:spacing w:after="0" w:line="128"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05"/>
              <w:spacing w:after="0" w:line="128"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4"/>
          </w:tcPr>
          <w:p>
            <w:pPr>
              <w:jc w:val="center"/>
              <w:ind w:right="105"/>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jc w:val="center"/>
              <w:ind w:right="105"/>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Revenues: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220"/>
              <w:spacing w:after="0"/>
              <w:rPr>
                <w:sz w:val="20"/>
                <w:szCs w:val="20"/>
                <w:color w:val="auto"/>
              </w:rPr>
            </w:pPr>
            <w:r>
              <w:rPr>
                <w:rFonts w:ascii="Arial" w:cs="Arial" w:eastAsia="Arial" w:hAnsi="Arial"/>
                <w:sz w:val="15"/>
                <w:szCs w:val="15"/>
                <w:color w:val="auto"/>
              </w:rPr>
              <w:t>Leases</w:t>
            </w:r>
          </w:p>
        </w:tc>
        <w:tc>
          <w:tcPr>
            <w:tcW w:w="34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9,431</w:t>
            </w:r>
          </w:p>
        </w:tc>
        <w:tc>
          <w:tcPr>
            <w:tcW w:w="240" w:type="dxa"/>
            <w:vAlign w:val="bottom"/>
          </w:tcPr>
          <w:p>
            <w:pPr>
              <w:spacing w:after="0"/>
              <w:rPr>
                <w:sz w:val="16"/>
                <w:szCs w:val="16"/>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16,427</w:t>
            </w:r>
          </w:p>
        </w:tc>
        <w:tc>
          <w:tcPr>
            <w:tcW w:w="260" w:type="dxa"/>
            <w:vAlign w:val="bottom"/>
          </w:tcPr>
          <w:p>
            <w:pPr>
              <w:spacing w:after="0"/>
              <w:rPr>
                <w:sz w:val="16"/>
                <w:szCs w:val="16"/>
                <w:color w:val="auto"/>
              </w:rPr>
            </w:pPr>
          </w:p>
        </w:tc>
        <w:tc>
          <w:tcPr>
            <w:tcW w:w="30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23,709</w:t>
            </w:r>
          </w:p>
        </w:tc>
        <w:tc>
          <w:tcPr>
            <w:tcW w:w="180" w:type="dxa"/>
            <w:vAlign w:val="bottom"/>
          </w:tcPr>
          <w:p>
            <w:pPr>
              <w:spacing w:after="0"/>
              <w:rPr>
                <w:sz w:val="16"/>
                <w:szCs w:val="16"/>
                <w:color w:val="auto"/>
              </w:rPr>
            </w:pPr>
          </w:p>
        </w:tc>
        <w:tc>
          <w:tcPr>
            <w:tcW w:w="300" w:type="dxa"/>
            <w:vAlign w:val="bottom"/>
            <w:gridSpan w:val="2"/>
          </w:tcPr>
          <w:p>
            <w:pPr>
              <w:jc w:val="right"/>
              <w:ind w:right="131"/>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48,812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Products and services</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11,249</w:t>
            </w:r>
          </w:p>
        </w:tc>
        <w:tc>
          <w:tcPr>
            <w:tcW w:w="2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9,727</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28,475</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29,740</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Arial" w:cs="Arial" w:eastAsia="Arial" w:hAnsi="Arial"/>
                <w:sz w:val="15"/>
                <w:szCs w:val="15"/>
                <w:color w:val="auto"/>
              </w:rPr>
              <w:t>Total revenue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20,680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26,154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52,184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78,552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Cost of goods sold</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7,177</w:t>
            </w:r>
          </w:p>
        </w:tc>
        <w:tc>
          <w:tcPr>
            <w:tcW w:w="2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7,386</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17,504</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21,645</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Arial" w:cs="Arial" w:eastAsia="Arial" w:hAnsi="Arial"/>
                <w:sz w:val="15"/>
                <w:szCs w:val="15"/>
                <w:color w:val="auto"/>
              </w:rPr>
              <w:t>Gross profit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13,503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18,768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34,680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56,907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220"/>
              <w:spacing w:after="0"/>
              <w:rPr>
                <w:sz w:val="20"/>
                <w:szCs w:val="20"/>
                <w:color w:val="auto"/>
              </w:rPr>
            </w:pPr>
            <w:r>
              <w:rPr>
                <w:rFonts w:ascii="Arial" w:cs="Arial" w:eastAsia="Arial" w:hAnsi="Arial"/>
                <w:sz w:val="15"/>
                <w:szCs w:val="15"/>
                <w:color w:val="auto"/>
              </w:rPr>
              <w:t>Sales and marketing</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5,657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9,201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18,813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28,983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General and administrative</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11,291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14,445</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40,442</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34,637</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220"/>
              <w:spacing w:after="0"/>
              <w:rPr>
                <w:sz w:val="20"/>
                <w:szCs w:val="20"/>
                <w:color w:val="auto"/>
              </w:rPr>
            </w:pPr>
            <w:r>
              <w:rPr>
                <w:rFonts w:ascii="Arial" w:cs="Arial" w:eastAsia="Arial" w:hAnsi="Arial"/>
                <w:sz w:val="15"/>
                <w:szCs w:val="15"/>
                <w:color w:val="auto"/>
              </w:rPr>
              <w:t>Research and development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1,849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1,686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6,043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5,667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Goodwill impairment</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2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Total operating expenses</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18,797</w:t>
            </w:r>
          </w:p>
        </w:tc>
        <w:tc>
          <w:tcPr>
            <w:tcW w:w="2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25,332</w:t>
            </w:r>
          </w:p>
        </w:tc>
        <w:tc>
          <w:tcPr>
            <w:tcW w:w="26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92,748</w:t>
            </w:r>
          </w:p>
        </w:tc>
        <w:tc>
          <w:tcPr>
            <w:tcW w:w="18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69,287</w:t>
            </w:r>
          </w:p>
        </w:tc>
        <w:tc>
          <w:tcPr>
            <w:tcW w:w="14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Loss from operations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(5,294)</w:t>
            </w: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(6,564)</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(58,068)</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2"/>
              <w:spacing w:after="0"/>
              <w:rPr>
                <w:sz w:val="20"/>
                <w:szCs w:val="20"/>
                <w:color w:val="auto"/>
              </w:rPr>
            </w:pPr>
            <w:r>
              <w:rPr>
                <w:rFonts w:ascii="Arial" w:cs="Arial" w:eastAsia="Arial" w:hAnsi="Arial"/>
                <w:sz w:val="15"/>
                <w:szCs w:val="15"/>
                <w:color w:val="auto"/>
              </w:rPr>
              <w:t>(12,380)</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Other expenses: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Foreign exchange loss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396</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4,209</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409</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Finance expenses</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1,897</w:t>
            </w:r>
          </w:p>
        </w:tc>
        <w:tc>
          <w:tcPr>
            <w:tcW w:w="2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2,097</w:t>
            </w:r>
          </w:p>
        </w:tc>
        <w:tc>
          <w:tcPr>
            <w:tcW w:w="26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6,522</w:t>
            </w:r>
          </w:p>
        </w:tc>
        <w:tc>
          <w:tcPr>
            <w:tcW w:w="18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5,904</w:t>
            </w:r>
          </w:p>
        </w:tc>
        <w:tc>
          <w:tcPr>
            <w:tcW w:w="14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Loss before income taxes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(8,287)</w:t>
            </w: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(9,057)</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(68,799)</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2"/>
              <w:spacing w:after="0"/>
              <w:rPr>
                <w:sz w:val="20"/>
                <w:szCs w:val="20"/>
                <w:color w:val="auto"/>
              </w:rPr>
            </w:pPr>
            <w:r>
              <w:rPr>
                <w:rFonts w:ascii="Arial" w:cs="Arial" w:eastAsia="Arial" w:hAnsi="Arial"/>
                <w:sz w:val="15"/>
                <w:szCs w:val="15"/>
                <w:color w:val="auto"/>
              </w:rPr>
              <w:t>(18,693)</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Income tax (benefit) expense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(966)</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5"/>
                <w:szCs w:val="15"/>
                <w:color w:val="auto"/>
              </w:rPr>
              <w:t>(1,010)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Net loss</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(7,321)</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(8,977)</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(67,789</w:t>
            </w:r>
          </w:p>
        </w:tc>
        <w:tc>
          <w:tcPr>
            <w:tcW w:w="180" w:type="dxa"/>
            <w:vAlign w:val="bottom"/>
            <w:tcBorders>
              <w:top w:val="single" w:sz="8" w:color="CFF0FC"/>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98"/>
              </w:rPr>
              <w:t>(19,560</w:t>
            </w:r>
          </w:p>
        </w:tc>
        <w:tc>
          <w:tcPr>
            <w:tcW w:w="14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5"/>
                <w:szCs w:val="15"/>
                <w:color w:val="auto"/>
              </w:rPr>
              <w:t>Deemed dividend</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260"/>
              <w:spacing w:after="0" w:line="167"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gridSpan w:val="2"/>
          </w:tcPr>
          <w:p>
            <w:pPr>
              <w:jc w:val="right"/>
              <w:ind w:right="280"/>
              <w:spacing w:after="0" w:line="167"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2"/>
              <w:spacing w:after="0" w:line="167" w:lineRule="exact"/>
              <w:rPr>
                <w:sz w:val="20"/>
                <w:szCs w:val="20"/>
                <w:color w:val="auto"/>
              </w:rPr>
            </w:pPr>
            <w:r>
              <w:rPr>
                <w:rFonts w:ascii="Arial" w:cs="Arial" w:eastAsia="Arial" w:hAnsi="Arial"/>
                <w:sz w:val="15"/>
                <w:szCs w:val="15"/>
                <w:color w:val="auto"/>
              </w:rPr>
              <w:t>(3,564)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22"/>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Net loss attributable to the Company</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(7,243)</w:t>
            </w: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(8,640)</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(70,585)</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2"/>
              <w:spacing w:after="0"/>
              <w:rPr>
                <w:sz w:val="20"/>
                <w:szCs w:val="20"/>
                <w:color w:val="auto"/>
              </w:rPr>
            </w:pPr>
            <w:r>
              <w:rPr>
                <w:rFonts w:ascii="Arial" w:cs="Arial" w:eastAsia="Arial" w:hAnsi="Arial"/>
                <w:sz w:val="15"/>
                <w:szCs w:val="15"/>
                <w:color w:val="auto"/>
              </w:rPr>
              <w:t>(19,823)</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5"/>
                <w:szCs w:val="15"/>
                <w:color w:val="auto"/>
                <w:w w:val="97"/>
              </w:rPr>
              <w:t>Net (loss) income attributable to noncontrolling interest</w:t>
            </w: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(78)</w:t>
            </w:r>
          </w:p>
        </w:tc>
        <w:tc>
          <w:tcPr>
            <w:tcW w:w="2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(337)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5"/>
                <w:szCs w:val="15"/>
                <w:color w:val="auto"/>
              </w:rPr>
              <w:t>(768)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560" w:type="dxa"/>
            <w:vAlign w:val="bottom"/>
            <w:tcBorders>
              <w:top w:val="single" w:sz="8" w:color="CFF0FC"/>
            </w:tcBorders>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As a % of revenue:</w:t>
            </w:r>
          </w:p>
        </w:tc>
        <w:tc>
          <w:tcPr>
            <w:tcW w:w="1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Revenues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100%</w:t>
            </w:r>
          </w:p>
        </w:tc>
        <w:tc>
          <w:tcPr>
            <w:tcW w:w="2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5"/>
                <w:szCs w:val="15"/>
                <w:color w:val="auto"/>
              </w:rPr>
              <w:t>100%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Cost of goods sold</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34.7</w:t>
            </w:r>
          </w:p>
        </w:tc>
        <w:tc>
          <w:tcPr>
            <w:tcW w:w="2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28.2</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33.5</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27.6</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Gross profit</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65.3</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66.5</w:t>
            </w: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72.4</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220"/>
              <w:spacing w:after="0"/>
              <w:rPr>
                <w:sz w:val="20"/>
                <w:szCs w:val="20"/>
                <w:color w:val="auto"/>
              </w:rPr>
            </w:pPr>
            <w:r>
              <w:rPr>
                <w:rFonts w:ascii="Arial" w:cs="Arial" w:eastAsia="Arial" w:hAnsi="Arial"/>
                <w:sz w:val="15"/>
                <w:szCs w:val="15"/>
                <w:color w:val="auto"/>
              </w:rPr>
              <w:t>Selling and marketing</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35.2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36.1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General and administrative</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55.2</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77.5</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44.1</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220"/>
              <w:spacing w:after="0"/>
              <w:rPr>
                <w:sz w:val="20"/>
                <w:szCs w:val="20"/>
                <w:color w:val="auto"/>
              </w:rPr>
            </w:pPr>
            <w:r>
              <w:rPr>
                <w:rFonts w:ascii="Arial" w:cs="Arial" w:eastAsia="Arial" w:hAnsi="Arial"/>
                <w:sz w:val="15"/>
                <w:szCs w:val="15"/>
                <w:color w:val="auto"/>
              </w:rPr>
              <w:t>Research and development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11.6</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Goodwill impairment</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52.6</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2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Total operating expenses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90.9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96.8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177.8</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88.2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Loss from operations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(25.6)</w:t>
            </w: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(25.0)</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(111.3)</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2"/>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Foreign exchange loss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Finance expenses</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9.2</w:t>
            </w:r>
          </w:p>
        </w:tc>
        <w:tc>
          <w:tcPr>
            <w:tcW w:w="2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8.0</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12.5</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7.5</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Arial" w:cs="Arial" w:eastAsia="Arial" w:hAnsi="Arial"/>
                <w:sz w:val="15"/>
                <w:szCs w:val="15"/>
                <w:color w:val="auto"/>
              </w:rPr>
              <w:t>Loss before income taxes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(40.1)</w:t>
            </w:r>
          </w:p>
        </w:tc>
        <w:tc>
          <w:tcPr>
            <w:tcW w:w="2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(34.5)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5"/>
                <w:szCs w:val="15"/>
                <w:color w:val="auto"/>
              </w:rPr>
              <w:t>(131.9)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jc w:val="right"/>
              <w:ind w:right="62"/>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set forth our revenue by region and by product type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3"/>
              </w:rPr>
              <w:t>Three Months</w:t>
            </w:r>
          </w:p>
        </w:tc>
        <w:tc>
          <w:tcPr>
            <w:tcW w:w="160" w:type="dxa"/>
            <w:vAlign w:val="bottom"/>
          </w:tcPr>
          <w:p>
            <w:pPr>
              <w:spacing w:after="0"/>
              <w:rPr>
                <w:sz w:val="12"/>
                <w:szCs w:val="12"/>
                <w:color w:val="auto"/>
              </w:rPr>
            </w:pPr>
          </w:p>
        </w:tc>
        <w:tc>
          <w:tcPr>
            <w:tcW w:w="1080" w:type="dxa"/>
            <w:vAlign w:val="bottom"/>
            <w:gridSpan w:val="3"/>
          </w:tcPr>
          <w:p>
            <w:pPr>
              <w:jc w:val="center"/>
              <w:ind w:left="293"/>
              <w:spacing w:after="0"/>
              <w:rPr>
                <w:sz w:val="20"/>
                <w:szCs w:val="20"/>
                <w:color w:val="auto"/>
              </w:rPr>
            </w:pPr>
            <w:r>
              <w:rPr>
                <w:rFonts w:ascii="Arial" w:cs="Arial" w:eastAsia="Arial" w:hAnsi="Arial"/>
                <w:sz w:val="12"/>
                <w:szCs w:val="12"/>
                <w:b w:val="1"/>
                <w:bCs w:val="1"/>
                <w:color w:val="auto"/>
                <w:w w:val="94"/>
              </w:rPr>
              <w:t>Nine Months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90"/>
              </w:rPr>
              <w:t>Ended September 30</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0"/>
              </w:rPr>
              <w:t>Ended September 30</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3"/>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8"/>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3"/>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08"/>
              <w:spacing w:after="0" w:line="128" w:lineRule="exact"/>
              <w:rPr>
                <w:sz w:val="20"/>
                <w:szCs w:val="20"/>
                <w:color w:val="auto"/>
              </w:rPr>
            </w:pPr>
            <w:r>
              <w:rPr>
                <w:rFonts w:ascii="Arial" w:cs="Arial" w:eastAsia="Arial" w:hAnsi="Arial"/>
                <w:sz w:val="12"/>
                <w:szCs w:val="12"/>
                <w:b w:val="1"/>
                <w:bCs w:val="1"/>
                <w:color w:val="auto"/>
                <w:w w:val="89"/>
              </w:rPr>
              <w:t>2019</w:t>
            </w: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4"/>
          </w:tcPr>
          <w:p>
            <w:pPr>
              <w:jc w:val="center"/>
              <w:ind w:right="128"/>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4"/>
          </w:tcPr>
          <w:p>
            <w:pPr>
              <w:jc w:val="center"/>
              <w:ind w:right="88"/>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Revenues by region:</w:t>
            </w: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gridSpan w:val="2"/>
          </w:tcPr>
          <w:p>
            <w:pPr>
              <w:ind w:left="1680"/>
              <w:spacing w:after="0"/>
              <w:rPr>
                <w:sz w:val="20"/>
                <w:szCs w:val="20"/>
                <w:color w:val="auto"/>
              </w:rPr>
            </w:pPr>
            <w:r>
              <w:rPr>
                <w:rFonts w:ascii="Arial" w:cs="Arial" w:eastAsia="Arial" w:hAnsi="Arial"/>
                <w:sz w:val="15"/>
                <w:szCs w:val="15"/>
                <w:color w:val="auto"/>
              </w:rPr>
              <w:t>United States</w:t>
            </w:r>
          </w:p>
        </w:tc>
        <w:tc>
          <w:tcPr>
            <w:tcW w:w="1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7,784</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10,118</w:t>
            </w:r>
          </w:p>
        </w:tc>
        <w:tc>
          <w:tcPr>
            <w:tcW w:w="160" w:type="dxa"/>
            <w:vAlign w:val="bottom"/>
          </w:tcPr>
          <w:p>
            <w:pPr>
              <w:spacing w:after="0"/>
              <w:rPr>
                <w:sz w:val="16"/>
                <w:szCs w:val="16"/>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22,339</w:t>
            </w:r>
          </w:p>
        </w:tc>
        <w:tc>
          <w:tcPr>
            <w:tcW w:w="16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31,337</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International</w:t>
            </w:r>
          </w:p>
        </w:tc>
        <w:tc>
          <w:tcPr>
            <w:tcW w:w="14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12,896</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16,036</w:t>
            </w:r>
          </w:p>
        </w:tc>
        <w:tc>
          <w:tcPr>
            <w:tcW w:w="1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29,845</w:t>
            </w:r>
          </w:p>
        </w:tc>
        <w:tc>
          <w:tcPr>
            <w:tcW w:w="1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47,215</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2600" w:type="dxa"/>
            <w:vAlign w:val="bottom"/>
          </w:tcPr>
          <w:p>
            <w:pPr>
              <w:ind w:left="100"/>
              <w:spacing w:after="0"/>
              <w:rPr>
                <w:sz w:val="20"/>
                <w:szCs w:val="20"/>
                <w:color w:val="auto"/>
              </w:rPr>
            </w:pPr>
            <w:r>
              <w:rPr>
                <w:rFonts w:ascii="Arial" w:cs="Arial" w:eastAsia="Arial" w:hAnsi="Arial"/>
                <w:sz w:val="15"/>
                <w:szCs w:val="15"/>
                <w:color w:val="auto"/>
              </w:rPr>
              <w:t>Total revenue</w:t>
            </w:r>
          </w:p>
        </w:tc>
        <w:tc>
          <w:tcPr>
            <w:tcW w:w="1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20,680</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26,154</w:t>
            </w:r>
          </w:p>
        </w:tc>
        <w:tc>
          <w:tcPr>
            <w:tcW w:w="160" w:type="dxa"/>
            <w:vAlign w:val="bottom"/>
          </w:tcPr>
          <w:p>
            <w:pPr>
              <w:spacing w:after="0"/>
              <w:rPr>
                <w:sz w:val="15"/>
                <w:szCs w:val="15"/>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52,184</w:t>
            </w:r>
          </w:p>
        </w:tc>
        <w:tc>
          <w:tcPr>
            <w:tcW w:w="16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78,552</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39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40" w:name="page41"/>
    <w:bookmarkEnd w:id="40"/>
    <w:tbl>
      <w:tblPr>
        <w:tblLayout w:type="fixed"/>
        <w:tblInd w:w="1689"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3"/>
              </w:rPr>
              <w:t>Three Months</w:t>
            </w:r>
          </w:p>
        </w:tc>
        <w:tc>
          <w:tcPr>
            <w:tcW w:w="160" w:type="dxa"/>
            <w:vAlign w:val="bottom"/>
          </w:tcPr>
          <w:p>
            <w:pPr>
              <w:spacing w:after="0"/>
              <w:rPr>
                <w:sz w:val="12"/>
                <w:szCs w:val="12"/>
                <w:color w:val="auto"/>
              </w:rPr>
            </w:pPr>
          </w:p>
        </w:tc>
        <w:tc>
          <w:tcPr>
            <w:tcW w:w="1080" w:type="dxa"/>
            <w:vAlign w:val="bottom"/>
            <w:gridSpan w:val="3"/>
          </w:tcPr>
          <w:p>
            <w:pPr>
              <w:jc w:val="center"/>
              <w:ind w:left="291"/>
              <w:spacing w:after="0"/>
              <w:rPr>
                <w:sz w:val="20"/>
                <w:szCs w:val="20"/>
                <w:color w:val="auto"/>
              </w:rPr>
            </w:pPr>
            <w:r>
              <w:rPr>
                <w:rFonts w:ascii="Arial" w:cs="Arial" w:eastAsia="Arial" w:hAnsi="Arial"/>
                <w:sz w:val="12"/>
                <w:szCs w:val="12"/>
                <w:b w:val="1"/>
                <w:bCs w:val="1"/>
                <w:color w:val="auto"/>
                <w:w w:val="94"/>
              </w:rPr>
              <w:t>Nine Months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90"/>
              </w:rPr>
              <w:t>Ended September 30</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0"/>
              </w:rPr>
              <w:t>Ended September 30</w:t>
            </w:r>
          </w:p>
        </w:tc>
      </w:tr>
      <w:tr>
        <w:trPr>
          <w:trHeight w:val="128"/>
        </w:trPr>
        <w:tc>
          <w:tcPr>
            <w:tcW w:w="40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1"/>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7"/>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1"/>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07"/>
              <w:spacing w:after="0" w:line="128" w:lineRule="exact"/>
              <w:rPr>
                <w:sz w:val="20"/>
                <w:szCs w:val="20"/>
                <w:color w:val="auto"/>
              </w:rPr>
            </w:pPr>
            <w:r>
              <w:rPr>
                <w:rFonts w:ascii="Arial" w:cs="Arial" w:eastAsia="Arial" w:hAnsi="Arial"/>
                <w:sz w:val="12"/>
                <w:szCs w:val="12"/>
                <w:b w:val="1"/>
                <w:bCs w:val="1"/>
                <w:color w:val="auto"/>
                <w:w w:val="89"/>
              </w:rPr>
              <w:t>2019</w:t>
            </w:r>
          </w:p>
        </w:tc>
        <w:tc>
          <w:tcPr>
            <w:tcW w:w="80" w:type="dxa"/>
            <w:vAlign w:val="bottom"/>
          </w:tcPr>
          <w:p>
            <w:pPr>
              <w:spacing w:after="0"/>
              <w:rPr>
                <w:sz w:val="11"/>
                <w:szCs w:val="11"/>
                <w:color w:val="auto"/>
              </w:rPr>
            </w:pPr>
          </w:p>
        </w:tc>
      </w:tr>
      <w:tr>
        <w:trPr>
          <w:trHeight w:val="128"/>
        </w:trPr>
        <w:tc>
          <w:tcPr>
            <w:tcW w:w="4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4"/>
          </w:tcPr>
          <w:p>
            <w:pPr>
              <w:jc w:val="center"/>
              <w:ind w:right="127"/>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4"/>
          </w:tcPr>
          <w:p>
            <w:pPr>
              <w:jc w:val="center"/>
              <w:ind w:right="87"/>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80" w:type="dxa"/>
            <w:vAlign w:val="bottom"/>
          </w:tcPr>
          <w:p>
            <w:pPr>
              <w:spacing w:after="0"/>
              <w:rPr>
                <w:sz w:val="11"/>
                <w:szCs w:val="11"/>
                <w:color w:val="auto"/>
              </w:rPr>
            </w:pPr>
          </w:p>
        </w:tc>
      </w:tr>
      <w:tr>
        <w:trPr>
          <w:trHeight w:val="193"/>
        </w:trPr>
        <w:tc>
          <w:tcPr>
            <w:tcW w:w="40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Revenues by product:</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5"/>
                <w:szCs w:val="15"/>
                <w:color w:val="auto"/>
              </w:rPr>
              <w:t>Subscription—Systems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9,431</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16,427</w:t>
            </w:r>
          </w:p>
        </w:tc>
        <w:tc>
          <w:tcPr>
            <w:tcW w:w="160" w:type="dxa"/>
            <w:vAlign w:val="bottom"/>
          </w:tcPr>
          <w:p>
            <w:pPr>
              <w:spacing w:after="0"/>
              <w:rPr>
                <w:sz w:val="16"/>
                <w:szCs w:val="16"/>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23,709</w:t>
            </w:r>
          </w:p>
        </w:tc>
        <w:tc>
          <w:tcPr>
            <w:tcW w:w="16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48,812</w:t>
            </w:r>
          </w:p>
        </w:tc>
        <w:tc>
          <w:tcPr>
            <w:tcW w:w="80" w:type="dxa"/>
            <w:vAlign w:val="bottom"/>
          </w:tcPr>
          <w:p>
            <w:pPr>
              <w:spacing w:after="0"/>
              <w:rPr>
                <w:sz w:val="16"/>
                <w:szCs w:val="16"/>
                <w:color w:val="auto"/>
              </w:rPr>
            </w:pPr>
          </w:p>
        </w:tc>
      </w:tr>
      <w:tr>
        <w:trPr>
          <w:trHeight w:val="19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Products—Systems</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7,503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7,105</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17,758</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21,188</w:t>
            </w:r>
          </w:p>
        </w:tc>
        <w:tc>
          <w:tcPr>
            <w:tcW w:w="80" w:type="dxa"/>
            <w:vAlign w:val="bottom"/>
            <w:shd w:val="clear" w:color="auto" w:fill="CFF0FC"/>
          </w:tcPr>
          <w:p>
            <w:pPr>
              <w:spacing w:after="0"/>
              <w:rPr>
                <w:sz w:val="16"/>
                <w:szCs w:val="16"/>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5"/>
                <w:szCs w:val="15"/>
                <w:color w:val="auto"/>
              </w:rPr>
              <w:t>Products—Other (1)</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2,631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1,167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7,136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4,117</w:t>
            </w:r>
          </w:p>
        </w:tc>
        <w:tc>
          <w:tcPr>
            <w:tcW w:w="80" w:type="dxa"/>
            <w:vAlign w:val="bottom"/>
          </w:tcPr>
          <w:p>
            <w:pPr>
              <w:spacing w:after="0"/>
              <w:rPr>
                <w:sz w:val="16"/>
                <w:szCs w:val="16"/>
                <w:color w:val="auto"/>
              </w:rPr>
            </w:pPr>
          </w:p>
        </w:tc>
      </w:tr>
      <w:tr>
        <w:trPr>
          <w:trHeight w:val="19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Services (2)</w:t>
            </w: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1,115</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1,455</w:t>
            </w:r>
          </w:p>
        </w:tc>
        <w:tc>
          <w:tcPr>
            <w:tcW w:w="1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3,581</w:t>
            </w:r>
          </w:p>
        </w:tc>
        <w:tc>
          <w:tcPr>
            <w:tcW w:w="1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4,435</w:t>
            </w:r>
          </w:p>
        </w:tc>
        <w:tc>
          <w:tcPr>
            <w:tcW w:w="80" w:type="dxa"/>
            <w:vAlign w:val="bottom"/>
            <w:shd w:val="clear" w:color="auto" w:fill="CFF0FC"/>
          </w:tcPr>
          <w:p>
            <w:pPr>
              <w:spacing w:after="0"/>
              <w:rPr>
                <w:sz w:val="16"/>
                <w:szCs w:val="16"/>
                <w:color w:val="auto"/>
              </w:rPr>
            </w:pPr>
          </w:p>
        </w:tc>
      </w:tr>
      <w:tr>
        <w:trPr>
          <w:trHeight w:val="184"/>
        </w:trPr>
        <w:tc>
          <w:tcPr>
            <w:tcW w:w="4060" w:type="dxa"/>
            <w:vAlign w:val="bottom"/>
          </w:tcPr>
          <w:p>
            <w:pPr>
              <w:ind w:left="100"/>
              <w:spacing w:after="0"/>
              <w:rPr>
                <w:sz w:val="20"/>
                <w:szCs w:val="20"/>
                <w:color w:val="auto"/>
              </w:rPr>
            </w:pPr>
            <w:r>
              <w:rPr>
                <w:rFonts w:ascii="Arial" w:cs="Arial" w:eastAsia="Arial" w:hAnsi="Arial"/>
                <w:sz w:val="15"/>
                <w:szCs w:val="15"/>
                <w:color w:val="auto"/>
              </w:rPr>
              <w:t>Total revenue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20,680</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26,154</w:t>
            </w:r>
          </w:p>
        </w:tc>
        <w:tc>
          <w:tcPr>
            <w:tcW w:w="160" w:type="dxa"/>
            <w:vAlign w:val="bottom"/>
          </w:tcPr>
          <w:p>
            <w:pPr>
              <w:spacing w:after="0"/>
              <w:rPr>
                <w:sz w:val="15"/>
                <w:szCs w:val="15"/>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52,184</w:t>
            </w:r>
          </w:p>
        </w:tc>
        <w:tc>
          <w:tcPr>
            <w:tcW w:w="16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78,552</w:t>
            </w:r>
          </w:p>
        </w:tc>
        <w:tc>
          <w:tcPr>
            <w:tcW w:w="80" w:type="dxa"/>
            <w:vAlign w:val="bottom"/>
          </w:tcPr>
          <w:p>
            <w:pPr>
              <w:spacing w:after="0"/>
              <w:rPr>
                <w:sz w:val="15"/>
                <w:szCs w:val="15"/>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9" w:hanging="509"/>
        <w:spacing w:after="0"/>
        <w:tabs>
          <w:tab w:leader="none" w:pos="509" w:val="left"/>
        </w:tabs>
        <w:numPr>
          <w:ilvl w:val="0"/>
          <w:numId w:val="14"/>
        </w:numPr>
        <w:rPr>
          <w:rFonts w:ascii="Arial" w:cs="Arial" w:eastAsia="Arial" w:hAnsi="Arial"/>
          <w:sz w:val="15"/>
          <w:szCs w:val="15"/>
          <w:color w:val="231F20"/>
        </w:rPr>
      </w:pPr>
      <w:r>
        <w:rPr>
          <w:rFonts w:ascii="Arial" w:cs="Arial" w:eastAsia="Arial" w:hAnsi="Arial"/>
          <w:sz w:val="15"/>
          <w:szCs w:val="15"/>
          <w:color w:val="231F20"/>
        </w:rPr>
        <w:t>Products other include ARTAS procedure kits, Venus Concept’s Venus Skin and hair products, and other consumables.</w:t>
      </w:r>
    </w:p>
    <w:p>
      <w:pPr>
        <w:spacing w:after="0" w:line="18" w:lineRule="exact"/>
        <w:rPr>
          <w:rFonts w:ascii="Arial" w:cs="Arial" w:eastAsia="Arial" w:hAnsi="Arial"/>
          <w:sz w:val="15"/>
          <w:szCs w:val="15"/>
          <w:color w:val="231F20"/>
        </w:rPr>
      </w:pPr>
    </w:p>
    <w:p>
      <w:pPr>
        <w:ind w:left="509" w:hanging="509"/>
        <w:spacing w:after="0"/>
        <w:tabs>
          <w:tab w:leader="none" w:pos="509" w:val="left"/>
        </w:tabs>
        <w:numPr>
          <w:ilvl w:val="0"/>
          <w:numId w:val="14"/>
        </w:numPr>
        <w:rPr>
          <w:rFonts w:ascii="Arial" w:cs="Arial" w:eastAsia="Arial" w:hAnsi="Arial"/>
          <w:sz w:val="15"/>
          <w:szCs w:val="15"/>
          <w:color w:val="231F20"/>
        </w:rPr>
      </w:pPr>
      <w:r>
        <w:rPr>
          <w:rFonts w:ascii="Arial" w:cs="Arial" w:eastAsia="Arial" w:hAnsi="Arial"/>
          <w:sz w:val="15"/>
          <w:szCs w:val="15"/>
          <w:color w:val="231F20"/>
        </w:rPr>
        <w:t xml:space="preserve">Services include </w:t>
      </w:r>
      <w:r>
        <w:rPr>
          <w:rFonts w:ascii="Arial" w:cs="Arial" w:eastAsia="Arial" w:hAnsi="Arial"/>
          <w:sz w:val="15"/>
          <w:szCs w:val="15"/>
          <w:color w:val="000000"/>
        </w:rPr>
        <w:t>VeroGrafters</w:t>
      </w:r>
      <w:r>
        <w:rPr>
          <w:rFonts w:ascii="Arial" w:cs="Arial" w:eastAsia="Arial" w:hAnsi="Arial"/>
          <w:sz w:val="15"/>
          <w:szCs w:val="15"/>
          <w:color w:val="3C4043"/>
        </w:rPr>
        <w:t>™</w:t>
      </w:r>
      <w:r>
        <w:rPr>
          <w:rFonts w:ascii="Arial" w:cs="Arial" w:eastAsia="Arial" w:hAnsi="Arial"/>
          <w:sz w:val="15"/>
          <w:szCs w:val="15"/>
          <w:color w:val="231F20"/>
        </w:rPr>
        <w:t xml:space="preserve"> technician services, 2two5 ad agency services and extended warranty sales.</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231F20"/>
        </w:rPr>
        <w:t>Comparison of the Three Months Ended September 30, 2020 and 2019</w:t>
      </w:r>
    </w:p>
    <w:p>
      <w:pPr>
        <w:spacing w:after="0" w:line="214"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Revenues</w:t>
      </w:r>
    </w:p>
    <w:p>
      <w:pPr>
        <w:spacing w:after="0" w:line="273" w:lineRule="exact"/>
        <w:rPr>
          <w:sz w:val="20"/>
          <w:szCs w:val="20"/>
          <w:color w:val="auto"/>
        </w:rPr>
      </w:pPr>
    </w:p>
    <w:tbl>
      <w:tblPr>
        <w:tblLayout w:type="fixed"/>
        <w:tblInd w:w="1689" w:type="dxa"/>
        <w:tblCellMar>
          <w:top w:w="0" w:type="dxa"/>
          <w:left w:w="0" w:type="dxa"/>
          <w:bottom w:w="0" w:type="dxa"/>
          <w:right w:w="0" w:type="dxa"/>
        </w:tblCellMar>
      </w:tblPr>
      <w:tr>
        <w:trPr>
          <w:trHeight w:val="145"/>
        </w:trPr>
        <w:tc>
          <w:tcPr>
            <w:tcW w:w="3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8"/>
          </w:tcPr>
          <w:p>
            <w:pPr>
              <w:jc w:val="right"/>
              <w:ind w:right="467"/>
              <w:spacing w:after="0"/>
              <w:rPr>
                <w:sz w:val="20"/>
                <w:szCs w:val="20"/>
                <w:color w:val="auto"/>
              </w:rPr>
            </w:pPr>
            <w:r>
              <w:rPr>
                <w:rFonts w:ascii="Arial" w:cs="Arial" w:eastAsia="Arial" w:hAnsi="Arial"/>
                <w:sz w:val="12"/>
                <w:szCs w:val="12"/>
                <w:b w:val="1"/>
                <w:bCs w:val="1"/>
                <w:color w:val="auto"/>
              </w:rPr>
              <w:t>Three Months Ended September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restart"/>
          </w:tcPr>
          <w:p>
            <w:pPr>
              <w:ind w:left="340"/>
              <w:spacing w:after="0"/>
              <w:rPr>
                <w:sz w:val="20"/>
                <w:szCs w:val="20"/>
                <w:color w:val="auto"/>
              </w:rPr>
            </w:pPr>
            <w:r>
              <w:rPr>
                <w:rFonts w:ascii="Arial" w:cs="Arial" w:eastAsia="Arial" w:hAnsi="Arial"/>
                <w:sz w:val="12"/>
                <w:szCs w:val="12"/>
                <w:b w:val="1"/>
                <w:bCs w:val="1"/>
                <w:color w:val="auto"/>
              </w:rPr>
              <w:t>Change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 except percentages)</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230"/>
              <w:spacing w:after="0" w:line="128"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90"/>
              </w:rPr>
              <w:t>% of Total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229"/>
              <w:spacing w:after="0" w:line="128"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90"/>
              </w:rPr>
              <w:t>% of Total</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ind w:right="229"/>
              <w:spacing w:after="0" w:line="128"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ind w:right="187"/>
              <w:spacing w:after="0" w:line="128"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260" w:type="dxa"/>
            <w:vAlign w:val="bottom"/>
            <w:shd w:val="clear" w:color="auto" w:fill="CFF0FC"/>
          </w:tcPr>
          <w:p>
            <w:pPr>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tcPr>
          <w:p>
            <w:pPr>
              <w:ind w:left="100"/>
              <w:spacing w:after="0"/>
              <w:rPr>
                <w:sz w:val="20"/>
                <w:szCs w:val="20"/>
                <w:color w:val="auto"/>
              </w:rPr>
            </w:pPr>
            <w:r>
              <w:rPr>
                <w:rFonts w:ascii="Arial" w:cs="Arial" w:eastAsia="Arial" w:hAnsi="Arial"/>
                <w:sz w:val="15"/>
                <w:szCs w:val="15"/>
                <w:color w:val="auto"/>
              </w:rPr>
              <w:t>Subscription—Systems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9,431</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45.6</w:t>
            </w:r>
          </w:p>
        </w:tc>
        <w:tc>
          <w:tcPr>
            <w:tcW w:w="1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16,427</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62.8</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(6,996)</w:t>
            </w:r>
          </w:p>
        </w:tc>
        <w:tc>
          <w:tcPr>
            <w:tcW w:w="2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(42.6)</w:t>
            </w:r>
          </w:p>
        </w:tc>
        <w:tc>
          <w:tcPr>
            <w:tcW w:w="0" w:type="dxa"/>
            <w:vAlign w:val="bottom"/>
          </w:tcPr>
          <w:p>
            <w:pPr>
              <w:spacing w:after="0"/>
              <w:rPr>
                <w:sz w:val="1"/>
                <w:szCs w:val="1"/>
                <w:color w:val="auto"/>
              </w:rPr>
            </w:pPr>
          </w:p>
        </w:tc>
      </w:tr>
      <w:tr>
        <w:trPr>
          <w:trHeight w:val="194"/>
        </w:trPr>
        <w:tc>
          <w:tcPr>
            <w:tcW w:w="32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Products—Systems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7,503</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36.3</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7,105</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27.2</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398</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tcPr>
          <w:p>
            <w:pPr>
              <w:ind w:left="100"/>
              <w:spacing w:after="0"/>
              <w:rPr>
                <w:sz w:val="20"/>
                <w:szCs w:val="20"/>
                <w:color w:val="auto"/>
              </w:rPr>
            </w:pPr>
            <w:r>
              <w:rPr>
                <w:rFonts w:ascii="Arial" w:cs="Arial" w:eastAsia="Arial" w:hAnsi="Arial"/>
                <w:sz w:val="15"/>
                <w:szCs w:val="15"/>
                <w:color w:val="auto"/>
              </w:rPr>
              <w:t>Products—Other</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2,631</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1,167</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1,464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125.4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Services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1,115</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1,455</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(340)</w:t>
            </w:r>
          </w:p>
        </w:tc>
        <w:tc>
          <w:tcPr>
            <w:tcW w:w="2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6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20,680</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4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26,154</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(5,474)</w:t>
            </w:r>
          </w:p>
        </w:tc>
        <w:tc>
          <w:tcPr>
            <w:tcW w:w="2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9"/>
        <w:spacing w:after="0" w:line="278" w:lineRule="auto"/>
        <w:rPr>
          <w:sz w:val="20"/>
          <w:szCs w:val="20"/>
          <w:color w:val="auto"/>
        </w:rPr>
      </w:pPr>
      <w:r>
        <w:rPr>
          <w:rFonts w:ascii="Arial" w:cs="Arial" w:eastAsia="Arial" w:hAnsi="Arial"/>
          <w:sz w:val="14"/>
          <w:szCs w:val="14"/>
          <w:color w:val="auto"/>
        </w:rPr>
        <w:t>Total revenue decreased by $5.5 million, or 20.9%, to $20.7 million for the three months ended September 30, 2020 from $26.2 million for the three months ended September 30, 2019. The decrease in revenue was a result of decreased revenue in the United States of $2.3 million and decreased revenue in international markets of $3.2 million. The decrease in revenue in both the United States and international markets was driven by COVID-19 related lockdown measures or restrictions imposed by federal and state governments, a reduction in procedures at the clinic level caused by additional COVID-19 safety protocols, and a general reluctance on the part of some consumers to undergo non-essential aesthetic procedures given the risks presented by COVID-19. These disruptions and the resultant uncertainty at the clinic level negatively impacted our ability to sell into our customary channels in both the United States and international markets. Although our selling efforts were hampered by target customer concerns in making capital outlays given the economic uncertainty, this became less of an obstacle towards the months of August and September of 2020 as we experienced a more robust sales trend in most markets.</w:t>
      </w:r>
    </w:p>
    <w:p>
      <w:pPr>
        <w:spacing w:after="0" w:line="148" w:lineRule="exact"/>
        <w:rPr>
          <w:sz w:val="20"/>
          <w:szCs w:val="20"/>
          <w:color w:val="auto"/>
        </w:rPr>
      </w:pPr>
    </w:p>
    <w:p>
      <w:pPr>
        <w:ind w:left="9" w:right="20"/>
        <w:spacing w:after="0" w:line="265" w:lineRule="auto"/>
        <w:rPr>
          <w:sz w:val="20"/>
          <w:szCs w:val="20"/>
          <w:color w:val="auto"/>
        </w:rPr>
      </w:pPr>
      <w:r>
        <w:rPr>
          <w:rFonts w:ascii="Arial" w:cs="Arial" w:eastAsia="Arial" w:hAnsi="Arial"/>
          <w:sz w:val="15"/>
          <w:szCs w:val="15"/>
          <w:color w:val="auto"/>
        </w:rPr>
        <w:t>We sold an aggregate of 333 systems in the three months ended September 30, 2020 compared to 655 in the three months ended September 30, 2019. The percentage of systems revenue derived from our subscription model was approximately 55.7% in the three months ended September 30, 2020 compared to 69.8% in the three months ended September 30, 2019. The percentage decline is attributable to ARTAS® systems which are not sold under our subscription model.</w:t>
      </w:r>
    </w:p>
    <w:p>
      <w:pPr>
        <w:spacing w:after="0" w:line="156" w:lineRule="exact"/>
        <w:rPr>
          <w:sz w:val="20"/>
          <w:szCs w:val="20"/>
          <w:color w:val="auto"/>
        </w:rPr>
      </w:pPr>
    </w:p>
    <w:p>
      <w:pPr>
        <w:ind w:left="9" w:right="140"/>
        <w:spacing w:after="0" w:line="265" w:lineRule="auto"/>
        <w:rPr>
          <w:sz w:val="20"/>
          <w:szCs w:val="20"/>
          <w:color w:val="auto"/>
        </w:rPr>
      </w:pPr>
      <w:r>
        <w:rPr>
          <w:rFonts w:ascii="Arial" w:cs="Arial" w:eastAsia="Arial" w:hAnsi="Arial"/>
          <w:sz w:val="15"/>
          <w:szCs w:val="15"/>
          <w:color w:val="auto"/>
        </w:rPr>
        <w:t>Other product revenue increased by $1.4 million, or 125.4%, to $2.6 million in the three months ended September 30, 2020 from $1.2 million in the three months ended September 30, 2019. The increase was driven by sales of ARTAS procedure kits partially offset by the impact of COVID-19 related lockdown restrictions and shelter-in-place orders imposed by federal, state, and local governments.</w:t>
      </w:r>
    </w:p>
    <w:p>
      <w:pPr>
        <w:spacing w:after="0" w:line="156" w:lineRule="exact"/>
        <w:rPr>
          <w:sz w:val="20"/>
          <w:szCs w:val="20"/>
          <w:color w:val="auto"/>
        </w:rPr>
      </w:pPr>
    </w:p>
    <w:p>
      <w:pPr>
        <w:jc w:val="both"/>
        <w:ind w:left="9" w:right="140"/>
        <w:spacing w:after="0" w:line="293" w:lineRule="auto"/>
        <w:rPr>
          <w:sz w:val="20"/>
          <w:szCs w:val="20"/>
          <w:color w:val="auto"/>
        </w:rPr>
      </w:pPr>
      <w:r>
        <w:rPr>
          <w:rFonts w:ascii="Arial" w:cs="Arial" w:eastAsia="Arial" w:hAnsi="Arial"/>
          <w:sz w:val="14"/>
          <w:szCs w:val="14"/>
          <w:color w:val="auto"/>
        </w:rPr>
        <w:t>Services revenue decreased by $0.4 million, or 23.4%, to $1.1 million in the three months ended September 30, 2020 from $1.5 million in the three months ended September 30, 2019. The decrease was driven by COVID-19 related restrictions imposed by federal, state, and local governments resulting in a decline in VeroGrafters™ technician services along with the suspension of operations of the 2two5 marketing services offset by additional warranty revenue on ARTAS® systems.</w:t>
      </w:r>
    </w:p>
    <w:p>
      <w:pPr>
        <w:spacing w:after="0" w:line="319"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851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9"/>
          </w:cols>
          <w:pgMar w:left="311" w:top="482" w:right="359" w:bottom="1440" w:gutter="0" w:footer="0" w:header="0"/>
        </w:sectPr>
      </w:pPr>
    </w:p>
    <w:bookmarkStart w:id="41" w:name="page42"/>
    <w:bookmarkEnd w:id="41"/>
    <w:p>
      <w:pPr>
        <w:spacing w:after="0"/>
        <w:rPr>
          <w:sz w:val="20"/>
          <w:szCs w:val="20"/>
          <w:color w:val="auto"/>
        </w:rPr>
      </w:pPr>
      <w:r>
        <w:rPr>
          <w:rFonts w:ascii="Arial" w:cs="Arial" w:eastAsia="Arial" w:hAnsi="Arial"/>
          <w:sz w:val="15"/>
          <w:szCs w:val="15"/>
          <w:i w:val="1"/>
          <w:iCs w:val="1"/>
          <w:color w:val="auto"/>
        </w:rPr>
        <w:t>Cost of Goods Sold and Gross Profit</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Cost of goods sold decreased by $0.2 million, or 2.8%, to $7.2 million in the three months ended September 30, 2020, from $7.4 million in the three months ended September 30, 2019. Gross profit decreased by $5.3 million, or 28.1%, to $13.5 million in the three months ended September 30, 2020, as compared to $18.8 million in the three months ended September 30, 2019. The decrease in gross profit is primarily due to lower revenues due to COVID-19 related disruptions and restrictions imposed by federal and local governments in countries and markets we operate. Gross margin was 65.3% of revenue in the three months ended September 30, 2020, compared to 71.8% of revenue in the three months ended September 30, 2019. The decrease in gross profit percentage is primarily mix driven, with a strong performance of our robotic ARTAS® systems in the third quarter of 2020, which were sold at slightly lower margins than our other systems.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expenses</w:t>
      </w:r>
    </w:p>
    <w:p>
      <w:pPr>
        <w:spacing w:after="0" w:line="273" w:lineRule="exact"/>
        <w:rPr>
          <w:sz w:val="20"/>
          <w:szCs w:val="20"/>
          <w:color w:val="auto"/>
        </w:rPr>
      </w:pPr>
    </w:p>
    <w:tbl>
      <w:tblPr>
        <w:tblLayout w:type="fixed"/>
        <w:tblInd w:w="880" w:type="dxa"/>
        <w:tblCellMar>
          <w:top w:w="0" w:type="dxa"/>
          <w:left w:w="0" w:type="dxa"/>
          <w:bottom w:w="0" w:type="dxa"/>
          <w:right w:w="0" w:type="dxa"/>
        </w:tblCellMar>
      </w:tblPr>
      <w:tr>
        <w:trPr>
          <w:trHeight w:val="145"/>
        </w:trPr>
        <w:tc>
          <w:tcPr>
            <w:tcW w:w="2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2"/>
                <w:szCs w:val="12"/>
                <w:b w:val="1"/>
                <w:bCs w:val="1"/>
                <w:color w:val="auto"/>
                <w:w w:val="92"/>
              </w:rPr>
              <w:t>Three Months Ended September 30,</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20"/>
              <w:spacing w:after="0" w:line="128" w:lineRule="exact"/>
              <w:rPr>
                <w:sz w:val="20"/>
                <w:szCs w:val="20"/>
                <w:color w:val="auto"/>
              </w:rPr>
            </w:pPr>
            <w:r>
              <w:rPr>
                <w:rFonts w:ascii="Arial" w:cs="Arial" w:eastAsia="Arial" w:hAnsi="Arial"/>
                <w:sz w:val="12"/>
                <w:szCs w:val="12"/>
                <w:b w:val="1"/>
                <w:bCs w:val="1"/>
                <w:color w:val="auto"/>
              </w:rPr>
              <w:t>2020</w:t>
            </w:r>
          </w:p>
        </w:tc>
        <w:tc>
          <w:tcPr>
            <w:tcW w:w="8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100"/>
              <w:spacing w:after="0" w:line="128" w:lineRule="exact"/>
              <w:rPr>
                <w:sz w:val="20"/>
                <w:szCs w:val="20"/>
                <w:color w:val="auto"/>
              </w:rPr>
            </w:pPr>
            <w:r>
              <w:rPr>
                <w:rFonts w:ascii="Arial" w:cs="Arial" w:eastAsia="Arial" w:hAnsi="Arial"/>
                <w:sz w:val="12"/>
                <w:szCs w:val="12"/>
                <w:b w:val="1"/>
                <w:bCs w:val="1"/>
                <w:color w:val="auto"/>
              </w:rPr>
              <w:t>2019</w:t>
            </w: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ind w:left="560"/>
              <w:spacing w:after="0" w:line="128" w:lineRule="exact"/>
              <w:rPr>
                <w:sz w:val="20"/>
                <w:szCs w:val="20"/>
                <w:color w:val="auto"/>
              </w:rPr>
            </w:pPr>
            <w:r>
              <w:rPr>
                <w:rFonts w:ascii="Arial" w:cs="Arial" w:eastAsia="Arial" w:hAnsi="Arial"/>
                <w:sz w:val="12"/>
                <w:szCs w:val="12"/>
                <w:b w:val="1"/>
                <w:bCs w:val="1"/>
                <w:color w:val="auto"/>
              </w:rPr>
              <w:t>Change</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00" w:type="dxa"/>
            <w:vAlign w:val="bottom"/>
            <w:vMerge w:val="restart"/>
          </w:tcPr>
          <w:p>
            <w:pPr>
              <w:spacing w:after="0"/>
              <w:rPr>
                <w:sz w:val="20"/>
                <w:szCs w:val="20"/>
                <w:color w:val="auto"/>
              </w:rPr>
            </w:pPr>
            <w:r>
              <w:rPr>
                <w:rFonts w:ascii="Arial" w:cs="Arial" w:eastAsia="Arial" w:hAnsi="Arial"/>
                <w:sz w:val="12"/>
                <w:szCs w:val="12"/>
                <w:b w:val="1"/>
                <w:bCs w:val="1"/>
                <w:color w:val="auto"/>
              </w:rPr>
              <w:t>(in thousands, except percentages)</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restart"/>
          </w:tcPr>
          <w:p>
            <w:pPr>
              <w:jc w:val="right"/>
              <w:ind w:right="36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jc w:val="right"/>
              <w:ind w:right="251"/>
              <w:spacing w:after="0" w:line="108" w:lineRule="exact"/>
              <w:rPr>
                <w:sz w:val="20"/>
                <w:szCs w:val="20"/>
                <w:color w:val="auto"/>
              </w:rPr>
            </w:pPr>
            <w:r>
              <w:rPr>
                <w:rFonts w:ascii="Arial" w:cs="Arial" w:eastAsia="Arial" w:hAnsi="Arial"/>
                <w:sz w:val="12"/>
                <w:szCs w:val="12"/>
                <w:b w:val="1"/>
                <w:bCs w:val="1"/>
                <w:color w:val="auto"/>
              </w:rPr>
              <w:t>% of</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restart"/>
          </w:tcPr>
          <w:p>
            <w:pPr>
              <w:jc w:val="right"/>
              <w:ind w:right="369"/>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ind w:right="269"/>
              <w:spacing w:after="0" w:line="108" w:lineRule="exact"/>
              <w:rPr>
                <w:sz w:val="20"/>
                <w:szCs w:val="20"/>
                <w:color w:val="auto"/>
              </w:rPr>
            </w:pPr>
            <w:r>
              <w:rPr>
                <w:rFonts w:ascii="Arial" w:cs="Arial" w:eastAsia="Arial" w:hAnsi="Arial"/>
                <w:sz w:val="12"/>
                <w:szCs w:val="12"/>
                <w:b w:val="1"/>
                <w:bCs w:val="1"/>
                <w:color w:val="auto"/>
              </w:rPr>
              <w:t>% of</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vMerge w:val="restart"/>
          </w:tcPr>
          <w:p>
            <w:pPr>
              <w:jc w:val="right"/>
              <w:ind w:right="38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jc w:val="right"/>
              <w:ind w:right="327"/>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4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right"/>
              <w:ind w:right="131"/>
              <w:spacing w:after="0"/>
              <w:rPr>
                <w:sz w:val="20"/>
                <w:szCs w:val="20"/>
                <w:color w:val="auto"/>
              </w:rPr>
            </w:pPr>
            <w:r>
              <w:rPr>
                <w:rFonts w:ascii="Arial" w:cs="Arial" w:eastAsia="Arial" w:hAnsi="Arial"/>
                <w:sz w:val="12"/>
                <w:szCs w:val="12"/>
                <w:b w:val="1"/>
                <w:bCs w:val="1"/>
                <w:color w:val="auto"/>
              </w:rPr>
              <w:t>Revenues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49"/>
              <w:spacing w:after="0"/>
              <w:rPr>
                <w:sz w:val="20"/>
                <w:szCs w:val="20"/>
                <w:color w:val="auto"/>
              </w:rPr>
            </w:pPr>
            <w:r>
              <w:rPr>
                <w:rFonts w:ascii="Arial" w:cs="Arial" w:eastAsia="Arial" w:hAnsi="Arial"/>
                <w:sz w:val="12"/>
                <w:szCs w:val="12"/>
                <w:b w:val="1"/>
                <w:bCs w:val="1"/>
                <w:color w:val="auto"/>
                <w:w w:val="98"/>
              </w:rPr>
              <w:t>Revenues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40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w:t>
            </w: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tcPr>
          <w:p>
            <w:pPr>
              <w:ind w:left="100"/>
              <w:spacing w:after="0"/>
              <w:rPr>
                <w:sz w:val="20"/>
                <w:szCs w:val="20"/>
                <w:color w:val="auto"/>
              </w:rPr>
            </w:pPr>
            <w:r>
              <w:rPr>
                <w:rFonts w:ascii="Arial" w:cs="Arial" w:eastAsia="Arial" w:hAnsi="Arial"/>
                <w:sz w:val="15"/>
                <w:szCs w:val="15"/>
                <w:color w:val="auto"/>
              </w:rPr>
              <w:t>Selling and marketing</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5,657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27.4</w:t>
            </w:r>
          </w:p>
        </w:tc>
        <w:tc>
          <w:tcPr>
            <w:tcW w:w="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9,201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35.2</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(3,544)</w:t>
            </w:r>
          </w:p>
        </w:tc>
        <w:tc>
          <w:tcPr>
            <w:tcW w:w="22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194"/>
        </w:trPr>
        <w:tc>
          <w:tcPr>
            <w:tcW w:w="24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General and administrative</w:t>
            </w: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11,291</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54.6</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14,445</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55.2</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(3,154)</w:t>
            </w:r>
          </w:p>
        </w:tc>
        <w:tc>
          <w:tcPr>
            <w:tcW w:w="2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CFF0FC"/>
            </w:tcBorders>
          </w:tcPr>
          <w:p>
            <w:pPr>
              <w:ind w:left="100"/>
              <w:spacing w:after="0"/>
              <w:rPr>
                <w:sz w:val="20"/>
                <w:szCs w:val="20"/>
                <w:color w:val="auto"/>
              </w:rPr>
            </w:pPr>
            <w:r>
              <w:rPr>
                <w:rFonts w:ascii="Arial" w:cs="Arial" w:eastAsia="Arial" w:hAnsi="Arial"/>
                <w:sz w:val="15"/>
                <w:szCs w:val="15"/>
                <w:color w:val="auto"/>
              </w:rPr>
              <w:t>Research and development</w:t>
            </w:r>
          </w:p>
        </w:tc>
        <w:tc>
          <w:tcPr>
            <w:tcW w:w="6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1,849</w:t>
            </w:r>
          </w:p>
        </w:tc>
        <w:tc>
          <w:tcPr>
            <w:tcW w:w="18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w:t>
            </w:r>
          </w:p>
        </w:tc>
        <w:tc>
          <w:tcPr>
            <w:tcW w:w="1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1,686</w:t>
            </w:r>
          </w:p>
        </w:tc>
        <w:tc>
          <w:tcPr>
            <w:tcW w:w="2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w:t>
            </w:r>
          </w:p>
        </w:tc>
        <w:tc>
          <w:tcPr>
            <w:tcW w:w="1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operating expenses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18,797</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90.9</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25,332</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96.8</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(6,535)</w:t>
            </w:r>
          </w:p>
        </w:tc>
        <w:tc>
          <w:tcPr>
            <w:tcW w:w="2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i w:val="1"/>
          <w:iCs w:val="1"/>
          <w:color w:val="auto"/>
        </w:rPr>
        <w:t>Selling and Marketing</w:t>
      </w:r>
      <w:r>
        <w:rPr>
          <w:rFonts w:ascii="Arial" w:cs="Arial" w:eastAsia="Arial" w:hAnsi="Arial"/>
          <w:sz w:val="14"/>
          <w:szCs w:val="14"/>
          <w:color w:val="auto"/>
        </w:rPr>
        <w:t>. Selling and marketing expenses decreased by 38.5% in the three months ended September 30, 2020 compared to the three months ended September 30, 2019.</w:t>
      </w:r>
      <w:r>
        <w:rPr>
          <w:rFonts w:ascii="Arial" w:cs="Arial" w:eastAsia="Arial" w:hAnsi="Arial"/>
          <w:sz w:val="14"/>
          <w:szCs w:val="14"/>
          <w:i w:val="1"/>
          <w:iCs w:val="1"/>
          <w:color w:val="auto"/>
        </w:rPr>
        <w:t xml:space="preserve"> </w:t>
      </w:r>
      <w:r>
        <w:rPr>
          <w:rFonts w:ascii="Arial" w:cs="Arial" w:eastAsia="Arial" w:hAnsi="Arial"/>
          <w:sz w:val="14"/>
          <w:szCs w:val="14"/>
          <w:color w:val="auto"/>
        </w:rPr>
        <w:t>This decrease was attributable primarily to reduced selling commissions as a result of lower sales in the third quarter of 2020, lower salaries and other compensation expenses as a result of our restructuring program and reduced pay for some employees as a result of our efforts to reduce the impact of COVID-19. Selling and marketing expenses were also affected by reduced travel costs and lower marketing costs as a result of reduced business activities caused by COVID-19. As a percentage of total revenues, our selling and marketing expenses decreased by 7.8%, from 35.2% in the three months ended September 30, 2019 to 27.4% in the three months ended September 30, 2020. As the business environment improves, we expect selling and marketing expenses to increase, but at a rate slightly below our rate of revenue growth.</w:t>
      </w:r>
    </w:p>
    <w:p>
      <w:pPr>
        <w:spacing w:after="0" w:line="149"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expenses decreased by 21.8% in the three months ended September 30, 2020 compared to the three months ended September 30,</w:t>
      </w:r>
      <w:r>
        <w:rPr>
          <w:rFonts w:ascii="Arial" w:cs="Arial" w:eastAsia="Arial" w:hAnsi="Arial"/>
          <w:sz w:val="14"/>
          <w:szCs w:val="14"/>
          <w:i w:val="1"/>
          <w:iCs w:val="1"/>
          <w:color w:val="auto"/>
        </w:rPr>
        <w:t xml:space="preserve"> </w:t>
      </w:r>
      <w:r>
        <w:rPr>
          <w:rFonts w:ascii="Arial" w:cs="Arial" w:eastAsia="Arial" w:hAnsi="Arial"/>
          <w:sz w:val="14"/>
          <w:szCs w:val="14"/>
          <w:color w:val="auto"/>
        </w:rPr>
        <w:t>2019. This decrease was attributable to the professional fees incurred as a result of the Merger in the three months ended September 30, 2019, partially offset by an increase in bad debt expense primarily as a result of COVID-19, and additional amortization of intangible assets recognized on the business combination with Venus Concept Ltd. As a percentage of total revenues, our general and administrative expenses decreased by 0.6%, from 55.2% in the three months ended September 30, 2019, to 54.6% in the three months ended September 30, 2020, primarily due to due to lower expenses resulting from reduced legal and professional fees and COVID-19 cost containment measures.</w:t>
      </w:r>
    </w:p>
    <w:p>
      <w:pPr>
        <w:spacing w:after="0" w:line="144"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i w:val="1"/>
          <w:iCs w:val="1"/>
          <w:color w:val="auto"/>
        </w:rPr>
        <w:t>Research and Development</w:t>
      </w:r>
      <w:r>
        <w:rPr>
          <w:rFonts w:ascii="Arial" w:cs="Arial" w:eastAsia="Arial" w:hAnsi="Arial"/>
          <w:sz w:val="15"/>
          <w:szCs w:val="15"/>
          <w:color w:val="auto"/>
        </w:rPr>
        <w:t>. Research and development expenses increased by 9.7% in the three months ended September 30, 2020 compared to the three months ended September 30,</w:t>
      </w:r>
      <w:r>
        <w:rPr>
          <w:rFonts w:ascii="Arial" w:cs="Arial" w:eastAsia="Arial" w:hAnsi="Arial"/>
          <w:sz w:val="15"/>
          <w:szCs w:val="15"/>
          <w:i w:val="1"/>
          <w:iCs w:val="1"/>
          <w:color w:val="auto"/>
        </w:rPr>
        <w:t xml:space="preserve"> </w:t>
      </w:r>
      <w:r>
        <w:rPr>
          <w:rFonts w:ascii="Arial" w:cs="Arial" w:eastAsia="Arial" w:hAnsi="Arial"/>
          <w:sz w:val="15"/>
          <w:szCs w:val="15"/>
          <w:color w:val="auto"/>
        </w:rPr>
        <w:t>2019. As a percentage of total revenues, our research and development expenses increased by 2.5%, from 6.4% in the three months ended September 30, 2019, to 8.9% in the three months ended September 30, 2020. The increase in the research and development expense is attributable to the additional expenses incurred for the ARTAS iX</w:t>
      </w:r>
      <w:r>
        <w:rPr>
          <w:rFonts w:ascii="Arial" w:cs="Arial" w:eastAsia="Arial" w:hAnsi="Arial"/>
          <w:sz w:val="12"/>
          <w:szCs w:val="12"/>
          <w:color w:val="auto"/>
        </w:rPr>
        <w:t>TM</w:t>
      </w:r>
      <w:r>
        <w:rPr>
          <w:rFonts w:ascii="Arial" w:cs="Arial" w:eastAsia="Arial" w:hAnsi="Arial"/>
          <w:sz w:val="15"/>
          <w:szCs w:val="15"/>
          <w:color w:val="auto"/>
        </w:rPr>
        <w:t xml:space="preserve"> System research and development program acquired through the Merger in November 2019.</w:t>
      </w:r>
    </w:p>
    <w:p>
      <w:pPr>
        <w:spacing w:after="0" w:line="158"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i w:val="1"/>
          <w:iCs w:val="1"/>
          <w:color w:val="auto"/>
        </w:rPr>
        <w:t xml:space="preserve">Foreign exchange income. </w:t>
      </w:r>
      <w:r>
        <w:rPr>
          <w:rFonts w:ascii="Arial" w:cs="Arial" w:eastAsia="Arial" w:hAnsi="Arial"/>
          <w:sz w:val="15"/>
          <w:szCs w:val="15"/>
          <w:color w:val="auto"/>
        </w:rPr>
        <w:t>We had a foreign exchange loss of $1.1 million in the three months ended September 30, 2020 and foreign exchange loss of $0.4 million in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2019. Changes in foreign exchange in the three months ended September 30, 2020 are driven mainly by the effect of foreign exchange effect on accounts receivable balances denominated in currencies other than the US dollar. We do not currently hedge against foreign currency risk.</w:t>
      </w:r>
    </w:p>
    <w:p>
      <w:pPr>
        <w:spacing w:after="0" w:line="156" w:lineRule="exact"/>
        <w:rPr>
          <w:sz w:val="20"/>
          <w:szCs w:val="20"/>
          <w:color w:val="auto"/>
        </w:rPr>
      </w:pPr>
    </w:p>
    <w:p>
      <w:pPr>
        <w:spacing w:after="0" w:line="358" w:lineRule="auto"/>
        <w:rPr>
          <w:sz w:val="20"/>
          <w:szCs w:val="20"/>
          <w:color w:val="auto"/>
        </w:rPr>
      </w:pPr>
      <w:r>
        <w:rPr>
          <w:rFonts w:ascii="Arial" w:cs="Arial" w:eastAsia="Arial" w:hAnsi="Arial"/>
          <w:sz w:val="13"/>
          <w:szCs w:val="13"/>
          <w:i w:val="1"/>
          <w:iCs w:val="1"/>
          <w:color w:val="auto"/>
        </w:rPr>
        <w:t>Finance Expenses</w:t>
      </w:r>
      <w:r>
        <w:rPr>
          <w:rFonts w:ascii="Arial" w:cs="Arial" w:eastAsia="Arial" w:hAnsi="Arial"/>
          <w:sz w:val="13"/>
          <w:szCs w:val="13"/>
          <w:color w:val="auto"/>
        </w:rPr>
        <w:t>. Finance expenses decreased by $0.2 million, from $2.1 million in the three months ended September 30, 2019, to $1.9 million in the three month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2020, mostly due to the interest recorded on the contingent earn-out liability in the three months ended September 30, 2019. See </w:t>
      </w:r>
      <w:r>
        <w:rPr>
          <w:rFonts w:ascii="Arial" w:cs="Arial" w:eastAsia="Arial" w:hAnsi="Arial"/>
          <w:sz w:val="13"/>
          <w:szCs w:val="13"/>
          <w:i w:val="1"/>
          <w:iCs w:val="1"/>
          <w:color w:val="auto"/>
        </w:rPr>
        <w:t>“—Liquidity and Capital Resources</w:t>
      </w:r>
      <w:r>
        <w:rPr>
          <w:rFonts w:ascii="Arial" w:cs="Arial" w:eastAsia="Arial" w:hAnsi="Arial"/>
          <w:sz w:val="13"/>
          <w:szCs w:val="13"/>
          <w:color w:val="auto"/>
        </w:rPr>
        <w:t>” below.</w:t>
      </w:r>
    </w:p>
    <w:p>
      <w:pPr>
        <w:spacing w:after="0" w:line="99" w:lineRule="exact"/>
        <w:rPr>
          <w:sz w:val="20"/>
          <w:szCs w:val="20"/>
          <w:color w:val="auto"/>
        </w:rPr>
      </w:pPr>
    </w:p>
    <w:p>
      <w:pPr>
        <w:ind w:right="200"/>
        <w:spacing w:after="0" w:line="293" w:lineRule="auto"/>
        <w:rPr>
          <w:sz w:val="20"/>
          <w:szCs w:val="20"/>
          <w:color w:val="auto"/>
        </w:rPr>
      </w:pPr>
      <w:r>
        <w:rPr>
          <w:rFonts w:ascii="Arial" w:cs="Arial" w:eastAsia="Arial" w:hAnsi="Arial"/>
          <w:sz w:val="14"/>
          <w:szCs w:val="14"/>
          <w:i w:val="1"/>
          <w:iCs w:val="1"/>
          <w:color w:val="auto"/>
        </w:rPr>
        <w:t xml:space="preserve">Income Taxes Benefit. </w:t>
      </w:r>
      <w:r>
        <w:rPr>
          <w:rFonts w:ascii="Arial" w:cs="Arial" w:eastAsia="Arial" w:hAnsi="Arial"/>
          <w:sz w:val="14"/>
          <w:szCs w:val="14"/>
          <w:color w:val="auto"/>
        </w:rPr>
        <w:t>We had an income taxes benefit of $1.0 million in the three months ended September 30, 2020 comparing to $0.1 million income tax benefit in the three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September 30, 2019. The tax benefit is driven by losses and the actual effective tax rates where they took place. In the third quarter of 2020, we effectively reversed some tax provision that was booked in the first quarter of 2020 due to reduced profitable sales in the second quarter of 2020 as a result of COVID-19.</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i w:val="1"/>
          <w:iCs w:val="1"/>
          <w:color w:val="auto"/>
        </w:rPr>
        <w:t>Comparison of the Nine Months Ended September 30, 2020 and 2019</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pacing w:after="0" w:line="250" w:lineRule="exact"/>
        <w:rPr>
          <w:sz w:val="20"/>
          <w:szCs w:val="20"/>
          <w:color w:val="auto"/>
        </w:rPr>
      </w:pPr>
    </w:p>
    <w:tbl>
      <w:tblPr>
        <w:tblLayout w:type="fixed"/>
        <w:tblInd w:w="1680" w:type="dxa"/>
        <w:tblCellMar>
          <w:top w:w="0" w:type="dxa"/>
          <w:left w:w="0" w:type="dxa"/>
          <w:bottom w:w="0" w:type="dxa"/>
          <w:right w:w="0" w:type="dxa"/>
        </w:tblCellMar>
      </w:tblPr>
      <w:tr>
        <w:trPr>
          <w:trHeight w:val="145"/>
        </w:trPr>
        <w:tc>
          <w:tcPr>
            <w:tcW w:w="3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8"/>
          </w:tcPr>
          <w:p>
            <w:pPr>
              <w:ind w:left="440"/>
              <w:spacing w:after="0"/>
              <w:rPr>
                <w:sz w:val="20"/>
                <w:szCs w:val="20"/>
                <w:color w:val="auto"/>
              </w:rPr>
            </w:pPr>
            <w:r>
              <w:rPr>
                <w:rFonts w:ascii="Arial" w:cs="Arial" w:eastAsia="Arial" w:hAnsi="Arial"/>
                <w:sz w:val="12"/>
                <w:szCs w:val="12"/>
                <w:b w:val="1"/>
                <w:bCs w:val="1"/>
                <w:color w:val="auto"/>
              </w:rPr>
              <w:t>Nine Months Ended 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ind w:left="380"/>
              <w:spacing w:after="0"/>
              <w:rPr>
                <w:sz w:val="20"/>
                <w:szCs w:val="20"/>
                <w:color w:val="auto"/>
              </w:rPr>
            </w:pPr>
            <w:r>
              <w:rPr>
                <w:rFonts w:ascii="Arial" w:cs="Arial" w:eastAsia="Arial" w:hAnsi="Arial"/>
                <w:sz w:val="12"/>
                <w:szCs w:val="12"/>
                <w:b w:val="1"/>
                <w:bCs w:val="1"/>
                <w:color w:val="auto"/>
              </w:rPr>
              <w:t>Change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 except percentages)</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ind w:left="440"/>
              <w:spacing w:after="0" w:line="128" w:lineRule="exact"/>
              <w:rPr>
                <w:sz w:val="20"/>
                <w:szCs w:val="20"/>
                <w:color w:val="auto"/>
              </w:rPr>
            </w:pPr>
            <w:r>
              <w:rPr>
                <w:rFonts w:ascii="Arial" w:cs="Arial" w:eastAsia="Arial" w:hAnsi="Arial"/>
                <w:sz w:val="12"/>
                <w:szCs w:val="12"/>
                <w:b w:val="1"/>
                <w:bCs w:val="1"/>
                <w:color w:val="auto"/>
                <w:w w:val="74"/>
              </w:rPr>
              <w:t>2020</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230"/>
              <w:spacing w:after="0" w:line="128"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90"/>
              </w:rPr>
              <w:t>% of Total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229"/>
              <w:spacing w:after="0" w:line="128"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90"/>
              </w:rPr>
              <w:t>% of Total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229"/>
              <w:spacing w:after="0" w:line="128"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ind w:right="187"/>
              <w:spacing w:after="0" w:line="128"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260" w:type="dxa"/>
            <w:vAlign w:val="bottom"/>
            <w:shd w:val="clear" w:color="auto" w:fill="CFF0FC"/>
          </w:tcPr>
          <w:p>
            <w:pPr>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tcPr>
          <w:p>
            <w:pPr>
              <w:ind w:left="100"/>
              <w:spacing w:after="0"/>
              <w:rPr>
                <w:sz w:val="20"/>
                <w:szCs w:val="20"/>
                <w:color w:val="auto"/>
              </w:rPr>
            </w:pPr>
            <w:r>
              <w:rPr>
                <w:rFonts w:ascii="Arial" w:cs="Arial" w:eastAsia="Arial" w:hAnsi="Arial"/>
                <w:sz w:val="15"/>
                <w:szCs w:val="15"/>
                <w:color w:val="auto"/>
              </w:rPr>
              <w:t>Subscription—Systems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23,709</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45.4</w:t>
            </w:r>
          </w:p>
        </w:tc>
        <w:tc>
          <w:tcPr>
            <w:tcW w:w="1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48,812</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62.1</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(25,103)</w:t>
            </w:r>
          </w:p>
        </w:tc>
        <w:tc>
          <w:tcPr>
            <w:tcW w:w="2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(51.4)</w:t>
            </w:r>
          </w:p>
        </w:tc>
        <w:tc>
          <w:tcPr>
            <w:tcW w:w="0" w:type="dxa"/>
            <w:vAlign w:val="bottom"/>
          </w:tcPr>
          <w:p>
            <w:pPr>
              <w:spacing w:after="0"/>
              <w:rPr>
                <w:sz w:val="1"/>
                <w:szCs w:val="1"/>
                <w:color w:val="auto"/>
              </w:rPr>
            </w:pPr>
          </w:p>
        </w:tc>
      </w:tr>
      <w:tr>
        <w:trPr>
          <w:trHeight w:val="194"/>
        </w:trPr>
        <w:tc>
          <w:tcPr>
            <w:tcW w:w="32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Products—Systems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17,758</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21,188</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(3,430)</w:t>
            </w:r>
          </w:p>
        </w:tc>
        <w:tc>
          <w:tcPr>
            <w:tcW w:w="2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192"/>
        </w:trPr>
        <w:tc>
          <w:tcPr>
            <w:tcW w:w="3260" w:type="dxa"/>
            <w:vAlign w:val="bottom"/>
          </w:tcPr>
          <w:p>
            <w:pPr>
              <w:ind w:left="100"/>
              <w:spacing w:after="0"/>
              <w:rPr>
                <w:sz w:val="20"/>
                <w:szCs w:val="20"/>
                <w:color w:val="auto"/>
              </w:rPr>
            </w:pPr>
            <w:r>
              <w:rPr>
                <w:rFonts w:ascii="Arial" w:cs="Arial" w:eastAsia="Arial" w:hAnsi="Arial"/>
                <w:sz w:val="15"/>
                <w:szCs w:val="15"/>
                <w:color w:val="auto"/>
              </w:rPr>
              <w:t>Products other</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7,136</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4,117</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3,019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73.3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Services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3,581</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4,435</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(854)</w:t>
            </w:r>
          </w:p>
        </w:tc>
        <w:tc>
          <w:tcPr>
            <w:tcW w:w="2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6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52,184</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4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78,552</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(26,368)</w:t>
            </w:r>
          </w:p>
        </w:tc>
        <w:tc>
          <w:tcPr>
            <w:tcW w:w="2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3"/>
          <w:szCs w:val="13"/>
          <w:color w:val="auto"/>
        </w:rPr>
        <w:t>Total revenue decreased by $26.4 million, or 33.6%, to $52.2 million for the nine months ended September 30, 2020 from $78.6 million for the nine months ended September 30, 2019. The decrease in revenue was a result of decreased revenue in the United States of $9.0 million and decreased revenue in international markets of $17.4 million. The decrease in revenue in both the United States and international markets was driven by COVID-19 related lockdown measures or restrictions imposed by federal and state governments, a reduction in procedures at the clinic level caused by additional COVID-19 safety protocols, and a general reluctance on the part of some consumers to undergo non-essential aesthetic procedures given the risks presented by COVID-19. These disruptions and the resultant uncertainty at the clinic level negatively impacted our ability to sell into our customary channels in both the United States and international markets. Although our selling efforts were hampered by target customer concerns in making capital outlays given the economic uncertainty, this became less of an obstacle towards the months of August and September of 2020 as we experienced a more robust sales trend in most markets.</w:t>
      </w:r>
    </w:p>
    <w:p>
      <w:pPr>
        <w:spacing w:after="0" w:line="137"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We sold an aggregate of 853 systems in the nine months ended September 30, 2020 compared to 1,846 in the nine months ended September 30, 2019. The percentage of systems revenue derived from our subscription model was approximately 57.2% in the nine months ended September 30, 2020 compared to 69.7% in the nine months ended September 30, 2019. The percentage decline is attributable to ARTAS® systems which are not sold under our subscription model.</w:t>
      </w:r>
    </w:p>
    <w:p>
      <w:pPr>
        <w:spacing w:after="0" w:line="156" w:lineRule="exact"/>
        <w:rPr>
          <w:sz w:val="20"/>
          <w:szCs w:val="20"/>
          <w:color w:val="auto"/>
        </w:rPr>
      </w:pPr>
    </w:p>
    <w:p>
      <w:pPr>
        <w:ind w:right="300"/>
        <w:spacing w:after="0" w:line="265" w:lineRule="auto"/>
        <w:rPr>
          <w:sz w:val="20"/>
          <w:szCs w:val="20"/>
          <w:color w:val="auto"/>
        </w:rPr>
      </w:pPr>
      <w:r>
        <w:rPr>
          <w:rFonts w:ascii="Arial" w:cs="Arial" w:eastAsia="Arial" w:hAnsi="Arial"/>
          <w:sz w:val="15"/>
          <w:szCs w:val="15"/>
          <w:color w:val="auto"/>
        </w:rPr>
        <w:t>Other product revenue increased by $3.0 million, or 73.3%, to $7.1 million in the nine months ended September 30, 2020 from $4.1 million in the nine months ended September 30, 2019. The increase was driven by sales of ARTAS procedure kits partially offset by the impact of COVID-19 related lockdown restrictions and shelter-in-place orders imposed by federal, state, and local governments.</w:t>
      </w:r>
    </w:p>
    <w:p>
      <w:pPr>
        <w:spacing w:after="0" w:line="156" w:lineRule="exact"/>
        <w:rPr>
          <w:sz w:val="20"/>
          <w:szCs w:val="20"/>
          <w:color w:val="auto"/>
        </w:rPr>
      </w:pPr>
    </w:p>
    <w:p>
      <w:pPr>
        <w:jc w:val="both"/>
        <w:ind w:right="160"/>
        <w:spacing w:after="0" w:line="293" w:lineRule="auto"/>
        <w:rPr>
          <w:sz w:val="20"/>
          <w:szCs w:val="20"/>
          <w:color w:val="auto"/>
        </w:rPr>
      </w:pPr>
      <w:r>
        <w:rPr>
          <w:rFonts w:ascii="Arial" w:cs="Arial" w:eastAsia="Arial" w:hAnsi="Arial"/>
          <w:sz w:val="14"/>
          <w:szCs w:val="14"/>
          <w:color w:val="auto"/>
        </w:rPr>
        <w:t>Services revenue decreased by $0.8 million, or 19.3%, to $3.6 million in the nine months ended September 30, 2020 from $4.4 million in the nine months ended September 30, 2019. The decrease was driven by COVID-19 related restrictions imposed by federal, state, and local governments resulting in a decline in VeroGrafters™ technician services along with the suspension of operations of the 2two5 marketing services in the third quarter of 2020 offset by additional warranty revenue on ARTAS® systems.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Goods Sold and Gross Profit</w:t>
      </w:r>
    </w:p>
    <w:p>
      <w:pPr>
        <w:spacing w:after="0" w:line="191" w:lineRule="exact"/>
        <w:rPr>
          <w:sz w:val="20"/>
          <w:szCs w:val="20"/>
          <w:color w:val="auto"/>
        </w:rPr>
      </w:pPr>
    </w:p>
    <w:p>
      <w:pPr>
        <w:ind w:right="40"/>
        <w:spacing w:after="0" w:line="305" w:lineRule="auto"/>
        <w:rPr>
          <w:sz w:val="20"/>
          <w:szCs w:val="20"/>
          <w:color w:val="auto"/>
        </w:rPr>
      </w:pPr>
      <w:r>
        <w:rPr>
          <w:rFonts w:ascii="Arial" w:cs="Arial" w:eastAsia="Arial" w:hAnsi="Arial"/>
          <w:sz w:val="13"/>
          <w:szCs w:val="13"/>
          <w:color w:val="auto"/>
        </w:rPr>
        <w:t>Cost of goods sold decreased by $4.1 million, or 19.1%, to $17.5 million in the nine months ended September 30, 2020, from $21.6 million in the nine months ended September 30, 2019. Gross profit decreased by $22.2 million, or 39.1%, to $34.7 million in the nine months ended September 30, 2020, as compared to $56.9 million in the nine months ended September 30, 2019. The decrease in gross profit is primarily due to lower revenues due to COVID-19 related disruptions, lockdown restrictions and shelter-in-place orders imposed by federal and local governments. Gross margin was 66.5% of revenue in the nine months ended September 30, 2020, compared to 72.4% of revenue in the nine months ended September 30, 2019. The decrease in gross profit percentage is primarily due to sales of ARTAS® systems in 2020, which were sold at slightly lower margins than our other systems, and inventory fair value adjustments recognized on the business combination with Venus Concept Ltd. expensed through cost of goods sold during the nine months ended September 30, 2020.</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0"/>
          </w:cols>
          <w:pgMar w:left="320" w:top="311" w:right="359" w:bottom="1440" w:gutter="0" w:footer="0" w:header="0"/>
        </w:sectPr>
      </w:pPr>
    </w:p>
    <w:bookmarkStart w:id="43" w:name="page44"/>
    <w:bookmarkEnd w:id="43"/>
    <w:p>
      <w:pPr>
        <w:spacing w:after="0"/>
        <w:rPr>
          <w:sz w:val="20"/>
          <w:szCs w:val="20"/>
          <w:color w:val="auto"/>
        </w:rPr>
      </w:pPr>
      <w:r>
        <w:rPr>
          <w:rFonts w:ascii="Arial" w:cs="Arial" w:eastAsia="Arial" w:hAnsi="Arial"/>
          <w:sz w:val="15"/>
          <w:szCs w:val="15"/>
          <w:i w:val="1"/>
          <w:iCs w:val="1"/>
          <w:color w:val="auto"/>
        </w:rPr>
        <w:t>Operating expenses</w:t>
      </w:r>
    </w:p>
    <w:p>
      <w:pPr>
        <w:spacing w:after="0" w:line="273" w:lineRule="exact"/>
        <w:rPr>
          <w:sz w:val="20"/>
          <w:szCs w:val="20"/>
          <w:color w:val="auto"/>
        </w:rPr>
      </w:pPr>
    </w:p>
    <w:tbl>
      <w:tblPr>
        <w:tblLayout w:type="fixed"/>
        <w:tblInd w:w="720"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2"/>
                <w:szCs w:val="12"/>
                <w:b w:val="1"/>
                <w:bCs w:val="1"/>
                <w:color w:val="auto"/>
                <w:w w:val="95"/>
              </w:rPr>
              <w:t>Nine Months Ended September 30,</w:t>
            </w:r>
          </w:p>
        </w:tc>
        <w:tc>
          <w:tcPr>
            <w:tcW w:w="9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20"/>
              <w:spacing w:after="0" w:line="128" w:lineRule="exact"/>
              <w:rPr>
                <w:sz w:val="20"/>
                <w:szCs w:val="20"/>
                <w:color w:val="auto"/>
              </w:rPr>
            </w:pPr>
            <w:r>
              <w:rPr>
                <w:rFonts w:ascii="Arial" w:cs="Arial" w:eastAsia="Arial" w:hAnsi="Arial"/>
                <w:sz w:val="12"/>
                <w:szCs w:val="12"/>
                <w:b w:val="1"/>
                <w:bCs w:val="1"/>
                <w:color w:val="auto"/>
              </w:rPr>
              <w:t>2020</w:t>
            </w: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20"/>
              <w:spacing w:after="0" w:line="128" w:lineRule="exact"/>
              <w:rPr>
                <w:sz w:val="20"/>
                <w:szCs w:val="20"/>
                <w:color w:val="auto"/>
              </w:rPr>
            </w:pPr>
            <w:r>
              <w:rPr>
                <w:rFonts w:ascii="Arial" w:cs="Arial" w:eastAsia="Arial" w:hAnsi="Arial"/>
                <w:sz w:val="12"/>
                <w:szCs w:val="12"/>
                <w:b w:val="1"/>
                <w:bCs w:val="1"/>
                <w:color w:val="auto"/>
              </w:rPr>
              <w:t>2019</w:t>
            </w: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ind w:left="540"/>
              <w:spacing w:after="0" w:line="128" w:lineRule="exact"/>
              <w:rPr>
                <w:sz w:val="20"/>
                <w:szCs w:val="20"/>
                <w:color w:val="auto"/>
              </w:rPr>
            </w:pPr>
            <w:r>
              <w:rPr>
                <w:rFonts w:ascii="Arial" w:cs="Arial" w:eastAsia="Arial" w:hAnsi="Arial"/>
                <w:sz w:val="12"/>
                <w:szCs w:val="12"/>
                <w:b w:val="1"/>
                <w:bCs w:val="1"/>
                <w:color w:val="auto"/>
              </w:rPr>
              <w:t>Change</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vMerge w:val="restart"/>
          </w:tcPr>
          <w:p>
            <w:pPr>
              <w:spacing w:after="0"/>
              <w:rPr>
                <w:sz w:val="20"/>
                <w:szCs w:val="20"/>
                <w:color w:val="auto"/>
              </w:rPr>
            </w:pPr>
            <w:r>
              <w:rPr>
                <w:rFonts w:ascii="Arial" w:cs="Arial" w:eastAsia="Arial" w:hAnsi="Arial"/>
                <w:sz w:val="12"/>
                <w:szCs w:val="12"/>
                <w:b w:val="1"/>
                <w:bCs w:val="1"/>
                <w:color w:val="auto"/>
              </w:rPr>
              <w:t>(in thousands, except percentages)</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restart"/>
          </w:tcPr>
          <w:p>
            <w:pPr>
              <w:jc w:val="right"/>
              <w:ind w:right="389"/>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920" w:type="dxa"/>
            <w:vAlign w:val="bottom"/>
          </w:tcPr>
          <w:p>
            <w:pPr>
              <w:jc w:val="right"/>
              <w:ind w:right="270"/>
              <w:spacing w:after="0" w:line="108" w:lineRule="exact"/>
              <w:rPr>
                <w:sz w:val="20"/>
                <w:szCs w:val="20"/>
                <w:color w:val="auto"/>
              </w:rPr>
            </w:pPr>
            <w:r>
              <w:rPr>
                <w:rFonts w:ascii="Arial" w:cs="Arial" w:eastAsia="Arial" w:hAnsi="Arial"/>
                <w:sz w:val="12"/>
                <w:szCs w:val="12"/>
                <w:b w:val="1"/>
                <w:bCs w:val="1"/>
                <w:color w:val="auto"/>
              </w:rPr>
              <w:t>% of</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restart"/>
          </w:tcPr>
          <w:p>
            <w:pPr>
              <w:jc w:val="right"/>
              <w:ind w:right="389"/>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920" w:type="dxa"/>
            <w:vAlign w:val="bottom"/>
          </w:tcPr>
          <w:p>
            <w:pPr>
              <w:jc w:val="right"/>
              <w:ind w:right="269"/>
              <w:spacing w:after="0" w:line="108" w:lineRule="exact"/>
              <w:rPr>
                <w:sz w:val="20"/>
                <w:szCs w:val="20"/>
                <w:color w:val="auto"/>
              </w:rPr>
            </w:pPr>
            <w:r>
              <w:rPr>
                <w:rFonts w:ascii="Arial" w:cs="Arial" w:eastAsia="Arial" w:hAnsi="Arial"/>
                <w:sz w:val="12"/>
                <w:szCs w:val="12"/>
                <w:b w:val="1"/>
                <w:bCs w:val="1"/>
                <w:color w:val="auto"/>
              </w:rPr>
              <w:t>% of</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restart"/>
          </w:tcPr>
          <w:p>
            <w:pPr>
              <w:jc w:val="right"/>
              <w:ind w:right="36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vMerge w:val="restart"/>
          </w:tcPr>
          <w:p>
            <w:pPr>
              <w:jc w:val="right"/>
              <w:ind w:right="327"/>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4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150"/>
              <w:spacing w:after="0"/>
              <w:rPr>
                <w:sz w:val="20"/>
                <w:szCs w:val="20"/>
                <w:color w:val="auto"/>
              </w:rPr>
            </w:pPr>
            <w:r>
              <w:rPr>
                <w:rFonts w:ascii="Arial" w:cs="Arial" w:eastAsia="Arial" w:hAnsi="Arial"/>
                <w:sz w:val="12"/>
                <w:szCs w:val="12"/>
                <w:b w:val="1"/>
                <w:bCs w:val="1"/>
                <w:color w:val="auto"/>
              </w:rPr>
              <w:t>Revenues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149"/>
              <w:spacing w:after="0"/>
              <w:rPr>
                <w:sz w:val="20"/>
                <w:szCs w:val="20"/>
                <w:color w:val="auto"/>
              </w:rPr>
            </w:pPr>
            <w:r>
              <w:rPr>
                <w:rFonts w:ascii="Arial" w:cs="Arial" w:eastAsia="Arial" w:hAnsi="Arial"/>
                <w:sz w:val="12"/>
                <w:szCs w:val="12"/>
                <w:b w:val="1"/>
                <w:bCs w:val="1"/>
                <w:color w:val="auto"/>
              </w:rPr>
              <w:t>Revenues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48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w:t>
            </w:r>
          </w:p>
        </w:tc>
        <w:tc>
          <w:tcPr>
            <w:tcW w:w="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100"/>
              <w:spacing w:after="0"/>
              <w:rPr>
                <w:sz w:val="20"/>
                <w:szCs w:val="20"/>
                <w:color w:val="auto"/>
              </w:rPr>
            </w:pPr>
            <w:r>
              <w:rPr>
                <w:rFonts w:ascii="Arial" w:cs="Arial" w:eastAsia="Arial" w:hAnsi="Arial"/>
                <w:sz w:val="15"/>
                <w:szCs w:val="15"/>
                <w:color w:val="auto"/>
              </w:rPr>
              <w:t>Selling and marketing</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18,813</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36.1</w:t>
            </w: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28,983</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36.9</w:t>
            </w:r>
          </w:p>
        </w:tc>
        <w:tc>
          <w:tcPr>
            <w:tcW w:w="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(10,170)</w:t>
            </w:r>
          </w:p>
        </w:tc>
        <w:tc>
          <w:tcPr>
            <w:tcW w:w="24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(35.1)</w:t>
            </w:r>
          </w:p>
        </w:tc>
        <w:tc>
          <w:tcPr>
            <w:tcW w:w="0" w:type="dxa"/>
            <w:vAlign w:val="bottom"/>
          </w:tcPr>
          <w:p>
            <w:pPr>
              <w:spacing w:after="0"/>
              <w:rPr>
                <w:sz w:val="1"/>
                <w:szCs w:val="1"/>
                <w:color w:val="auto"/>
              </w:rPr>
            </w:pPr>
          </w:p>
        </w:tc>
      </w:tr>
      <w:tr>
        <w:trPr>
          <w:trHeight w:val="194"/>
        </w:trPr>
        <w:tc>
          <w:tcPr>
            <w:tcW w:w="2480" w:type="dxa"/>
            <w:vAlign w:val="bottom"/>
            <w:shd w:val="clear" w:color="auto" w:fill="CFF0FC"/>
          </w:tcPr>
          <w:p>
            <w:pPr>
              <w:ind w:left="100"/>
              <w:spacing w:after="0"/>
              <w:rPr>
                <w:sz w:val="20"/>
                <w:szCs w:val="20"/>
                <w:color w:val="auto"/>
              </w:rPr>
            </w:pPr>
            <w:r>
              <w:rPr>
                <w:rFonts w:ascii="Arial" w:cs="Arial" w:eastAsia="Arial" w:hAnsi="Arial"/>
                <w:sz w:val="15"/>
                <w:szCs w:val="15"/>
                <w:color w:val="auto"/>
              </w:rPr>
              <w:t>General and administrative</w:t>
            </w:r>
          </w:p>
        </w:tc>
        <w:tc>
          <w:tcPr>
            <w:tcW w:w="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40,442</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77.5</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34,637</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44.1</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5,805</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100"/>
              <w:spacing w:after="0"/>
              <w:rPr>
                <w:sz w:val="20"/>
                <w:szCs w:val="20"/>
                <w:color w:val="auto"/>
              </w:rPr>
            </w:pPr>
            <w:r>
              <w:rPr>
                <w:rFonts w:ascii="Arial" w:cs="Arial" w:eastAsia="Arial" w:hAnsi="Arial"/>
                <w:sz w:val="15"/>
                <w:szCs w:val="15"/>
                <w:color w:val="auto"/>
              </w:rPr>
              <w:t>Research and development</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6,043</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5,667</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376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shd w:val="clear" w:color="auto" w:fill="CFF0FC"/>
          </w:tcPr>
          <w:p>
            <w:pPr>
              <w:ind w:left="100"/>
              <w:spacing w:after="0"/>
              <w:rPr>
                <w:sz w:val="20"/>
                <w:szCs w:val="20"/>
                <w:color w:val="auto"/>
              </w:rPr>
            </w:pPr>
            <w:r>
              <w:rPr>
                <w:rFonts w:ascii="Arial" w:cs="Arial" w:eastAsia="Arial" w:hAnsi="Arial"/>
                <w:sz w:val="15"/>
                <w:szCs w:val="15"/>
                <w:color w:val="auto"/>
              </w:rPr>
              <w:t>Goodwill impairment</w:t>
            </w:r>
          </w:p>
        </w:tc>
        <w:tc>
          <w:tcPr>
            <w:tcW w:w="7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200" w:type="dxa"/>
            <w:vAlign w:val="bottom"/>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52.6</w:t>
            </w:r>
          </w:p>
        </w:tc>
        <w:tc>
          <w:tcPr>
            <w:tcW w:w="20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1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100"/>
              <w:spacing w:after="0"/>
              <w:rPr>
                <w:sz w:val="20"/>
                <w:szCs w:val="20"/>
                <w:color w:val="auto"/>
              </w:rPr>
            </w:pPr>
            <w:r>
              <w:rPr>
                <w:rFonts w:ascii="Arial" w:cs="Arial" w:eastAsia="Arial" w:hAnsi="Arial"/>
                <w:sz w:val="15"/>
                <w:szCs w:val="15"/>
                <w:color w:val="auto"/>
              </w:rPr>
              <w:t>Total operating expenses</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92,748</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177.8</w:t>
            </w: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69,287</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88.2</w:t>
            </w:r>
          </w:p>
        </w:tc>
        <w:tc>
          <w:tcPr>
            <w:tcW w:w="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23,461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i w:val="1"/>
          <w:iCs w:val="1"/>
          <w:color w:val="auto"/>
        </w:rPr>
        <w:t>Selling and Marketing</w:t>
      </w:r>
      <w:r>
        <w:rPr>
          <w:rFonts w:ascii="Arial" w:cs="Arial" w:eastAsia="Arial" w:hAnsi="Arial"/>
          <w:sz w:val="14"/>
          <w:szCs w:val="14"/>
          <w:color w:val="auto"/>
        </w:rPr>
        <w:t>. Selling and marketing expenses decreased by 35.1% in the nine months ended September 30, 2020 compared to the nine months ended September 30, 2019. This</w:t>
      </w:r>
      <w:r>
        <w:rPr>
          <w:rFonts w:ascii="Arial" w:cs="Arial" w:eastAsia="Arial" w:hAnsi="Arial"/>
          <w:sz w:val="14"/>
          <w:szCs w:val="14"/>
          <w:i w:val="1"/>
          <w:iCs w:val="1"/>
          <w:color w:val="auto"/>
        </w:rPr>
        <w:t xml:space="preserve"> </w:t>
      </w:r>
      <w:r>
        <w:rPr>
          <w:rFonts w:ascii="Arial" w:cs="Arial" w:eastAsia="Arial" w:hAnsi="Arial"/>
          <w:sz w:val="14"/>
          <w:szCs w:val="14"/>
          <w:color w:val="auto"/>
        </w:rPr>
        <w:t>decrease was attributable primarily to reduced selling commissions as a result of lower sales in the third quarter of 2020, lower salaries and other compensation expenses as a result of our restructuring program and reduced pay for some employees as a result of our efforts to reduce the impact of COVID-19. The decrease in selling and marketing expenses was also affected by reduced travel costs and lower marketing costs as a result of reduced business activities caused by COVID-19. As a percentage of total revenues, our selling and marketing expenses decreased by 0.8%, from 36.9% in the nine months ended September 30, 2019 to 36.1% in the nine months ended September 30, 2020. As the business environment improves, we expect selling and marketing expenses to increase, but at a rate slightly below our rate of revenue growth.</w:t>
      </w:r>
    </w:p>
    <w:p>
      <w:pPr>
        <w:spacing w:after="0" w:line="149"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i w:val="1"/>
          <w:iCs w:val="1"/>
          <w:color w:val="auto"/>
        </w:rPr>
        <w:t>General and Administrative</w:t>
      </w:r>
      <w:r>
        <w:rPr>
          <w:rFonts w:ascii="Arial" w:cs="Arial" w:eastAsia="Arial" w:hAnsi="Arial"/>
          <w:sz w:val="13"/>
          <w:szCs w:val="13"/>
          <w:color w:val="auto"/>
        </w:rPr>
        <w:t>. General and administrative expenses increased by 16.8% in the nine months ended September 30, 2020 compared to the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2019, reflecting costs related to increased legal, audit and regulatory expenses primarily related to public company reporting obligations, an increase in bad debt expense primarily as a result of COVID-19 related lockdown restrictions and shelter-in-place orders, and additional amortization of intangible assets recognized on the business combination with Venus Concept Ltd. As a percentage of total revenues, our general and administrative expenses increased by 33.4%, from 44.1% in the nine months ended September 30, 2019, to 77.5% in the nine months ended September 30, 2020, primarily due to expenses related to public company reporting obligations and due to lower revenues in the first nine months of 2020.</w:t>
      </w:r>
    </w:p>
    <w:p>
      <w:pPr>
        <w:spacing w:after="0" w:line="131"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i w:val="1"/>
          <w:iCs w:val="1"/>
          <w:color w:val="auto"/>
        </w:rPr>
        <w:t>Research and Development</w:t>
      </w:r>
      <w:r>
        <w:rPr>
          <w:rFonts w:ascii="Arial" w:cs="Arial" w:eastAsia="Arial" w:hAnsi="Arial"/>
          <w:sz w:val="15"/>
          <w:szCs w:val="15"/>
          <w:color w:val="auto"/>
        </w:rPr>
        <w:t>. Research and development expenses increased by 6.6% in the nine months ended September 30, 2020 compared to the nine months ended September 30,</w:t>
      </w:r>
      <w:r>
        <w:rPr>
          <w:rFonts w:ascii="Arial" w:cs="Arial" w:eastAsia="Arial" w:hAnsi="Arial"/>
          <w:sz w:val="15"/>
          <w:szCs w:val="15"/>
          <w:i w:val="1"/>
          <w:iCs w:val="1"/>
          <w:color w:val="auto"/>
        </w:rPr>
        <w:t xml:space="preserve"> </w:t>
      </w:r>
      <w:r>
        <w:rPr>
          <w:rFonts w:ascii="Arial" w:cs="Arial" w:eastAsia="Arial" w:hAnsi="Arial"/>
          <w:sz w:val="15"/>
          <w:szCs w:val="15"/>
          <w:color w:val="auto"/>
        </w:rPr>
        <w:t>2019. As a percentage of total revenues, our research and development expenses increased by 4.4%, from 7.2% in the nine months ended September 30, 2019, to 11.6% in the nine months ended September 30, 2020. The increase in the research and development expense is attributable to the ARTAS iX™ System research and development program we acquired through the Merger in November of 2019.</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i w:val="1"/>
          <w:iCs w:val="1"/>
          <w:color w:val="auto"/>
        </w:rPr>
        <w:t xml:space="preserve">Goodwill impairment. </w:t>
      </w:r>
      <w:r>
        <w:rPr>
          <w:rFonts w:ascii="Arial" w:cs="Arial" w:eastAsia="Arial" w:hAnsi="Arial"/>
          <w:sz w:val="15"/>
          <w:szCs w:val="15"/>
          <w:color w:val="auto"/>
        </w:rPr>
        <w:t>We considered a substantial decline in our equity value and worsening macroeconomic factors due to COVID-19 as triggering events that caused analysis of</w:t>
      </w:r>
      <w:r>
        <w:rPr>
          <w:rFonts w:ascii="Arial" w:cs="Arial" w:eastAsia="Arial" w:hAnsi="Arial"/>
          <w:sz w:val="15"/>
          <w:szCs w:val="15"/>
          <w:i w:val="1"/>
          <w:iCs w:val="1"/>
          <w:color w:val="auto"/>
        </w:rPr>
        <w:t xml:space="preserve"> </w:t>
      </w:r>
      <w:r>
        <w:rPr>
          <w:rFonts w:ascii="Arial" w:cs="Arial" w:eastAsia="Arial" w:hAnsi="Arial"/>
          <w:sz w:val="15"/>
          <w:szCs w:val="15"/>
          <w:color w:val="auto"/>
        </w:rPr>
        <w:t>potential impairment of our goodwill and other intangible assets as of March 30, 2020. The quantitative impairment analysis resulted in goodwill impairment of $27.5 million driven primarily by lower than expected actual sales, as well as lower projected sales and decreased profitability because of COVID-19. As a result, the entire balance of goodwill was written off as of March 30, 2020. The impairment loss was recognized in the first quarter of 2020. Based on the impairment analysis performed no further impairment was considered necessary as of September 30, 2020.</w:t>
      </w:r>
    </w:p>
    <w:p>
      <w:pPr>
        <w:spacing w:after="0" w:line="160" w:lineRule="exact"/>
        <w:rPr>
          <w:sz w:val="20"/>
          <w:szCs w:val="20"/>
          <w:color w:val="auto"/>
        </w:rPr>
      </w:pPr>
    </w:p>
    <w:p>
      <w:pPr>
        <w:spacing w:after="0" w:line="261" w:lineRule="auto"/>
        <w:rPr>
          <w:sz w:val="20"/>
          <w:szCs w:val="20"/>
          <w:color w:val="auto"/>
        </w:rPr>
      </w:pPr>
      <w:r>
        <w:rPr>
          <w:rFonts w:ascii="Arial" w:cs="Arial" w:eastAsia="Arial" w:hAnsi="Arial"/>
          <w:sz w:val="15"/>
          <w:szCs w:val="15"/>
          <w:i w:val="1"/>
          <w:iCs w:val="1"/>
          <w:color w:val="auto"/>
        </w:rPr>
        <w:t xml:space="preserve">Foreign exchange loss. </w:t>
      </w:r>
      <w:r>
        <w:rPr>
          <w:rFonts w:ascii="Arial" w:cs="Arial" w:eastAsia="Arial" w:hAnsi="Arial"/>
          <w:sz w:val="15"/>
          <w:szCs w:val="15"/>
          <w:color w:val="auto"/>
        </w:rPr>
        <w:t>We had a foreign exchange loss of $4.2 million in the nine months ended September 30, 2020 and foreign exchange loss of $0.4 million in the nine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2019. Changes in foreign exchange in the nine months ended September 30, 2020 are driven mainly by foreign exchange effect on accounts receivable balances denominated in currencies other than the US dollar with the larger impact for Mexico, Argentina and Columbia which currencies declined significantly more in the first nine months of 2020 compared to the same period in 2019. We do not currently hedge against foreign currency risk.</w:t>
      </w:r>
    </w:p>
    <w:p>
      <w:pPr>
        <w:spacing w:after="0" w:line="158"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i w:val="1"/>
          <w:iCs w:val="1"/>
          <w:color w:val="auto"/>
        </w:rPr>
        <w:t>Finance Expenses</w:t>
      </w:r>
      <w:r>
        <w:rPr>
          <w:rFonts w:ascii="Arial" w:cs="Arial" w:eastAsia="Arial" w:hAnsi="Arial"/>
          <w:sz w:val="15"/>
          <w:szCs w:val="15"/>
          <w:color w:val="auto"/>
        </w:rPr>
        <w:t>. Finance expenses increased by $0.6 million, from $5.9 million in the nine months ended September 30, 2019, to $6.5 million in the nine months ended September 30,</w:t>
      </w:r>
      <w:r>
        <w:rPr>
          <w:rFonts w:ascii="Arial" w:cs="Arial" w:eastAsia="Arial" w:hAnsi="Arial"/>
          <w:sz w:val="15"/>
          <w:szCs w:val="15"/>
          <w:i w:val="1"/>
          <w:iCs w:val="1"/>
          <w:color w:val="auto"/>
        </w:rPr>
        <w:t xml:space="preserve"> </w:t>
      </w:r>
      <w:r>
        <w:rPr>
          <w:rFonts w:ascii="Arial" w:cs="Arial" w:eastAsia="Arial" w:hAnsi="Arial"/>
          <w:sz w:val="15"/>
          <w:szCs w:val="15"/>
          <w:color w:val="auto"/>
        </w:rPr>
        <w:t>2020, mostly due to increase in the annual interest rate from 9.00% to 12.00% during the PIK Period under the Madryn Credit Agreement. See “—</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 below.</w:t>
      </w:r>
    </w:p>
    <w:p>
      <w:pPr>
        <w:spacing w:after="0" w:line="156"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i w:val="1"/>
          <w:iCs w:val="1"/>
          <w:color w:val="auto"/>
        </w:rPr>
        <w:t xml:space="preserve">Income Taxes Benefit. </w:t>
      </w:r>
      <w:r>
        <w:rPr>
          <w:rFonts w:ascii="Arial" w:cs="Arial" w:eastAsia="Arial" w:hAnsi="Arial"/>
          <w:sz w:val="15"/>
          <w:szCs w:val="15"/>
          <w:color w:val="auto"/>
        </w:rPr>
        <w:t>We had an income taxes benefit of $1.0 million in the nine months ended September 30, 2020 compared to $0.9 million income tax expense in the nine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2019. The tax provision is driven by profitable sales and the actual effective tax rates where the sale took place or losses were incurred. In the first nine months of 2020, we had a combination of less profitable sales and an increase in losses due to COVID-19.</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0"/>
          </w:cols>
          <w:pgMar w:left="320" w:top="311" w:right="35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color w:val="231F20"/>
        </w:rPr>
        <w:t>Liquidity and Capital Resources</w:t>
      </w:r>
    </w:p>
    <w:p>
      <w:pPr>
        <w:spacing w:after="0" w:line="195"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 xml:space="preserve">We had $12.8 million and $15.7 million of cash and cash equivalents as of September 30, 2020, and December 31, 2019, respectively. We have funded our operations with cash generated from operating activities, through the sale of equity securities and through debt financing. We completed an equity financing during the first quarter of 2020 that generated $22.3 million of gross proceeds. See </w:t>
      </w:r>
      <w:r>
        <w:rPr>
          <w:rFonts w:ascii="Arial" w:cs="Arial" w:eastAsia="Arial" w:hAnsi="Arial"/>
          <w:sz w:val="15"/>
          <w:szCs w:val="15"/>
          <w:i w:val="1"/>
          <w:iCs w:val="1"/>
          <w:color w:val="auto"/>
        </w:rPr>
        <w:t>“— The 2020 Private Placement</w:t>
      </w:r>
      <w:r>
        <w:rPr>
          <w:rFonts w:ascii="Arial" w:cs="Arial" w:eastAsia="Arial" w:hAnsi="Arial"/>
          <w:sz w:val="15"/>
          <w:szCs w:val="15"/>
          <w:color w:val="auto"/>
        </w:rPr>
        <w:t>” above. As of September 30, 2020, we issued and sold to Lincoln Park 2.03 million shares of our common stock, the net proceeds from shares issuance as of September 30, 2020 were $6.2 million. During the nine months ended September 30, 2020, we repaid $3.9 million under our credit facility with City National Bank of Florida. We had total debt obligations of approximately $74.5 million as of September 30, 2020, including line of credit borrowings of $3.9 million and government assistance loans of $4.1 million, compared to total debt obligations of approximately $69.0 million at December 31, 2019, including line of credit borrowings of $7.8 million.</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Our working capital requirements reflect the growth of our business over the last few years, in particular, the shift from a traditional sales model to a subscription model.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57:43 in the nine months ended September 30, 2020, compared to 70:30 in the nine months ended September 30, 2019. We are directing more effort to securing traditional sales in order to improve cash flow. We expect inventory to continue to increase in the short term, but at a lower rate than the rate of revenue growth.</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We also require modest funding for capital expenditures. Our capital expenditures relate primarily to our research and development facilities in Yokneam, Israel and San Jose, California.</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In addition, our capital investments have included improvements and expansion of our subsidiaries’ operations to support our growth.</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Madryn Credit Agreement</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On October 11, 2016, Venus Concept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 Ltd.’s subsidiaries (the “Subsidiary Obligors”). The Madryn Credit Agreement is comprised of four tranches of debt aggregating $70.0 million. As of September 30, 2020, and December 31, 2019, the Subsidiary Obligors had borrowed $60.0 million under the term A-1 and A-2 and B tranches of the Madryn Credit Agreement. Term C borrowings of $10.0 million were undrawn and are no longer available. On the 24th payment date, which is September 30, 2022, the aggregate outstanding principal amount of the loans, together with any accrued and unpaid interest thereon and all other amounts due and owing under the loan agreement will become due and payable in full. Borrowings under the Madryn Credit Agreement are secured by substantially all of our assets and the assets of the Subsidiary Obligors.</w:t>
      </w:r>
    </w:p>
    <w:p>
      <w:pPr>
        <w:spacing w:after="0" w:line="161"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In connection with the Merger, we entered into an amendment to the Madryn Credit Agreement, dated as of November 7, 2019, pursuant to which we joined as (i) a guarantor to the Madryn Credit Agreement and (ii) a grantor to the certain security agreement, dated October 11, 2016, (as amended, restated, supplemented or otherwise modified from time to time), by and among the grantors from time to time party thereto and the administrative agent.</w:t>
      </w:r>
    </w:p>
    <w:p>
      <w:pPr>
        <w:spacing w:after="0" w:line="156" w:lineRule="exact"/>
        <w:rPr>
          <w:sz w:val="20"/>
          <w:szCs w:val="20"/>
          <w:color w:val="auto"/>
        </w:rPr>
      </w:pPr>
    </w:p>
    <w:p>
      <w:pPr>
        <w:jc w:val="both"/>
        <w:ind w:right="160"/>
        <w:spacing w:after="0" w:line="265" w:lineRule="auto"/>
        <w:rPr>
          <w:sz w:val="20"/>
          <w:szCs w:val="20"/>
          <w:color w:val="auto"/>
        </w:rPr>
      </w:pPr>
      <w:r>
        <w:rPr>
          <w:rFonts w:ascii="Arial" w:cs="Arial" w:eastAsia="Arial" w:hAnsi="Arial"/>
          <w:sz w:val="15"/>
          <w:szCs w:val="15"/>
          <w:color w:val="auto"/>
        </w:rPr>
        <w:t>On April 29, 2020, we entered into an amendment to the Madryn Credit Agreement that (i) required that interest payments for the period beginning January 1, 2020 and ending on, and including, April 29, 2020 (the “PIK Period”), be paid-in-kind, (ii) increased the interest rate from 9.00% per annum to 12.00% per annum during the PIK Period and (iii) requires us to provide certain additional financial and other reporting information to the lenders.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On June 30, 2020, we entered into an amendment to the Madryn Credit Agreement that (i) extended the PIK Period through June 30, 2020, (ii) reduced the consolidated minimum revenue threshold requirement (a) for the four consecutive fiscal quarter period ended June 30, 2020, to at least $85.0 million and (b) for the four consecutive fiscal quarter period ending September 30, 2020, to at least $75.0 million, (iii) required us to raise at least $5.0 million of cash proceeds from the issuance of equity during the period June 1, 2020 through September 30, 2020 and (iv) obligated us to use our best efforts to raise an additional $2.0 million of cash proceeds from the issuance of equity during the period June 1, 2020 through September 30, 2020.</w:t>
      </w:r>
    </w:p>
    <w:p>
      <w:pPr>
        <w:spacing w:after="0" w:line="160" w:lineRule="exact"/>
        <w:rPr>
          <w:sz w:val="20"/>
          <w:szCs w:val="20"/>
          <w:color w:val="auto"/>
        </w:rPr>
      </w:pPr>
    </w:p>
    <w:p>
      <w:pPr>
        <w:spacing w:after="0" w:line="324" w:lineRule="auto"/>
        <w:rPr>
          <w:sz w:val="20"/>
          <w:szCs w:val="20"/>
          <w:color w:val="auto"/>
        </w:rPr>
      </w:pPr>
      <w:r>
        <w:rPr>
          <w:rFonts w:ascii="Arial" w:cs="Arial" w:eastAsia="Arial" w:hAnsi="Arial"/>
          <w:sz w:val="13"/>
          <w:szCs w:val="13"/>
          <w:color w:val="auto"/>
        </w:rPr>
        <w:t>On September 30, 2020, we entered into an amendment to the Madryn Credit Agreement that (i) requires that fifty percent (50%) of the interest payments for the period beginning July 1, 2020 and ending on, and including, September 30, 2020 (the “Second PIK Period”), be paid in cash, (ii) the remaining fifty percent (50%) of the interest payments for the Second PIK Period, to be paid in kind, and (iii) increases the interest rate applicable to the Second PIK Period from 9.00% per annum to 10.50% per annum during the Second PIK Period.</w:t>
      </w:r>
    </w:p>
    <w:p>
      <w:pPr>
        <w:spacing w:after="0" w:line="121"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The Madryn Credit Agreement also contains various covenants that limit our ability and the ability of our subsidiaries to engage in specified types of transactions. As of September 30, 2020, and December 31, 2019, we were in compliance with all required covenants.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45" w:name="page46"/>
    <w:bookmarkEnd w:id="45"/>
    <w:p>
      <w:pPr>
        <w:ind w:right="520"/>
        <w:spacing w:after="0" w:line="278" w:lineRule="auto"/>
        <w:rPr>
          <w:sz w:val="20"/>
          <w:szCs w:val="20"/>
          <w:color w:val="auto"/>
        </w:rPr>
      </w:pPr>
      <w:r>
        <w:rPr>
          <w:rFonts w:ascii="Arial" w:cs="Arial" w:eastAsia="Arial" w:hAnsi="Arial"/>
          <w:sz w:val="15"/>
          <w:szCs w:val="15"/>
          <w:color w:val="auto"/>
        </w:rPr>
        <w:t>In connection with the Madryn Credit Agreement, Venus Concept Ltd. issued three types of 10-year warrants (“Madryn Warrants”). As of September 30, 2020, Madryn Warrants exercisable for 179,932 shares of common stock were outstanding.</w:t>
      </w:r>
    </w:p>
    <w:p>
      <w:pPr>
        <w:spacing w:after="0" w:line="146"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The Madryn Credit Agreement and amendments are described in greater detail under Note 9, “Long Term Debt” to the condensed consolidated financial statements included elsewhere in this Quarterly Report on Form 10-Q.</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CNB Credit Facility</w:t>
      </w:r>
    </w:p>
    <w:p>
      <w:pPr>
        <w:spacing w:after="0" w:line="191"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We have a revolving credit facility with CNB pursuant to which CNB agreed to provide a revolving credit facility to us and certain of our subsidiaries in the maximum principal amount of $10.0 million ($10.0 million as of September 30, 2019), to be used to finance working capital requirements (the “Credit Facility”). In April 2019, maximum principal amount under the Credit Facility was increased from $7.5 million to $10.0 million. As of September 30, 2020, there was $3.9 million outstanding ($7.8 million as of December 31, 2019) under the Credit Facility, which bears interest at LIBOR rate plus 3.25%, which amounted to a weighted average of 3.84% (5.6% in the nine months ended September 30, 2019).</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The Credit Facility contains various covenants that limit our ability to engage in specified types of transactions. Subject to limited exceptions, these covenants limit our ability, without CNB’s consent, to, among other things, sell, lease, transfer, exclusively license or dispose of our assets, incur, create or permit to exist additional indebtedness, or liens, to make dividends and certain other restricted payments, and to make certain changes to its management and/or ownership structure. In addition, the Credit Facility contains certain covenants that require our subsidiary obligors to achieve certain minimum account balances, or a minimum debt service coverage ratio and a maximum total liability to tangible net worth ratio. If our subsidiary obligors fail to comply with these covenants, it will result in a default and require us and our subsidiary obligors to repay all outstanding principal amounts and accrued interest.</w:t>
      </w:r>
    </w:p>
    <w:p>
      <w:pPr>
        <w:spacing w:after="0" w:line="164"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The Credit Facility is secured by substantially all of our assets and the assets of certain of our subsidiaries requires us to maintain either a minimum cash balance in deposit accounts or a maximum total liability to tangible net worth ratio and a minimum debt service coverage ratio. An event of default under the Credit Facility would cause a default under the Madryn Credit Agreement as described above.</w:t>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On March 20, 2020, we entered into a Second Amended and Restated Loan Agreement as a borrower with CNB, as amended, pursuant to which CNB agreed to make certain loans and other financial accommodations to us. In connection with the CNB Credit Facility, we also entered into (i) a Second Amended and Restated Guaranty of Payment and Performance with CNB dated as of March 20, 2020, (the “CNB Guaranty”), pursuant to which we agreed to guaranty the obligations under the CNB Credit Facility and (ii) a Security Agreement with CNB dated as of March 20, 2020, (the “CNB Security Agreement”), pursuant to which we agreed to grant CNB a security interest, in substantially all of its assets, to secure the obligations under the CNB Credit Facility. Borrowings under the CNB Credit Facility are secured by substantially all our assets and the CNB Guaranty.</w:t>
      </w:r>
    </w:p>
    <w:p>
      <w:pPr>
        <w:spacing w:after="0" w:line="144"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In the event of a default, if we and our subsidiary obligors are unable to repay all outstanding amounts, CNB may foreclose on the collateral granted to it to collateralize the indebtedness, which includes the enforcement of the CNB Guaranty, which will significantly affect our ability to operate its business.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30, 2020, and December 31, 2019, we were in compliance with all required covenants.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Purchase Agreement with Lincoln Park</w:t>
      </w:r>
    </w:p>
    <w:p>
      <w:pPr>
        <w:spacing w:after="0" w:line="191" w:lineRule="exact"/>
        <w:rPr>
          <w:sz w:val="20"/>
          <w:szCs w:val="20"/>
          <w:color w:val="auto"/>
        </w:rPr>
      </w:pPr>
    </w:p>
    <w:p>
      <w:pPr>
        <w:ind w:right="120"/>
        <w:spacing w:after="0" w:line="295" w:lineRule="auto"/>
        <w:rPr>
          <w:sz w:val="20"/>
          <w:szCs w:val="20"/>
          <w:color w:val="auto"/>
        </w:rPr>
      </w:pPr>
      <w:r>
        <w:rPr>
          <w:rFonts w:ascii="Arial" w:cs="Arial" w:eastAsia="Arial" w:hAnsi="Arial"/>
          <w:sz w:val="13"/>
          <w:szCs w:val="13"/>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7.8 million shares (subject to adjustment) of common stock (which is equal to approximately</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46" w:name="page47"/>
    <w:bookmarkEnd w:id="46"/>
    <w:p>
      <w:pPr>
        <w:spacing w:after="0" w:line="257" w:lineRule="auto"/>
        <w:rPr>
          <w:sz w:val="20"/>
          <w:szCs w:val="20"/>
          <w:color w:val="auto"/>
        </w:rPr>
      </w:pPr>
      <w:r>
        <w:rPr>
          <w:rFonts w:ascii="Arial" w:cs="Arial" w:eastAsia="Arial" w:hAnsi="Arial"/>
          <w:sz w:val="15"/>
          <w:szCs w:val="15"/>
          <w:color w:val="auto"/>
        </w:rPr>
        <w:t>As of September 30, 2020, we issued and sold to Lincoln Park 2.03 million shares of our common stock, 0.2 million of which were issued to Lincoln Park as a commitment fee in connection with entering into the Equity Purchase Agreement (the “Commitment Shares”). The total value of the Commitment Shares of $0.6 million together with issuance costs of $0.1 million were recorded as deferred issuance costs in the condensed consolidated balance sheet. These costs will be amortized into condensed consolidated statements of stockholders’ equity proportionally based on proceeds received during the period and the expected total proceeds to be raised over the term of the Equity Purchase Agreement. The net cash proceeds from shares issuance as of September 30, 2020 were $6.2 million. In October and November 2020, we sold additional 0.3 million shares of our common stock to Lincoln Park for $0.6 million in net cash proceeds.</w:t>
      </w:r>
    </w:p>
    <w:p>
      <w:pPr>
        <w:spacing w:after="0" w:line="164"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Sales of shares of our common stock to Lincoln Park under the Equity Purchase Agreement will depend on a variety of factors to be determined by us from time to time, including, among others, market conditions, the trading price of our common stock and our determination as to the appropriate sources of funding for our operations. The proceeds we receive under the Equity Purchase Agreement will depend on the frequency and prices at which we sell shares to Lincoln Park. We expect that any proceeds we receive from such sales will be used for working capital and general corporate purposes.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Assistance Programs</w:t>
      </w:r>
    </w:p>
    <w:p>
      <w:pPr>
        <w:spacing w:after="0" w:line="191"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In April 2020, we and our wholly-owned subsidiary, Venus Concept USA Inc., a Delaware corporation (“Venus USA”), received funding in the total amount of $4.1 million,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Pursuant to the terms of the U.S. Small Business Administration Note dated as of April 21, 2020, by us and in favor of CNB, we borrowed $1.7 million of original principal amount, which was funded on April 29, 2020 (the “Venus Concept PPP Loan”). The Venus Concept PPP Loan bears interest at 1% per annum and matures in two years from the date of disbursement of funds under the loan. Interest and principal payments under the Venus Concept PPP Loan will be deferred for a period of six months. Under certain circumstances, all or a portion of the Venus Concept PPP Loan may be forgiven, however, there can be no assurance that any portion of the Venus Concept PPP Loan will be forgiven and that we would not be required to repay the Venus Concept PPP Loan in full.</w:t>
      </w:r>
    </w:p>
    <w:p>
      <w:pPr>
        <w:spacing w:after="0" w:line="160"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The Venus Concept PPP Loan contain certain covenants which, among other things, restrict our use of the proceeds of the PPP Loan to the payment of payroll costs, interest on mortgage obligations, rent obligations and utility expenses, require compliance with all other loans or other agreements with any our creditor, to the extent that a default under any loan or other agreement would materially affect our ability to repay its PPP Loan and limit our ability to make certain changes to our ownership structure.</w:t>
      </w:r>
    </w:p>
    <w:p>
      <w:pPr>
        <w:spacing w:after="0" w:line="137" w:lineRule="exact"/>
        <w:rPr>
          <w:sz w:val="20"/>
          <w:szCs w:val="20"/>
          <w:color w:val="auto"/>
        </w:rPr>
      </w:pPr>
    </w:p>
    <w:p>
      <w:pPr>
        <w:jc w:val="both"/>
        <w:ind w:right="220"/>
        <w:spacing w:after="0" w:line="265" w:lineRule="auto"/>
        <w:rPr>
          <w:sz w:val="20"/>
          <w:szCs w:val="20"/>
          <w:color w:val="auto"/>
        </w:rPr>
      </w:pPr>
      <w:r>
        <w:rPr>
          <w:rFonts w:ascii="Arial" w:cs="Arial" w:eastAsia="Arial" w:hAnsi="Arial"/>
          <w:sz w:val="15"/>
          <w:szCs w:val="15"/>
          <w:color w:val="auto"/>
        </w:rPr>
        <w:t>Venus USA also entered into a U.S. Small Business Administration Note dated as of April 15, 2020 in favor of CNB pursuant to which Venus USA borrowed $2.4 million of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156" w:lineRule="exact"/>
        <w:rPr>
          <w:sz w:val="20"/>
          <w:szCs w:val="20"/>
          <w:color w:val="auto"/>
        </w:rPr>
      </w:pPr>
    </w:p>
    <w:p>
      <w:pPr>
        <w:ind w:right="240"/>
        <w:spacing w:after="0" w:line="285" w:lineRule="auto"/>
        <w:rPr>
          <w:sz w:val="20"/>
          <w:szCs w:val="20"/>
          <w:color w:val="auto"/>
        </w:rPr>
      </w:pPr>
      <w:r>
        <w:rPr>
          <w:rFonts w:ascii="Arial" w:cs="Arial" w:eastAsia="Arial" w:hAnsi="Arial"/>
          <w:sz w:val="14"/>
          <w:szCs w:val="14"/>
          <w:color w:val="auto"/>
        </w:rPr>
        <w:t>Under the Madryn Credit Agreement each PPP Loan is permitted to be incurred by us and Venus Concept USA as long as certain conditions remain satisfied, including that all PPP Loans must be forgiven other than any amount which can fit under existing permitted debt baskets in the Madryn Credit Agreement. If we and/or Venus Concept USA defaults on the respective PPP Loan or if any of the conditions to the incurrence thereof under the Madryn Credit Agreement are not satisfied (i) events of default will occur under the Madryn Credit Agreement and the CNB Credit Facility and (ii) we and Venus Concept USA may be required to immediately repay their respective PPP Loan.</w:t>
      </w:r>
    </w:p>
    <w:p>
      <w:pPr>
        <w:spacing w:after="0" w:line="144" w:lineRule="exact"/>
        <w:rPr>
          <w:sz w:val="20"/>
          <w:szCs w:val="20"/>
          <w:color w:val="auto"/>
        </w:rPr>
      </w:pPr>
    </w:p>
    <w:p>
      <w:pPr>
        <w:jc w:val="both"/>
        <w:ind w:right="40"/>
        <w:spacing w:after="0" w:line="265" w:lineRule="auto"/>
        <w:rPr>
          <w:sz w:val="20"/>
          <w:szCs w:val="20"/>
          <w:color w:val="auto"/>
        </w:rPr>
      </w:pPr>
      <w:r>
        <w:rPr>
          <w:rFonts w:ascii="Arial" w:cs="Arial" w:eastAsia="Arial" w:hAnsi="Arial"/>
          <w:sz w:val="15"/>
          <w:szCs w:val="15"/>
          <w:color w:val="auto"/>
        </w:rPr>
        <w:t>Also, the SBA has decided, in consultation with the Department of the Treasury, that it will review all loans in excess of $2.0 million following the lender’s submission of the borrower’s loan forgiveness application. To the extent that the SBA’s audit determines that Venus Concept USA was not entitled to the loan under the PPP, the loan may not be forgiven, an event of default would occur under the Madryn Credit Agreement and Venus Concept USA could be subject to civil and criminal penalties.</w:t>
      </w:r>
    </w:p>
    <w:p>
      <w:pPr>
        <w:spacing w:after="0" w:line="156"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As of September 30, 2020, certain subsidiaries also received funding in the total amount of $1.2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condensed consolidated statement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Capital Resources</w:t>
      </w:r>
    </w:p>
    <w:p>
      <w:pPr>
        <w:spacing w:after="0" w:line="191" w:lineRule="exact"/>
        <w:rPr>
          <w:sz w:val="20"/>
          <w:szCs w:val="20"/>
          <w:color w:val="auto"/>
        </w:rPr>
      </w:pPr>
    </w:p>
    <w:p>
      <w:pPr>
        <w:ind w:right="300"/>
        <w:spacing w:after="0" w:line="278" w:lineRule="auto"/>
        <w:rPr>
          <w:sz w:val="20"/>
          <w:szCs w:val="20"/>
          <w:color w:val="auto"/>
        </w:rPr>
      </w:pPr>
      <w:r>
        <w:rPr>
          <w:rFonts w:ascii="Arial" w:cs="Arial" w:eastAsia="Arial" w:hAnsi="Arial"/>
          <w:sz w:val="15"/>
          <w:szCs w:val="15"/>
          <w:color w:val="auto"/>
        </w:rPr>
        <w:t>As of September 30, 2020, we had capital resources consisting of cash and cash equivalents of approximately $12.8 million. We have financed our operations principally through the issuance and sale of our common stock and preferred stock, debt financing, and payments from customers.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4"/>
          <w:szCs w:val="14"/>
          <w:color w:val="auto"/>
        </w:rPr>
        <w:t>While we believe that the net proceeds from the 2020 Private Placement, the proceeds from issuance our common stock to Lincoln Park, the proceeds from the government assistance programs, together with our existing cash and cash equivalents, and the anticipated savings from our Merger-related cost savings initiatives and our new restructuring program, will enable us to fund our operating expenses and capital expenditure requirements for at least the next 12 months, the COVID-19 pandemic has had a significant negative impact on our business, and we expect the pandemic to continue to have a negative impact in the foreseeable future, the extent of which is uncertain and largely subject to whether the severity of the pandemic worsens, or duration lengthens. Given the COVID-19 pandemic,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Additional funds may not be available when we need them, on terms that are acceptable to us, or at all. If adequate funds are not available to us on a timely basis, we may be required to:</w:t>
      </w:r>
    </w:p>
    <w:p>
      <w:pPr>
        <w:spacing w:after="0" w:line="214" w:lineRule="exact"/>
        <w:rPr>
          <w:sz w:val="20"/>
          <w:szCs w:val="20"/>
          <w:color w:val="auto"/>
        </w:rPr>
      </w:pPr>
    </w:p>
    <w:p>
      <w:pPr>
        <w:ind w:left="740" w:hanging="374"/>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delay or curtail our efforts to develop system product enhancements or new products, including any clinical trials that may be required to market such enhancements;</w:t>
      </w:r>
    </w:p>
    <w:p>
      <w:pPr>
        <w:spacing w:after="0" w:line="29" w:lineRule="exact"/>
        <w:rPr>
          <w:rFonts w:ascii="Arial" w:cs="Arial" w:eastAsia="Arial" w:hAnsi="Arial"/>
          <w:sz w:val="14"/>
          <w:szCs w:val="14"/>
          <w:color w:val="auto"/>
        </w:rPr>
      </w:pPr>
    </w:p>
    <w:p>
      <w:pPr>
        <w:ind w:left="740" w:hanging="374"/>
        <w:spacing w:after="0"/>
        <w:tabs>
          <w:tab w:leader="none" w:pos="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delay or curtail our plans to increase and expand our sales and marketing efforts; or</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delay or curtail our plans to enhance our customer support and marketing activities.</w:t>
      </w:r>
    </w:p>
    <w:p>
      <w:pPr>
        <w:spacing w:after="0" w:line="182"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We are restricted by covenants in the Madryn Credit Agreement, the CNB Credit Facility, the PPP Loans and other government assistance programs. These covenants restrict, among other things, our ability to incur additional indebtedness, which may limit our ability to obtain additional debt financing. In addition, the Madryn Credit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 In the event that the COVID-19 pandemic and the economic disruptions it has caused continue for an extended period of time, we cannot assure that we will remain in compliance with the financial covenants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48" w:lineRule="exact"/>
        <w:rPr>
          <w:sz w:val="20"/>
          <w:szCs w:val="20"/>
          <w:color w:val="auto"/>
        </w:rPr>
      </w:pPr>
    </w:p>
    <w:p>
      <w:pPr>
        <w:ind w:right="80"/>
        <w:spacing w:after="0" w:line="315" w:lineRule="auto"/>
        <w:rPr>
          <w:sz w:val="20"/>
          <w:szCs w:val="20"/>
          <w:color w:val="auto"/>
        </w:rPr>
      </w:pPr>
      <w:r>
        <w:rPr>
          <w:rFonts w:ascii="Arial" w:cs="Arial" w:eastAsia="Arial" w:hAnsi="Arial"/>
          <w:sz w:val="14"/>
          <w:szCs w:val="14"/>
          <w:color w:val="auto"/>
        </w:rPr>
        <w:t>We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23" w:lineRule="exact"/>
        <w:rPr>
          <w:sz w:val="20"/>
          <w:szCs w:val="20"/>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 of growing our ongoing commercialization and sales and marketing activities;</w:t>
      </w:r>
    </w:p>
    <w:p>
      <w:pPr>
        <w:spacing w:after="0" w:line="18" w:lineRule="exact"/>
        <w:rPr>
          <w:rFonts w:ascii="Arial" w:cs="Arial" w:eastAsia="Arial" w:hAnsi="Arial"/>
          <w:sz w:val="15"/>
          <w:szCs w:val="15"/>
          <w:color w:val="auto"/>
        </w:rPr>
      </w:pPr>
    </w:p>
    <w:p>
      <w:pPr>
        <w:ind w:left="740" w:right="640" w:hanging="374"/>
        <w:spacing w:after="0" w:line="252" w:lineRule="auto"/>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of manufacturing and maintaining enough inventories of our systems to meet anticipated demand and inventory write-offs related to obsolete products or components;</w:t>
      </w:r>
    </w:p>
    <w:p>
      <w:pPr>
        <w:spacing w:after="0" w:line="1"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of enhancing the existing functionality and development of new functionalities for our systems;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costs of preparing, filing, prosecuting, defending, and enforcing patent claims and other patent related costs, including litigation costs and the results of such litigation;</w:t>
      </w:r>
    </w:p>
    <w:p>
      <w:pPr>
        <w:spacing w:after="0" w:line="32" w:lineRule="exact"/>
        <w:rPr>
          <w:rFonts w:ascii="Arial" w:cs="Arial" w:eastAsia="Arial" w:hAnsi="Arial"/>
          <w:sz w:val="13"/>
          <w:szCs w:val="13"/>
          <w:color w:val="auto"/>
        </w:rPr>
      </w:pPr>
    </w:p>
    <w:p>
      <w:pPr>
        <w:ind w:left="740" w:right="60" w:hanging="374"/>
        <w:spacing w:after="0" w:line="252" w:lineRule="auto"/>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spacing w:after="0" w:line="1"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any product liability or other lawsuits and the costs associated with defending them or the results of such lawsuits;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associated with conducting business and maintaining subsidiaries and other entities in foreign jurisdictions;</w:t>
      </w:r>
    </w:p>
    <w:p>
      <w:pPr>
        <w:spacing w:after="0" w:line="9" w:lineRule="exact"/>
        <w:rPr>
          <w:rFonts w:ascii="Arial" w:cs="Arial" w:eastAsia="Arial" w:hAnsi="Arial"/>
          <w:sz w:val="15"/>
          <w:szCs w:val="15"/>
          <w:color w:val="auto"/>
        </w:rPr>
      </w:pPr>
    </w:p>
    <w:p>
      <w:pPr>
        <w:ind w:left="740" w:right="220" w:hanging="374"/>
        <w:spacing w:after="0" w:line="252" w:lineRule="auto"/>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customers in jurisdictions where our systems are not approved delaying their purchase, and not purchasing our systems, until they are approved or cleared for use in their market;</w:t>
      </w:r>
    </w:p>
    <w:p>
      <w:pPr>
        <w:spacing w:after="0" w:line="1"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to attract and retain personnel with the skills required for effective operations;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costs associated with integration of the Merger;</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associated with being a public company; and</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uncertainties related to the COVID-19 pandemic.</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00"/>
          </w:cols>
          <w:pgMar w:left="320" w:top="311" w:right="37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i w:val="1"/>
          <w:iCs w:val="1"/>
          <w:color w:val="231F20"/>
        </w:rPr>
        <w:t>Cash flows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cash flows for the periods indicated:</w:t>
      </w:r>
    </w:p>
    <w:p>
      <w:pPr>
        <w:spacing w:after="0" w:line="193" w:lineRule="exact"/>
        <w:rPr>
          <w:sz w:val="20"/>
          <w:szCs w:val="20"/>
          <w:color w:val="auto"/>
        </w:rPr>
      </w:pPr>
    </w:p>
    <w:p>
      <w:pPr>
        <w:jc w:val="center"/>
        <w:ind w:left="5300"/>
        <w:spacing w:after="0"/>
        <w:rPr>
          <w:sz w:val="20"/>
          <w:szCs w:val="20"/>
          <w:color w:val="auto"/>
        </w:rPr>
      </w:pPr>
      <w:r>
        <w:rPr>
          <w:rFonts w:ascii="Arial" w:cs="Arial" w:eastAsia="Arial" w:hAnsi="Arial"/>
          <w:sz w:val="12"/>
          <w:szCs w:val="12"/>
          <w:b w:val="1"/>
          <w:bCs w:val="1"/>
          <w:color w:val="auto"/>
        </w:rPr>
        <w:t>Nine Months</w:t>
      </w:r>
    </w:p>
    <w:p>
      <w:pPr>
        <w:jc w:val="center"/>
        <w:ind w:left="5300"/>
        <w:spacing w:after="0" w:line="228" w:lineRule="auto"/>
        <w:rPr>
          <w:sz w:val="20"/>
          <w:szCs w:val="20"/>
          <w:color w:val="auto"/>
        </w:rPr>
      </w:pPr>
      <w:r>
        <w:rPr>
          <w:rFonts w:ascii="Arial" w:cs="Arial" w:eastAsia="Arial" w:hAnsi="Arial"/>
          <w:sz w:val="12"/>
          <w:szCs w:val="12"/>
          <w:b w:val="1"/>
          <w:bCs w:val="1"/>
          <w:color w:val="auto"/>
        </w:rPr>
        <w:t>Ended September 30</w:t>
      </w:r>
    </w:p>
    <w:tbl>
      <w:tblPr>
        <w:tblLayout w:type="fixed"/>
        <w:tblInd w:w="1680" w:type="dxa"/>
        <w:tblCellMar>
          <w:top w:w="0" w:type="dxa"/>
          <w:left w:w="0" w:type="dxa"/>
          <w:bottom w:w="0" w:type="dxa"/>
          <w:right w:w="0" w:type="dxa"/>
        </w:tblCellMar>
      </w:tblPr>
      <w:tr>
        <w:trPr>
          <w:trHeight w:val="128"/>
        </w:trPr>
        <w:tc>
          <w:tcPr>
            <w:tcW w:w="4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69"/>
              <w:spacing w:after="0" w:line="128"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67"/>
              <w:spacing w:after="0" w:line="128"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1"/>
                <w:szCs w:val="11"/>
                <w:color w:val="auto"/>
              </w:rPr>
            </w:pPr>
          </w:p>
        </w:tc>
      </w:tr>
      <w:tr>
        <w:trPr>
          <w:trHeight w:val="128"/>
        </w:trPr>
        <w:tc>
          <w:tcPr>
            <w:tcW w:w="4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jc w:val="right"/>
              <w:ind w:right="4"/>
              <w:spacing w:after="0" w:line="128" w:lineRule="exact"/>
              <w:rPr>
                <w:sz w:val="20"/>
                <w:szCs w:val="20"/>
                <w:color w:val="auto"/>
              </w:rPr>
            </w:pPr>
            <w:r>
              <w:rPr>
                <w:rFonts w:ascii="Arial" w:cs="Arial" w:eastAsia="Arial" w:hAnsi="Arial"/>
                <w:sz w:val="12"/>
                <w:szCs w:val="12"/>
                <w:b w:val="1"/>
                <w:bCs w:val="1"/>
                <w:color w:val="auto"/>
              </w:rPr>
              <w:t>(in thousands)</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93"/>
        </w:trPr>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Cash used in operating activities</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(28,780)</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(25,867)</w:t>
            </w:r>
          </w:p>
        </w:tc>
      </w:tr>
      <w:tr>
        <w:trPr>
          <w:trHeight w:val="192"/>
        </w:trPr>
        <w:tc>
          <w:tcPr>
            <w:tcW w:w="4760" w:type="dxa"/>
            <w:vAlign w:val="bottom"/>
          </w:tcPr>
          <w:p>
            <w:pPr>
              <w:spacing w:after="0"/>
              <w:rPr>
                <w:sz w:val="20"/>
                <w:szCs w:val="20"/>
                <w:color w:val="auto"/>
              </w:rPr>
            </w:pPr>
            <w:r>
              <w:rPr>
                <w:rFonts w:ascii="Arial" w:cs="Arial" w:eastAsia="Arial" w:hAnsi="Arial"/>
                <w:sz w:val="15"/>
                <w:szCs w:val="15"/>
                <w:color w:val="auto"/>
              </w:rPr>
              <w:t>Cash used in investing activities</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(119)</w:t>
            </w:r>
          </w:p>
        </w:tc>
        <w:tc>
          <w:tcPr>
            <w:tcW w:w="3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(5,240)</w:t>
            </w:r>
          </w:p>
        </w:tc>
      </w:tr>
      <w:tr>
        <w:trPr>
          <w:trHeight w:val="194"/>
        </w:trPr>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Cash provided by financing activities</w:t>
            </w:r>
          </w:p>
        </w:tc>
        <w:tc>
          <w:tcPr>
            <w:tcW w:w="6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26,011</w:t>
            </w:r>
          </w:p>
        </w:tc>
        <w:tc>
          <w:tcPr>
            <w:tcW w:w="1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40,081</w:t>
            </w:r>
          </w:p>
        </w:tc>
        <w:tc>
          <w:tcPr>
            <w:tcW w:w="60" w:type="dxa"/>
            <w:vAlign w:val="bottom"/>
            <w:shd w:val="clear" w:color="auto" w:fill="CFF0FC"/>
          </w:tcPr>
          <w:p>
            <w:pPr>
              <w:spacing w:after="0"/>
              <w:rPr>
                <w:sz w:val="16"/>
                <w:szCs w:val="16"/>
                <w:color w:val="auto"/>
              </w:rPr>
            </w:pPr>
          </w:p>
        </w:tc>
      </w:tr>
      <w:tr>
        <w:trPr>
          <w:trHeight w:val="184"/>
        </w:trPr>
        <w:tc>
          <w:tcPr>
            <w:tcW w:w="4760" w:type="dxa"/>
            <w:vAlign w:val="bottom"/>
          </w:tcPr>
          <w:p>
            <w:pPr>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(2,888)</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8,974</w:t>
            </w:r>
          </w:p>
        </w:tc>
        <w:tc>
          <w:tcPr>
            <w:tcW w:w="60" w:type="dxa"/>
            <w:vAlign w:val="bottom"/>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from Operating Activities</w:t>
      </w:r>
    </w:p>
    <w:p>
      <w:pPr>
        <w:spacing w:after="0" w:line="191"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For the nine months ended September 30, 2020, cash used in operating activities consisted of a net loss of $67.8 million and an investment in net operating assets of $7.7 million, partially offset by non-cash operating expenses of $46.8 million. The investment in net operating assets was primary attributable to an increase in inventories of $1.6 million, increase in other current assets of $3.5 million, decrease in accrued expenses and other current liabilities of $6.6 million, decrease in unearned interest income of $1.6 million and decrease in other non-current liabilities of $0.7 million. This was partially offset by a decrease in accounts receivable of $5.3 million, primarily due to the decrease in subscription sales, decrease in prepaid expenses by $0.5 million, a decrease in severance pay funds of $0.1 million and an increase in accounts payable of $0.5 million. The non-cash operating expenses consisted mainly of goodwill impairment charge of $27.5 million, a provision for bad debts of $8.5 million, depreciation and amortization of $3.7 million, stock-based compensation expense of $1.6 million, provision for inventory obsolescence of $0.7 million, loss on sale of subsidiary of $0.4 million, deferred tax benefit of $1.2 million, a change in the fair value of the earn-out liability for the purchase of NeoGraft of $0.3 million and finance expenses of $5.3 million.</w:t>
      </w:r>
    </w:p>
    <w:p>
      <w:pPr>
        <w:spacing w:after="0" w:line="149"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In the nine months ended September 30, 2019, cash used in operating activities consisted of a net loss of $19.6 million and an investment in net operating assets of $14.6 million, partially offset by non-cash operating expenses of $8.3 million. The investment in net operating assets was primary attributable to an increase in accounts receivable of $19.1 million, primarily due to the increase in subscription sales, a decrease in the trade payables of $0.9 million and an increase in other current assets of $2.9 million. This was partially offset by a decrease in inventories of $4.0 million and an increase in accrued expenses and other current liabilities of $4.2 million. The non-cash operating expenses consisted mainly of a provision for bad debts of $2.9 million, depreciation and amortization of $1.1 million, stock-based compensation expense of $1.7 million, deferred tax expense of $0.5 million, a change in the fair value of the earn-out liability for the purchase of NeoGraft of $0.7 million, and a provision for inventory obsolescence of $0.5 million.</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from Investing Activities</w:t>
      </w:r>
    </w:p>
    <w:p>
      <w:pPr>
        <w:spacing w:after="0" w:line="191"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color w:val="auto"/>
        </w:rPr>
        <w:t>In the nine months ended September 30, 2020, cash used in investing activities consisted of $0.2 million for the purchase of property and equipment and $0.2 million of the proceeds from sale of subsidiary, net of $0.1 million of cash relinquished.</w:t>
      </w:r>
    </w:p>
    <w:p>
      <w:pPr>
        <w:spacing w:after="0" w:line="146"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In the nine months ended September 30, 2019, cash used in investing activities consisted of the issuance of the loan to Restoration Robotics of $4.5 million, the purchase of property and equipment of $0.6 million and the cash paid for purchase of the non-controlling interest in Venus Concept Israel Ltd. of $0.1 million.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from Financing Activities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In the nine months ended September 30, 2020, cash from financing activities consisted primarily of net proceeds from issuance of shares of common stock to Lincoln Park Shares of $6.2 million, proceeds from exercise of options of $0.1 million, net proceeds from 2020 Private Placement of $20.3 million and proceeds from government assistance loans of $4.1 million partially offset by repayment of $3.9 million under the Credit Facility, payment of dividends from subsidiary to non-controlling interest of $0.2 million and payment of the NeoGraft earn-out liability of $0.5 million.</w:t>
      </w:r>
    </w:p>
    <w:p>
      <w:pPr>
        <w:spacing w:after="0" w:line="158"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In the nine months ended September 30, 2019, cash from financing activities consisted primarily of net proceeds from the drawdown on the Madryn loan agreement of $9.7 million, net proceeds from issuance of unsecured senior subordinated convertible promissory notes of $28.8 million, proceeds from exercise of options of $0.4 million and proceeds from the drawdown on the CNB credit facility of $1.9 million partially offset by payments related to the NeoGraft earn-out liability of $0.5 million, and NeoGraft annual installment payment of $0.3 million.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i w:val="1"/>
          <w:iCs w:val="1"/>
          <w:color w:val="auto"/>
        </w:rPr>
        <w:t>Contractual Obligations and Other Commitments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Our premises and those of our subsidiaries are leased under various operating lease agreements, which expire on various dates.</w:t>
      </w:r>
    </w:p>
    <w:p>
      <w:pPr>
        <w:spacing w:after="0" w:line="191" w:lineRule="exact"/>
        <w:rPr>
          <w:sz w:val="20"/>
          <w:szCs w:val="20"/>
          <w:color w:val="auto"/>
        </w:rPr>
      </w:pPr>
    </w:p>
    <w:p>
      <w:pPr>
        <w:ind w:right="80"/>
        <w:spacing w:after="0" w:line="358" w:lineRule="auto"/>
        <w:rPr>
          <w:sz w:val="20"/>
          <w:szCs w:val="20"/>
          <w:color w:val="auto"/>
        </w:rPr>
      </w:pPr>
      <w:r>
        <w:rPr>
          <w:rFonts w:ascii="Arial" w:cs="Arial" w:eastAsia="Arial" w:hAnsi="Arial"/>
          <w:sz w:val="13"/>
          <w:szCs w:val="13"/>
          <w:color w:val="auto"/>
        </w:rPr>
        <w:t>As of September 30, 2020, we had non-cancellable purchase orders placed with our contract manufacturers in the amount of $5.3 million. In addition, as of September 30, 2020, we had $3.1 million of open purchase orders that can be cancelled with 90 days’ notice, except for a portion equal to 15% of the total amount representing the purchase of “long lead items”.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contractual obligations as of September 30, 2020, which represent material expected or contractually committed future obligations.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45"/>
        </w:trPr>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Payments Due by Period</w:t>
            </w: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ind w:right="69"/>
              <w:spacing w:after="0" w:line="108" w:lineRule="exact"/>
              <w:rPr>
                <w:sz w:val="20"/>
                <w:szCs w:val="20"/>
                <w:color w:val="auto"/>
              </w:rPr>
            </w:pPr>
            <w:r>
              <w:rPr>
                <w:rFonts w:ascii="Arial" w:cs="Arial" w:eastAsia="Arial" w:hAnsi="Arial"/>
                <w:sz w:val="12"/>
                <w:szCs w:val="12"/>
                <w:b w:val="1"/>
                <w:bCs w:val="1"/>
                <w:color w:val="auto"/>
                <w:w w:val="87"/>
              </w:rPr>
              <w:t>Less than 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67"/>
              <w:spacing w:after="0"/>
              <w:rPr>
                <w:sz w:val="20"/>
                <w:szCs w:val="20"/>
                <w:color w:val="auto"/>
              </w:rPr>
            </w:pPr>
            <w:r>
              <w:rPr>
                <w:rFonts w:ascii="Arial" w:cs="Arial" w:eastAsia="Arial" w:hAnsi="Arial"/>
                <w:sz w:val="12"/>
                <w:szCs w:val="12"/>
                <w:b w:val="1"/>
                <w:bCs w:val="1"/>
                <w:color w:val="auto"/>
                <w:w w:val="88"/>
              </w:rPr>
              <w:t>1 to 3 Years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 to 5 Years</w:t>
            </w:r>
          </w:p>
        </w:tc>
        <w:tc>
          <w:tcPr>
            <w:tcW w:w="20" w:type="dxa"/>
            <w:vAlign w:val="bottom"/>
          </w:tcPr>
          <w:p>
            <w:pPr>
              <w:spacing w:after="0"/>
              <w:rPr>
                <w:sz w:val="9"/>
                <w:szCs w:val="9"/>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More than 5 Years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49"/>
              <w:spacing w:after="0"/>
              <w:rPr>
                <w:sz w:val="20"/>
                <w:szCs w:val="20"/>
                <w:color w:val="auto"/>
              </w:rPr>
            </w:pPr>
            <w:r>
              <w:rPr>
                <w:rFonts w:ascii="Arial" w:cs="Arial" w:eastAsia="Arial" w:hAnsi="Arial"/>
                <w:sz w:val="12"/>
                <w:szCs w:val="12"/>
                <w:b w:val="1"/>
                <w:bCs w:val="1"/>
                <w:color w:val="auto"/>
              </w:rPr>
              <w:t>Year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4"/>
          </w:tcPr>
          <w:p>
            <w:pPr>
              <w:jc w:val="center"/>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Debt obligations, including interest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6,084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73,679</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39"/>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79,763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5"/>
                <w:szCs w:val="15"/>
                <w:color w:val="auto"/>
              </w:rPr>
              <w:t>Operating leases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1,974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1,817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1,047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5,330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Purchase commitments</w:t>
            </w:r>
          </w:p>
        </w:tc>
        <w:tc>
          <w:tcPr>
            <w:tcW w:w="48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5,743</w:t>
            </w:r>
          </w:p>
        </w:tc>
        <w:tc>
          <w:tcPr>
            <w:tcW w:w="20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20"/>
                <w:szCs w:val="20"/>
                <w:color w:val="auto"/>
              </w:rPr>
            </w:pPr>
            <w:r>
              <w:rPr>
                <w:rFonts w:ascii="Arial" w:cs="Arial" w:eastAsia="Arial" w:hAnsi="Arial"/>
                <w:sz w:val="15"/>
                <w:szCs w:val="15"/>
                <w:color w:val="auto"/>
              </w:rPr>
              <w:t>Total contractual obligations</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13,801</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75,496</w:t>
            </w: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492</w:t>
            </w:r>
          </w:p>
        </w:tc>
        <w:tc>
          <w:tcPr>
            <w:tcW w:w="180" w:type="dxa"/>
            <w:vAlign w:val="bottom"/>
          </w:tcPr>
          <w:p>
            <w:pPr>
              <w:spacing w:after="0"/>
              <w:rPr>
                <w:sz w:val="15"/>
                <w:szCs w:val="15"/>
                <w:color w:val="auto"/>
              </w:rPr>
            </w:pPr>
          </w:p>
        </w:tc>
        <w:tc>
          <w:tcPr>
            <w:tcW w:w="400" w:type="dxa"/>
            <w:vAlign w:val="bottom"/>
            <w:gridSpan w:val="2"/>
          </w:tcPr>
          <w:p>
            <w:pPr>
              <w:jc w:val="right"/>
              <w:ind w:right="239"/>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1,047</w:t>
            </w:r>
          </w:p>
        </w:tc>
        <w:tc>
          <w:tcPr>
            <w:tcW w:w="200" w:type="dxa"/>
            <w:vAlign w:val="bottom"/>
          </w:tcPr>
          <w:p>
            <w:pPr>
              <w:spacing w:after="0"/>
              <w:rPr>
                <w:sz w:val="15"/>
                <w:szCs w:val="15"/>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90,836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For an additional description of our commitments see Note 8, “Commitments and Contingencies” to the condensed consolidated financial statements included elsewhere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5" w:lineRule="exact"/>
        <w:rPr>
          <w:sz w:val="20"/>
          <w:szCs w:val="20"/>
          <w:color w:val="auto"/>
        </w:rPr>
      </w:pPr>
    </w:p>
    <w:p>
      <w:pPr>
        <w:ind w:right="120"/>
        <w:spacing w:after="0" w:line="259" w:lineRule="auto"/>
        <w:rPr>
          <w:sz w:val="20"/>
          <w:szCs w:val="20"/>
          <w:color w:val="auto"/>
        </w:rPr>
      </w:pPr>
      <w:r>
        <w:rPr>
          <w:rFonts w:ascii="Arial" w:cs="Arial" w:eastAsia="Arial" w:hAnsi="Arial"/>
          <w:sz w:val="15"/>
          <w:szCs w:val="15"/>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60" w:lineRule="exact"/>
        <w:rPr>
          <w:sz w:val="20"/>
          <w:szCs w:val="20"/>
          <w:color w:val="auto"/>
        </w:rPr>
      </w:pPr>
    </w:p>
    <w:p>
      <w:pPr>
        <w:ind w:right="400"/>
        <w:spacing w:after="0" w:line="261" w:lineRule="auto"/>
        <w:rPr>
          <w:sz w:val="20"/>
          <w:szCs w:val="20"/>
          <w:color w:val="auto"/>
        </w:rPr>
      </w:pPr>
      <w:r>
        <w:rPr>
          <w:rFonts w:ascii="Arial" w:cs="Arial" w:eastAsia="Arial" w:hAnsi="Arial"/>
          <w:sz w:val="15"/>
          <w:szCs w:val="15"/>
          <w:color w:val="auto"/>
        </w:rPr>
        <w:t>Our significant accounting policies are more fully described in Note 2 to our Annual Report filed on Form 10-K for the year ended December 31, 2019. We believe that the assumptions and estimates associated with stock-based compensation, goodwill impairment, allowance for doubtful accounts, revenue recognition, accrual for severance and income taxes have the most significant impact on our condensed consolidated financial statements, and therefore, consider these to be our critical accounting policies and estimates.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91"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color w:val="auto"/>
        </w:rPr>
        <w:t>We generate revenue from (1) sales of systems through our subscription model, traditional system sales to customers and distributors, (2) other product revenues from the sale of ARTAS procedure kits, marketing supplies and kits, consumables and Venus Concept’s skincare and hair products and (3) service revenue from the sale of our VeroGrafters™ technician services, our 2two5 internal advertising agency and our extended warranty service contracts provided to existing customers.</w:t>
      </w:r>
    </w:p>
    <w:p>
      <w:pPr>
        <w:spacing w:after="0" w:line="156"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The Company recognizes revenues on other products and services in accordance with ASC 606. Revenue is recognized based on the following five steps: (1) identification of the contract(s) with the customer; (2) identification of the performance obligations in the contract; (3) determine the transaction price; and (4) allocate the transaction price to the separate performance obligations in the contract; and (5) recognize revenue when (or as) the entity satisfies a performance obligation.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We record our revenue net of sales tax and shipping and handling costs.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50" w:name="page51"/>
    <w:bookmarkEnd w:id="50"/>
    <w:p>
      <w:pPr>
        <w:ind w:left="9"/>
        <w:spacing w:after="0"/>
        <w:rPr>
          <w:sz w:val="20"/>
          <w:szCs w:val="20"/>
          <w:color w:val="auto"/>
        </w:rPr>
      </w:pPr>
      <w:r>
        <w:rPr>
          <w:rFonts w:ascii="Arial" w:cs="Arial" w:eastAsia="Arial" w:hAnsi="Arial"/>
          <w:sz w:val="15"/>
          <w:szCs w:val="15"/>
          <w:b w:val="1"/>
          <w:bCs w:val="1"/>
          <w:i w:val="1"/>
          <w:iCs w:val="1"/>
          <w:color w:val="auto"/>
        </w:rPr>
        <w:t>Long-term receivables</w:t>
      </w:r>
    </w:p>
    <w:p>
      <w:pPr>
        <w:spacing w:after="0" w:line="191" w:lineRule="exact"/>
        <w:rPr>
          <w:sz w:val="20"/>
          <w:szCs w:val="20"/>
          <w:color w:val="auto"/>
        </w:rPr>
      </w:pPr>
    </w:p>
    <w:p>
      <w:pPr>
        <w:ind w:left="9"/>
        <w:spacing w:after="0" w:line="261" w:lineRule="auto"/>
        <w:rPr>
          <w:sz w:val="20"/>
          <w:szCs w:val="20"/>
          <w:color w:val="auto"/>
        </w:rPr>
      </w:pPr>
      <w:r>
        <w:rPr>
          <w:rFonts w:ascii="Arial" w:cs="Arial" w:eastAsia="Arial" w:hAnsi="Arial"/>
          <w:sz w:val="15"/>
          <w:szCs w:val="15"/>
          <w:color w:val="auto"/>
        </w:rPr>
        <w:t>Long-term receivables relate to our subscription contract revenue or contracts which stipulate payment terms which exceed one year. They are comprised of the unpaid principal balance, net of the allowance for doubtful accounts. These receivables have been discounted based on the implicit interest rate in the subscription lease which ranged between 8% to 9% for the nine months ended September 30, 2020 and September 30, 2019, respectively. Unearned interest revenue represents the interest only portion of the respective subscription payments and will be recognized in income over the respective payment term as it is earned.</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191" w:lineRule="exact"/>
        <w:rPr>
          <w:sz w:val="20"/>
          <w:szCs w:val="20"/>
          <w:color w:val="auto"/>
        </w:rPr>
      </w:pPr>
    </w:p>
    <w:p>
      <w:pPr>
        <w:jc w:val="both"/>
        <w:ind w:left="9" w:right="400"/>
        <w:spacing w:after="0" w:line="265" w:lineRule="auto"/>
        <w:rPr>
          <w:sz w:val="20"/>
          <w:szCs w:val="20"/>
          <w:color w:val="auto"/>
        </w:rPr>
      </w:pPr>
      <w:r>
        <w:rPr>
          <w:rFonts w:ascii="Arial" w:cs="Arial" w:eastAsia="Arial" w:hAnsi="Arial"/>
          <w:sz w:val="15"/>
          <w:szCs w:val="15"/>
          <w:color w:val="auto"/>
        </w:rPr>
        <w:t>The allowance for doubtful accounts is based on our assessment of the collectability of customer accounts and the aging of the related invoices and represents our best estimate of probable credit losses in its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Warranty accrual</w:t>
      </w:r>
    </w:p>
    <w:p>
      <w:pPr>
        <w:spacing w:after="0" w:line="191" w:lineRule="exact"/>
        <w:rPr>
          <w:sz w:val="20"/>
          <w:szCs w:val="20"/>
          <w:color w:val="auto"/>
        </w:rPr>
      </w:pPr>
    </w:p>
    <w:p>
      <w:pPr>
        <w:ind w:left="9" w:right="100"/>
        <w:spacing w:after="0" w:line="259" w:lineRule="auto"/>
        <w:rPr>
          <w:sz w:val="20"/>
          <w:szCs w:val="20"/>
          <w:color w:val="auto"/>
        </w:rPr>
      </w:pPr>
      <w:r>
        <w:rPr>
          <w:rFonts w:ascii="Arial" w:cs="Arial" w:eastAsia="Arial" w:hAnsi="Arial"/>
          <w:sz w:val="15"/>
          <w:szCs w:val="15"/>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91" w:lineRule="exact"/>
        <w:rPr>
          <w:sz w:val="20"/>
          <w:szCs w:val="20"/>
          <w:color w:val="auto"/>
        </w:rPr>
      </w:pPr>
    </w:p>
    <w:p>
      <w:pPr>
        <w:ind w:left="9" w:right="20"/>
        <w:spacing w:after="0" w:line="278" w:lineRule="auto"/>
        <w:rPr>
          <w:sz w:val="20"/>
          <w:szCs w:val="20"/>
          <w:color w:val="auto"/>
        </w:rPr>
      </w:pPr>
      <w:r>
        <w:rPr>
          <w:rFonts w:ascii="Arial" w:cs="Arial" w:eastAsia="Arial" w:hAnsi="Arial"/>
          <w:sz w:val="15"/>
          <w:szCs w:val="15"/>
          <w:color w:val="auto"/>
        </w:rPr>
        <w:t>We account for stock-based compensation costs in accordance with the accounting standards for stock-based compensation, which require that all stock-based payments to employees be recognized in the consolidated statements of operations based on their fair values.</w:t>
      </w:r>
    </w:p>
    <w:p>
      <w:pPr>
        <w:spacing w:after="0" w:line="146" w:lineRule="exact"/>
        <w:rPr>
          <w:sz w:val="20"/>
          <w:szCs w:val="20"/>
          <w:color w:val="auto"/>
        </w:rPr>
      </w:pPr>
    </w:p>
    <w:p>
      <w:pPr>
        <w:ind w:left="9" w:right="40"/>
        <w:spacing w:after="0" w:line="265" w:lineRule="auto"/>
        <w:rPr>
          <w:sz w:val="20"/>
          <w:szCs w:val="20"/>
          <w:color w:val="auto"/>
        </w:rPr>
      </w:pPr>
      <w:r>
        <w:rPr>
          <w:rFonts w:ascii="Arial" w:cs="Arial" w:eastAsia="Arial" w:hAnsi="Arial"/>
          <w:sz w:val="15"/>
          <w:szCs w:val="15"/>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award. We recognize the expense associated with options using a single-award approach over the requisite service period.</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Financial statements in U.S. dollars</w:t>
      </w:r>
    </w:p>
    <w:p>
      <w:pPr>
        <w:spacing w:after="0" w:line="191" w:lineRule="exact"/>
        <w:rPr>
          <w:sz w:val="20"/>
          <w:szCs w:val="20"/>
          <w:color w:val="auto"/>
        </w:rPr>
      </w:pPr>
    </w:p>
    <w:p>
      <w:pPr>
        <w:ind w:left="9" w:right="180"/>
        <w:spacing w:after="0" w:line="265" w:lineRule="auto"/>
        <w:rPr>
          <w:sz w:val="20"/>
          <w:szCs w:val="20"/>
          <w:color w:val="auto"/>
        </w:rPr>
      </w:pPr>
      <w:r>
        <w:rPr>
          <w:rFonts w:ascii="Arial" w:cs="Arial" w:eastAsia="Arial" w:hAnsi="Arial"/>
          <w:sz w:val="15"/>
          <w:szCs w:val="15"/>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56" w:lineRule="exact"/>
        <w:rPr>
          <w:sz w:val="20"/>
          <w:szCs w:val="20"/>
          <w:color w:val="auto"/>
        </w:rPr>
      </w:pPr>
    </w:p>
    <w:p>
      <w:pPr>
        <w:ind w:left="9" w:right="140"/>
        <w:spacing w:after="0" w:line="293" w:lineRule="auto"/>
        <w:rPr>
          <w:sz w:val="20"/>
          <w:szCs w:val="20"/>
          <w:color w:val="auto"/>
        </w:rPr>
      </w:pPr>
      <w:r>
        <w:rPr>
          <w:rFonts w:ascii="Arial" w:cs="Arial" w:eastAsia="Arial" w:hAnsi="Arial"/>
          <w:sz w:val="14"/>
          <w:szCs w:val="14"/>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condensed consolidated statement of operations as they arise.</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JOBS Act Accounting Election</w:t>
      </w:r>
    </w:p>
    <w:p>
      <w:pPr>
        <w:spacing w:after="0" w:line="195" w:lineRule="exact"/>
        <w:rPr>
          <w:sz w:val="20"/>
          <w:szCs w:val="20"/>
          <w:color w:val="auto"/>
        </w:rPr>
      </w:pPr>
    </w:p>
    <w:p>
      <w:pPr>
        <w:ind w:left="9"/>
        <w:spacing w:after="0" w:line="296" w:lineRule="auto"/>
        <w:rPr>
          <w:sz w:val="20"/>
          <w:szCs w:val="20"/>
          <w:color w:val="auto"/>
        </w:rPr>
      </w:pPr>
      <w:r>
        <w:rPr>
          <w:rFonts w:ascii="Arial" w:cs="Arial" w:eastAsia="Arial" w:hAnsi="Arial"/>
          <w:sz w:val="13"/>
          <w:szCs w:val="13"/>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w:t>
      </w:r>
    </w:p>
    <w:p>
      <w:pPr>
        <w:spacing w:after="0" w:line="1" w:lineRule="exact"/>
        <w:rPr>
          <w:sz w:val="20"/>
          <w:szCs w:val="20"/>
          <w:color w:val="auto"/>
        </w:rPr>
      </w:pPr>
    </w:p>
    <w:p>
      <w:pPr>
        <w:ind w:left="9" w:right="460" w:hanging="9"/>
        <w:spacing w:after="0" w:line="343" w:lineRule="auto"/>
        <w:tabs>
          <w:tab w:leader="none" w:pos="19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10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ind w:left="9"/>
        <w:spacing w:after="0" w:line="278" w:lineRule="auto"/>
        <w:rPr>
          <w:sz w:val="20"/>
          <w:szCs w:val="20"/>
          <w:color w:val="auto"/>
        </w:rPr>
      </w:pPr>
      <w:r>
        <w:rPr>
          <w:rFonts w:ascii="Arial" w:cs="Arial" w:eastAsia="Arial" w:hAnsi="Arial"/>
          <w:sz w:val="15"/>
          <w:szCs w:val="15"/>
          <w:color w:val="auto"/>
        </w:rPr>
        <w:t>See Note 2 to our condensed consolidated financial statements included elsewhere in this Quarterly Report on Form 10-Q for recently issued accounting pronouncements not yet adopted as of the date of this Quarterly Report on Form 10-Q.</w:t>
      </w:r>
    </w:p>
    <w:p>
      <w:pPr>
        <w:spacing w:after="0" w:line="327"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851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9"/>
          </w:cols>
          <w:pgMar w:left="311" w:top="311" w:right="35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As a smaller reporting company, we are not required to provide disclosure for this Item.</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As of September 30, 2020, our management, under the supervision of our Chief Executive Officer and Chief Financial Officer, performed an evaluation of the effectiveness of our disclosure controls and procedures as defined in Rules 13a-15(e) and 15d-15(e) under the Securities Exchange Act of 1934, as amended (the “Exchange Act”), to ensure that information required to be disclosed by the Company in the reports that it files or submits under the Exchange Act is recorded, processed, summarized and reported within the time periods specified in the Securities and Exchange Commission’s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not effective as of September 30, 2020, because of the material weakness in internal control over financial reporting described below.</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Annual Report on Internal Control Over Financial Reporting</w:t>
      </w:r>
    </w:p>
    <w:p>
      <w:pPr>
        <w:spacing w:after="0" w:line="195"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not effective as of September 30, 2020, because of a material weakness in internal controls over financial reporting, associated with the lease accounting process automation which was identified during the audit of our fiscal year ended December 31, 2018, as described below.</w:t>
      </w:r>
    </w:p>
    <w:p>
      <w:pPr>
        <w:spacing w:after="0" w:line="144"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on Effectiveness of Controls and Procedures</w:t>
      </w:r>
    </w:p>
    <w:p>
      <w:pPr>
        <w:spacing w:after="0" w:line="195"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Weakness not yet Remediated as of September 30, 2020</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In connection with our preparation and the audit of our consolidated financial statements as of and for the years ended December 31, 2018 and 2017, we identified a material weakness related to lack of centralized procedures or a technology solution that would ensure appropriate lessor accounting processes and enable the accurate and timely preparation of financial statements. As of September 30, 2020, we have not yet implemented centralized procedures or a technology solution that would ensure appropriate lessor accounting processes and enable the accurate and timely preparation of consolidated financial statements. We plan to establish adequate centralized procedures related to lease accounting processes in the fourth quarter of 2020, which could involve either hiring additional personnel or implementing a technology solution. As a result, we concluded that the material weakness associated with lease accounting process existed as of September 30, 2020, as noted above.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95" w:lineRule="exact"/>
        <w:rPr>
          <w:sz w:val="20"/>
          <w:szCs w:val="20"/>
          <w:color w:val="auto"/>
        </w:rPr>
      </w:pPr>
    </w:p>
    <w:p>
      <w:pPr>
        <w:jc w:val="both"/>
        <w:ind w:right="120"/>
        <w:spacing w:after="0" w:line="261" w:lineRule="auto"/>
        <w:rPr>
          <w:sz w:val="20"/>
          <w:szCs w:val="20"/>
          <w:color w:val="auto"/>
        </w:rPr>
      </w:pPr>
      <w:r>
        <w:rPr>
          <w:rFonts w:ascii="Arial" w:cs="Arial" w:eastAsia="Arial" w:hAnsi="Arial"/>
          <w:sz w:val="15"/>
          <w:szCs w:val="15"/>
          <w:color w:val="auto"/>
        </w:rPr>
        <w:t>Our plans for remediating the material weakness related to lease accounting process automation would constitute a change in our internal control over financial reporting prospectively, when such controls are effectively implemented. Other than the continuation of the implementation of measures described above, there were no material changes in our internal control over financial reporting during the three and nine months ended September 30, 2020,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5"/>
          <w:szCs w:val="15"/>
          <w:b w:val="1"/>
          <w:bCs w:val="1"/>
          <w:color w:val="auto"/>
        </w:rPr>
        <w:t>PART II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ITEM 1. LEGAL PROCEEDINGS</w:t>
      </w:r>
    </w:p>
    <w:p>
      <w:pPr>
        <w:spacing w:after="0" w:line="195"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In the ordinary course of our operations, we become involved in ordinary routine litigation incidental to the business. Material proceedings are described under Note 8, “Commitments and Contingencies” to the condensed consolidated financial statements included elsewhere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ITEM 1A. RISK FACTORS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3"/>
          <w:szCs w:val="13"/>
          <w:i w:val="1"/>
          <w:iCs w:val="1"/>
          <w:color w:val="231F20"/>
        </w:rPr>
        <w:t>Our operations and financial results are subject to various risk and uncertainties, including those described below and the risk factors described under Part II Item 1A,“Risk Factors” in our Form 10-Q for the quarters ended March 31, 2020 and June 30, 2020 and Part I, Item 1A. “Risk Factors” in our latest Form 10-K, any of which could adversely affect our business, results of operations, financial condition and prospects. In such an event, the market price of our common stock could decline, and you may lose all or part of your investment.</w:t>
      </w:r>
    </w:p>
    <w:p>
      <w:pPr>
        <w:spacing w:after="0" w:line="1"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i w:val="1"/>
          <w:iCs w:val="1"/>
          <w:color w:val="231F20"/>
        </w:rPr>
        <w:t>Additional risks and uncertainties not presently known to us or that we currently deem immaterial may also impair our business operations. You should carefully consider the risk described below and the other information in this Quarterly Report on Form 10-Q, our unaudited condensed consolidated financial statements and the related notes thereto, and “Management’s Discussion and Analysis of Financial Condition and Results of Operations”, include herewith, and the risk factors previously disclosed in Part II Item 1A,“Risk Factors” in our Form 10-Q for the quarters ended March 31, 2020 and June 30, 2020 and Part I, Item 1A. “Risk Factors” in our Form 10-K.</w:t>
      </w:r>
    </w:p>
    <w:p>
      <w:pPr>
        <w:spacing w:after="0" w:line="145" w:lineRule="exact"/>
        <w:rPr>
          <w:sz w:val="20"/>
          <w:szCs w:val="20"/>
          <w:color w:val="auto"/>
        </w:rPr>
      </w:pPr>
    </w:p>
    <w:p>
      <w:pPr>
        <w:ind w:right="300"/>
        <w:spacing w:after="0" w:line="278" w:lineRule="auto"/>
        <w:rPr>
          <w:sz w:val="20"/>
          <w:szCs w:val="20"/>
          <w:color w:val="auto"/>
        </w:rPr>
      </w:pPr>
      <w:r>
        <w:rPr>
          <w:rFonts w:ascii="Arial" w:cs="Arial" w:eastAsia="Arial" w:hAnsi="Arial"/>
          <w:sz w:val="15"/>
          <w:szCs w:val="15"/>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For nine months ended September 30, 2020 and 2019, approximately 57% and 70% respectively, and for the years ended December 31, 2019 and 2018, approximately 67% and 75%, respectively, of our system revenues were derived from our subscription-based model. Although the ARTAS® System will not be available under our subscription-based model, we expect that our subscription-based business model to continue to represent the majority of our revenue for the foreseeable future. We collect an up-front fee, combined with a monthly payment schedule typically over a period of 36 months, with approximately 40%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As part of our sales and marketing effort, we do not require our customers to undergo a credit check or register a lien or security interest under the Uniform Commercial Code or similar legislation, as is typically required with a third-party equipment leasing financing. Instead, to ensure that each monthly product payment is made on time and that the customer’s systems are serviced in accordance with the terms of the warranty, every product requires a monthly activation code, which we provide to the customer upon receiving each monthly payment. If a customer does not timely pay a monthly installment, the customer will not receive an activation code and will be unable to use the system for any procedures. This process does not protect us from the economic impact of a customer’s failure to make its monthly payments and as an unsecured creditor, we are subject to a greater risk in the event of a customer default. We cannot provide any assurance that the financial position of customers purchasing products and services under a subscription agreement will not change adversely before we receive all of the monthly installment payments due under the contract. As a result of the global economic turmoil that has resulted from COVID-19, many of our customers are experiencing difficulty in making timely payments or payments at all during this pandemic under their subscription agreements which has resulted in higher than anticipated bad debt expense over the course of the 2020 fiscal year. In our largest subscription markets we collected approximately 60% of our billings in March 2020, 30% of our billings in April 2020, 35% in May 2020 60% in June 2020, 104% in July 2020, 97% in August 2020 and 98% in September 2020. We cannot assure you that our customers will resume payments under their agreements or that we will not experience customer defaults even after local economies reopen for business. In the event that there is a default by any of the customers to whom we have sold systems under the subscription-based model, we may recognize bad debt expenses in our general and administrative expenses. If this bad debt expense is material, it could negatively affect our results of operations and operating cash flows.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i w:val="1"/>
          <w:iCs w:val="1"/>
          <w:color w:val="auto"/>
        </w:rPr>
        <w:t>Our recurring losses from operations and negative operating cash flows raise substantial doubt about our ability to continue as a going concern.</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We have had recurring net operating losses and negative cash flows from operations, and until we generate revenue at a level to support our cost structure, we expect to continue to incur substantial operating losses and net cash outflows. As of September 30, 2020 and December 31, 2019, we had an accumulated deficit of $142.7 million and $75.7 million, respectively. Our recurring losses from operations and negative operating cash flows raise substantial doubt about our ability to continue as a going concern, meaning that we may be unable to continue operations for the foreseeable future or realize assets and discharge liabilities in the ordinary course of operations. In order to continue our operations, we must achieve profitable operations and/or obtain additional equity or debt financing. However, given the COVID-19 pandemic, we cannot anticipate the extent to which the current economic turmoil and financial market conditions, will continue to adversely impact our business and our ability to raise additional capital to fund our future operations and to access the capital markets sooner than we planned.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 The perception of our ability to continue as a going concern may make it more difficult for us to obtain financing for the continuation of our operations and could result in the loss of confidence by investors, suppliers and employees. Our condensed consolidated financial statements do not include any adjustments that may result from the outcome of this uncertainty.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or economic disruptions or global health concerns have had an adverse effect our business, operating results or financial condition.</w:t>
      </w:r>
    </w:p>
    <w:p>
      <w:pPr>
        <w:spacing w:after="0" w:line="191" w:lineRule="exact"/>
        <w:rPr>
          <w:sz w:val="20"/>
          <w:szCs w:val="20"/>
          <w:color w:val="auto"/>
        </w:rPr>
      </w:pPr>
    </w:p>
    <w:p>
      <w:pPr>
        <w:ind w:right="60"/>
        <w:spacing w:after="0" w:line="296" w:lineRule="auto"/>
        <w:rPr>
          <w:sz w:val="20"/>
          <w:szCs w:val="20"/>
          <w:color w:val="auto"/>
        </w:rPr>
      </w:pPr>
      <w:r>
        <w:rPr>
          <w:rFonts w:ascii="Arial" w:cs="Arial" w:eastAsia="Arial" w:hAnsi="Arial"/>
          <w:sz w:val="13"/>
          <w:szCs w:val="13"/>
          <w:color w:val="auto"/>
        </w:rPr>
        <w:t>Global business or economic disruptions could adversely affect our business. In December 2019, an outbreak of COVID-19 originated in Wuhan, China, and has since spread globally. To date, this global pandemic has resulted in extended shutdowns of businesses in North and South America, Europe and Asia Pacific and gradual re-openings of economies. Global health concerns, such as the coronavirus pandemic, could also result in social, economic, and labor instability in the countries in which we or the third parties with whom we engage operate. We cannot presently predict the scope and ultimate severity or duration of the coronavirus pandemic and related business and economic disruptions, but the coronavirus pandemic and the resulting economic and commercial shutdowns to date have materially and negatively impacted our ability to conduct business in the manner planned. Disruptions to our business include restrictions on the ability of our sales and marketing personnel and distributors to travel and sell our systems, disruptions of our global supply chain, disruptions in manufacturing, reduced demand and/or suspension of operations by our customers which has impacted their ability to make monthly subscription payments, and the deferral of aesthetic or hair restoration procedures. Our customers’ patients are also affected by the economic impact of the COVID-19 pandemic. Elective aesthetic procedures are less of a priority than other items for those patients that have lost their jobs, are furloughed, have reduced work hours or have to allocate their cash to other priorities. We expect COVID-19 will continue to negatively affect customer demand throughout the second half of the year. While we expect continued recovery in many markets in the second half of the year, recoveries have been gradual and the impact of COVID-19 on our sales could still be significant, especially if there is a resurgence of the virus in major markets. We do not yet know the full extent of the impact of COVID-19 on our business, financial condition and results of operations. The extent to which the COVID-19 pandemic may impact our business, operating results, financial condition, or liquidity in the future will depend on future developments which are evolving and highly uncertain including the duration of the outbreak, the severity of resurgences of the virus, travel restrictions, business and workforce disruptions, the timing of and extent of reopening the economic regions in which we do business and the effectiveness of actions taken to contain and treat the disease. The outbreak of contagious diseases or the fear of such an outbreak could adversely affect the economies and financial markets of many countries, resulting in an economic downturn that could affect the demand for our systems. Any of these events could negatively impact our business, operating results or financial condition.</w:t>
      </w:r>
    </w:p>
    <w:p>
      <w:pPr>
        <w:spacing w:after="0" w:line="139"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5"/>
          <w:szCs w:val="15"/>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and seeking regulatory clearances and approvals to market future products will require substantial funds to complete. As of September 30, 2020, we had capital resources consisting of cash and cash equivalents of approximately $14.0 million. We believe that we will continue to expend substantial resources for the foreseeable future in connection with the ongoing commercializing of our systems, our sales and marketing efforts, and continuing research and development and product enhancements activities.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54" w:name="page55"/>
    <w:bookmarkEnd w:id="54"/>
    <w:p>
      <w:pPr>
        <w:spacing w:after="0" w:line="274" w:lineRule="auto"/>
        <w:rPr>
          <w:sz w:val="20"/>
          <w:szCs w:val="20"/>
          <w:color w:val="auto"/>
        </w:rPr>
      </w:pPr>
      <w:r>
        <w:rPr>
          <w:rFonts w:ascii="Arial" w:cs="Arial" w:eastAsia="Arial" w:hAnsi="Arial"/>
          <w:sz w:val="14"/>
          <w:szCs w:val="14"/>
          <w:color w:val="auto"/>
        </w:rPr>
        <w:t>While we believe that the net proceeds from the 2020 Private Placement, the proceeds from sales of our common stock to Lincoln Park and the proceeds from the PPP Loans and other government assistance programs, together with our existing cash and cash equivalents, and the anticipated savings from our Merger-related cost savings initiatives and our new restructuring program, will enable us to fund our operating expenses and capital expenditure requirements for at least the next 12 months, the impact of COVID-19 on our business has been significant and we cannot predict the extent to which COVID-19 will continue to adversely impact our business. Also, under the terms of our amended Madryn Agreement, we are required to raise at least $5.0 million of cash proceeds from the issuance of equity during the period June 1, 2020 through September 30, 2020 and are obligated to use our best efforts to raise an additional $2.0 million of cash proceeds from the issuance of equity during the period June 1, 2020 through September 30, 2020. As of September 30, 2020, we have raised $6.2 million in satisfaction of this obligation. Also, we may need to raise additional capital through public or private equity or debt financings or other sources, such as strategic collaborations sooner than expected or otherwise implement additional cost-saving initiatives. The COVID-19 pandemic and the economic turmoil it has caused has negatively affected the global financial markets which may make it difficult to access the public markets. Any such financing may result in dilution to stockholders, the issuance of securities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or given other strategic considerations even if we believe we have sufficient capital to fund our current or future operating plans.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Additional funds may not be available when we need them, on terms that are acceptable to us, or at all. If adequate funds are not available to us on a timely basis, we may be required to:</w:t>
      </w:r>
    </w:p>
    <w:p>
      <w:pPr>
        <w:spacing w:after="0" w:line="214" w:lineRule="exact"/>
        <w:rPr>
          <w:sz w:val="20"/>
          <w:szCs w:val="20"/>
          <w:color w:val="auto"/>
        </w:rPr>
      </w:pPr>
    </w:p>
    <w:p>
      <w:pPr>
        <w:ind w:left="740" w:hanging="374"/>
        <w:spacing w:after="0"/>
        <w:tabs>
          <w:tab w:leader="none" w:pos="7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 or curtail our efforts to develop system product enhancements or new products, including any clinical trials that may be required to market such enhancements;</w:t>
      </w:r>
    </w:p>
    <w:p>
      <w:pPr>
        <w:spacing w:after="0" w:line="111" w:lineRule="exact"/>
        <w:rPr>
          <w:rFonts w:ascii="Arial" w:cs="Arial" w:eastAsia="Arial" w:hAnsi="Arial"/>
          <w:sz w:val="14"/>
          <w:szCs w:val="14"/>
          <w:color w:val="auto"/>
        </w:rPr>
      </w:pPr>
    </w:p>
    <w:p>
      <w:pPr>
        <w:ind w:left="740" w:hanging="374"/>
        <w:spacing w:after="0"/>
        <w:tabs>
          <w:tab w:leader="none" w:pos="7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delay or curtail our plans to increase and expand our sales and marketing efforts; or</w:t>
      </w:r>
    </w:p>
    <w:p>
      <w:pPr>
        <w:spacing w:after="0" w:line="100" w:lineRule="exact"/>
        <w:rPr>
          <w:rFonts w:ascii="Arial" w:cs="Arial" w:eastAsia="Arial" w:hAnsi="Arial"/>
          <w:sz w:val="15"/>
          <w:szCs w:val="15"/>
          <w:color w:val="auto"/>
        </w:rPr>
      </w:pPr>
    </w:p>
    <w:p>
      <w:pPr>
        <w:ind w:left="740" w:hanging="374"/>
        <w:spacing w:after="0"/>
        <w:tabs>
          <w:tab w:leader="none" w:pos="7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delay or curtail our plans to enhance our customer support and marketing activities.</w:t>
      </w:r>
    </w:p>
    <w:p>
      <w:pPr>
        <w:spacing w:after="0" w:line="191"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We are restricted by covenants in the Madryn Credit Agreement, the CNB Credit Facility, the PPP Loans and other government assistance programs. These covenants restrict, among other things, our ability to incur additional indebtedness, which may limit our ability to obtain additional debt financing. In addition, the Madryn Credit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 In the event that the COVID-19 pandemic and the economic disruptions it has caused continue for an extended period of time; we cannot assure that we will remain in compliance with the financial covenants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the subject of purported class action lawsuits, and additional litigation may be brought against us in the future.</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Between May 23, 2018 and June 11, 2019, four putative shareholder class actions complaints were filed against us, certain of our former officers and directors, certain of our venture capital investors, and the underwriters of our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55" w:name="page56"/>
    <w:bookmarkEnd w:id="55"/>
    <w:p>
      <w:pPr>
        <w:ind w:right="20"/>
        <w:spacing w:after="0" w:line="297" w:lineRule="auto"/>
        <w:rPr>
          <w:sz w:val="20"/>
          <w:szCs w:val="20"/>
          <w:color w:val="auto"/>
        </w:rPr>
      </w:pPr>
      <w:r>
        <w:rPr>
          <w:rFonts w:ascii="Arial" w:cs="Arial" w:eastAsia="Arial" w:hAnsi="Arial"/>
          <w:sz w:val="13"/>
          <w:szCs w:val="13"/>
          <w:color w:val="auto"/>
        </w:rPr>
        <w:t>In the State Actions, we, along with the other defendants, successfully demurred to the initial Wong complaint for failure to state a claim, and secured a stay of both cases based on the forum selection clause contained in our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our Registration Statement filed with the SEC on September 1, 2017 and the Prospectus filed with the SEC on October 13, 2017 in connection with our IPO were inaccurate and misleading, contained untrue statements of material fact, omitted to state other facts necessary to make the statements made not misleading and omitted to state material facts required to be stated therein. The complaint seeks unspecified monetary damages, other equitable relief and attorneys’ fees and costs. On February 24, 2020, we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A hearing on our demurrer and renewed motion to dismiss was held on June 12, 2020. On September 1, 2020, the court granted the renewed motion to dismiss based on the Company’s forum selection clause as to the Company and individual defendants, but not as to the venture capital and underwriter defendants. On September 22, 2020, the court entered a judgment of dismissal without prejudice as to the Company and individual defendants.</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On January 29, 2019, we, along with certain of our former officers and directors, filed a motion to dismiss the consolidated amended complaint for failure to state a claim. On October 18, 2019, the District Court granted our motion to dismiss as to all but two allegedly false or misleading statements contained in our Prospectus. On December 9, 2019, we filed our answer to the consolidated amended complaint denying the falsity of these statements, and discovery is underway. On May 29, 2020, Lead Plaintiff filed a motion for class certification, which we elected not to oppose, and on July 29, 2020, the court certified a class of investors who purchased shares of our common stock pursuant or traceable to our initial public offering.</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our former officers and directors breached their fiduciary duties, have been unjustly enriched and violated Section 14(a) of the Securities Exchange Act of 1934, or the Exchange Act, in connection with our IPO and our 2018 proxy statement. The complaint seeks unspecified damages, declaratory relief, other equitable relief and attorneys’ fees and costs. On August 21, 2019, the District Court granted the parties’ joint stipulation to stay the Mason action during the pendency of the Federal Actions. On September 15, 2020, the District Court granted the parties’ further stipulation to stay the Mason action during the pendency of the Federal Action, and the case remains stayed.</w:t>
      </w:r>
    </w:p>
    <w:p>
      <w:pPr>
        <w:spacing w:after="0" w:line="164"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In addition to the actions described above relating to the IPO, two lawsuits purporting to challenge disclosures made in connection with our merger were also filed. These lawsuits, captioned Bushansky v. Restoration Robotics, Inc., et al., No. 5:19-cv-06004 (N.D. Cal.) and Pak v. Restoration Robotics, Inc., et al., No. 1:19-cv-02237 (D.Del.), are fully described in our Quarterly Report on Form 10-Q for the quarter ended June 30, 2020. Each of the Bushansky and Pak lawsuits were dismissed with prejudice as to the respective individual plaintiff claims and without prejudice as to the claims of the putative class.</w:t>
      </w:r>
    </w:p>
    <w:p>
      <w:pPr>
        <w:spacing w:after="0" w:line="158" w:lineRule="exact"/>
        <w:rPr>
          <w:sz w:val="20"/>
          <w:szCs w:val="20"/>
          <w:color w:val="auto"/>
        </w:rPr>
      </w:pPr>
    </w:p>
    <w:p>
      <w:pPr>
        <w:ind w:right="660"/>
        <w:spacing w:after="0" w:line="278" w:lineRule="auto"/>
        <w:rPr>
          <w:sz w:val="20"/>
          <w:szCs w:val="20"/>
          <w:color w:val="auto"/>
        </w:rPr>
      </w:pPr>
      <w:r>
        <w:rPr>
          <w:rFonts w:ascii="Arial" w:cs="Arial" w:eastAsia="Arial" w:hAnsi="Arial"/>
          <w:sz w:val="15"/>
          <w:szCs w:val="15"/>
          <w:color w:val="auto"/>
        </w:rPr>
        <w:t>While we believe these claims to be without merit, we cannot assure you that additional claims alleging the same or similar facts will not be filed. Any litigation could result in substantial costs and a diversion of management’s attention and resources.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color w:val="231F20"/>
        </w:rPr>
        <w:t>ITEM 2. UNREGISTERED SALES OF EQUITY SECURITIES AND USE OF PROCEEDS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Unregistered Sales of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231F20"/>
        </w:rPr>
        <w:t xml:space="preserve">There were no unregistered securities issued and sold during the three and nine months ended </w:t>
      </w:r>
      <w:r>
        <w:rPr>
          <w:rFonts w:ascii="Arial" w:cs="Arial" w:eastAsia="Arial" w:hAnsi="Arial"/>
          <w:sz w:val="13"/>
          <w:szCs w:val="13"/>
          <w:color w:val="000000"/>
        </w:rPr>
        <w:t>September</w:t>
      </w:r>
      <w:r>
        <w:rPr>
          <w:rFonts w:ascii="Arial" w:cs="Arial" w:eastAsia="Arial" w:hAnsi="Arial"/>
          <w:sz w:val="13"/>
          <w:szCs w:val="13"/>
          <w:color w:val="231F20"/>
        </w:rPr>
        <w:t xml:space="preserve"> 30, 2020.</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231F20"/>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Issuer Purchases of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231F20"/>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ITEM 3. DEFAULTS UPON SENIOR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231F20"/>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ITEM 4. MINE SAFETY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231F20"/>
        </w:rPr>
        <w:t>Not Applicable.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ITEM 5. OTHER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139"/>
          </w:cols>
          <w:pgMar w:left="320" w:top="307" w:right="1440" w:bottom="1440" w:gutter="0" w:footer="0" w:header="0"/>
        </w:sectPr>
      </w:pPr>
    </w:p>
    <w:bookmarkStart w:id="57" w:name="page58"/>
    <w:bookmarkEnd w:id="57"/>
    <w:p>
      <w:pPr>
        <w:ind w:left="469"/>
        <w:spacing w:after="0"/>
        <w:rPr>
          <w:sz w:val="20"/>
          <w:szCs w:val="20"/>
          <w:color w:val="auto"/>
        </w:rPr>
      </w:pPr>
      <w:r>
        <w:rPr>
          <w:rFonts w:ascii="Arial" w:cs="Arial" w:eastAsia="Arial" w:hAnsi="Arial"/>
          <w:sz w:val="15"/>
          <w:szCs w:val="15"/>
          <w:b w:val="1"/>
          <w:bCs w:val="1"/>
          <w:color w:val="231F20"/>
        </w:rPr>
        <w:t>ITEM 6. EXHIBITS</w:t>
      </w:r>
    </w:p>
    <w:p>
      <w:pPr>
        <w:spacing w:after="0" w:line="173" w:lineRule="exact"/>
        <w:rPr>
          <w:sz w:val="20"/>
          <w:szCs w:val="20"/>
          <w:color w:val="auto"/>
        </w:rPr>
      </w:pPr>
    </w:p>
    <w:tbl>
      <w:tblPr>
        <w:tblLayout w:type="fixed"/>
        <w:tblInd w:w="289" w:type="dxa"/>
        <w:tblCellMar>
          <w:top w:w="0" w:type="dxa"/>
          <w:left w:w="0" w:type="dxa"/>
          <w:bottom w:w="0" w:type="dxa"/>
          <w:right w:w="0" w:type="dxa"/>
        </w:tblCellMar>
      </w:tblPr>
      <w:tr>
        <w:trPr>
          <w:trHeight w:val="138"/>
        </w:trPr>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Exhibit</w:t>
            </w:r>
          </w:p>
        </w:tc>
        <w:tc>
          <w:tcPr>
            <w:tcW w:w="5720" w:type="dxa"/>
            <w:vAlign w:val="bottom"/>
            <w:gridSpan w:val="7"/>
            <w:vMerge w:val="restart"/>
          </w:tcPr>
          <w:p>
            <w:pPr>
              <w:ind w:left="2600"/>
              <w:spacing w:after="0"/>
              <w:rPr>
                <w:sz w:val="20"/>
                <w:szCs w:val="20"/>
                <w:color w:val="auto"/>
              </w:rPr>
            </w:pPr>
            <w:r>
              <w:rPr>
                <w:rFonts w:ascii="Arial" w:cs="Arial" w:eastAsia="Arial" w:hAnsi="Arial"/>
                <w:sz w:val="12"/>
                <w:szCs w:val="12"/>
                <w:b w:val="1"/>
                <w:bCs w:val="1"/>
                <w:color w:val="auto"/>
              </w:rPr>
              <w:t>Description</w:t>
            </w:r>
          </w:p>
        </w:tc>
        <w:tc>
          <w:tcPr>
            <w:tcW w:w="980" w:type="dxa"/>
            <w:vAlign w:val="bottom"/>
            <w:vMerge w:val="restart"/>
          </w:tcPr>
          <w:p>
            <w:pPr>
              <w:jc w:val="center"/>
              <w:ind w:left="107"/>
              <w:spacing w:after="0"/>
              <w:rPr>
                <w:sz w:val="20"/>
                <w:szCs w:val="20"/>
                <w:color w:val="auto"/>
              </w:rPr>
            </w:pPr>
            <w:r>
              <w:rPr>
                <w:rFonts w:ascii="Arial" w:cs="Arial" w:eastAsia="Arial" w:hAnsi="Arial"/>
                <w:sz w:val="12"/>
                <w:szCs w:val="12"/>
                <w:b w:val="1"/>
                <w:bCs w:val="1"/>
                <w:color w:val="auto"/>
                <w:w w:val="93"/>
              </w:rPr>
              <w:t>Form</w:t>
            </w:r>
          </w:p>
        </w:tc>
        <w:tc>
          <w:tcPr>
            <w:tcW w:w="1000" w:type="dxa"/>
            <w:vAlign w:val="bottom"/>
            <w:vMerge w:val="restart"/>
          </w:tcPr>
          <w:p>
            <w:pPr>
              <w:ind w:left="400"/>
              <w:spacing w:after="0"/>
              <w:rPr>
                <w:sz w:val="20"/>
                <w:szCs w:val="20"/>
                <w:color w:val="auto"/>
              </w:rPr>
            </w:pPr>
            <w:r>
              <w:rPr>
                <w:rFonts w:ascii="Arial" w:cs="Arial" w:eastAsia="Arial" w:hAnsi="Arial"/>
                <w:sz w:val="12"/>
                <w:szCs w:val="12"/>
                <w:b w:val="1"/>
                <w:bCs w:val="1"/>
                <w:color w:val="auto"/>
              </w:rPr>
              <w:t>Date</w:t>
            </w:r>
          </w:p>
        </w:tc>
        <w:tc>
          <w:tcPr>
            <w:tcW w:w="8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Number</w:t>
            </w:r>
          </w:p>
        </w:tc>
        <w:tc>
          <w:tcPr>
            <w:tcW w:w="800" w:type="dxa"/>
            <w:vAlign w:val="bottom"/>
          </w:tcPr>
          <w:p>
            <w:pPr>
              <w:jc w:val="center"/>
              <w:ind w:left="79"/>
              <w:spacing w:after="0"/>
              <w:rPr>
                <w:sz w:val="20"/>
                <w:szCs w:val="20"/>
                <w:color w:val="auto"/>
              </w:rPr>
            </w:pPr>
            <w:r>
              <w:rPr>
                <w:rFonts w:ascii="Arial" w:cs="Arial" w:eastAsia="Arial" w:hAnsi="Arial"/>
                <w:sz w:val="12"/>
                <w:szCs w:val="12"/>
                <w:b w:val="1"/>
                <w:bCs w:val="1"/>
                <w:color w:val="auto"/>
                <w:w w:val="92"/>
              </w:rPr>
              <w:t>Filed</w:t>
            </w:r>
          </w:p>
        </w:tc>
        <w:tc>
          <w:tcPr>
            <w:tcW w:w="0" w:type="dxa"/>
            <w:vAlign w:val="bottom"/>
          </w:tcPr>
          <w:p>
            <w:pPr>
              <w:spacing w:after="0"/>
              <w:rPr>
                <w:sz w:val="1"/>
                <w:szCs w:val="1"/>
                <w:color w:val="auto"/>
              </w:rPr>
            </w:pPr>
          </w:p>
        </w:tc>
      </w:tr>
      <w:tr>
        <w:trPr>
          <w:trHeight w:val="145"/>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c>
          <w:tcPr>
            <w:tcW w:w="5720" w:type="dxa"/>
            <w:vAlign w:val="bottom"/>
            <w:tcBorders>
              <w:bottom w:val="single" w:sz="8" w:color="auto"/>
            </w:tcBorders>
            <w:gridSpan w:val="7"/>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jc w:val="center"/>
              <w:ind w:left="59"/>
              <w:spacing w:after="0"/>
              <w:rPr>
                <w:sz w:val="20"/>
                <w:szCs w:val="20"/>
                <w:color w:val="auto"/>
              </w:rPr>
            </w:pPr>
            <w:r>
              <w:rPr>
                <w:rFonts w:ascii="Arial" w:cs="Arial" w:eastAsia="Arial" w:hAnsi="Arial"/>
                <w:sz w:val="12"/>
                <w:szCs w:val="12"/>
                <w:b w:val="1"/>
                <w:bCs w:val="1"/>
                <w:color w:val="auto"/>
                <w:w w:val="94"/>
              </w:rPr>
              <w:t>Herewith</w:t>
            </w:r>
          </w:p>
        </w:tc>
        <w:tc>
          <w:tcPr>
            <w:tcW w:w="0" w:type="dxa"/>
            <w:vAlign w:val="bottom"/>
          </w:tcPr>
          <w:p>
            <w:pPr>
              <w:spacing w:after="0"/>
              <w:rPr>
                <w:sz w:val="1"/>
                <w:szCs w:val="1"/>
                <w:color w:val="auto"/>
              </w:rPr>
            </w:pPr>
          </w:p>
        </w:tc>
      </w:tr>
      <w:tr>
        <w:trPr>
          <w:trHeight w:val="353"/>
        </w:trPr>
        <w:tc>
          <w:tcPr>
            <w:tcW w:w="1140" w:type="dxa"/>
            <w:vAlign w:val="bottom"/>
          </w:tcPr>
          <w:p>
            <w:pPr>
              <w:jc w:val="center"/>
              <w:spacing w:after="0"/>
              <w:rPr>
                <w:sz w:val="20"/>
                <w:szCs w:val="20"/>
                <w:color w:val="auto"/>
              </w:rPr>
            </w:pPr>
            <w:r>
              <w:rPr>
                <w:rFonts w:ascii="Arial" w:cs="Arial" w:eastAsia="Arial" w:hAnsi="Arial"/>
                <w:sz w:val="15"/>
                <w:szCs w:val="15"/>
                <w:color w:val="auto"/>
                <w:w w:val="95"/>
              </w:rPr>
              <w:t>3.1</w:t>
            </w:r>
          </w:p>
        </w:tc>
        <w:tc>
          <w:tcPr>
            <w:tcW w:w="5720" w:type="dxa"/>
            <w:vAlign w:val="bottom"/>
            <w:gridSpan w:val="7"/>
          </w:tcPr>
          <w:p>
            <w:pPr>
              <w:spacing w:after="0"/>
              <w:rPr>
                <w:rFonts w:ascii="Arial" w:cs="Arial" w:eastAsia="Arial" w:hAnsi="Arial"/>
                <w:sz w:val="15"/>
                <w:szCs w:val="15"/>
                <w:u w:val="single" w:color="auto"/>
                <w:color w:val="0000EE"/>
              </w:rPr>
            </w:pPr>
            <w:hyperlink r:id="rId82">
              <w:r>
                <w:rPr>
                  <w:rFonts w:ascii="Arial" w:cs="Arial" w:eastAsia="Arial" w:hAnsi="Arial"/>
                  <w:sz w:val="15"/>
                  <w:szCs w:val="15"/>
                  <w:u w:val="single" w:color="auto"/>
                  <w:color w:val="0000EE"/>
                </w:rPr>
                <w:t>Amended and Restated Certificate of Incorporation of Restoration Robotics, Inc.</w:t>
              </w:r>
            </w:hyperlink>
          </w:p>
        </w:tc>
        <w:tc>
          <w:tcPr>
            <w:tcW w:w="980" w:type="dxa"/>
            <w:vAlign w:val="bottom"/>
          </w:tcPr>
          <w:p>
            <w:pPr>
              <w:jc w:val="center"/>
              <w:ind w:left="107"/>
              <w:spacing w:after="0"/>
              <w:rPr>
                <w:sz w:val="20"/>
                <w:szCs w:val="20"/>
                <w:color w:val="auto"/>
              </w:rPr>
            </w:pPr>
            <w:r>
              <w:rPr>
                <w:rFonts w:ascii="Arial" w:cs="Arial" w:eastAsia="Arial" w:hAnsi="Arial"/>
                <w:sz w:val="15"/>
                <w:szCs w:val="15"/>
                <w:color w:val="auto"/>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89"/>
              </w:rPr>
              <w:t>10-17-17</w:t>
            </w:r>
          </w:p>
        </w:tc>
        <w:tc>
          <w:tcPr>
            <w:tcW w:w="880" w:type="dxa"/>
            <w:vAlign w:val="bottom"/>
          </w:tcPr>
          <w:p>
            <w:pPr>
              <w:jc w:val="center"/>
              <w:ind w:left="67"/>
              <w:spacing w:after="0"/>
              <w:rPr>
                <w:sz w:val="20"/>
                <w:szCs w:val="20"/>
                <w:color w:val="auto"/>
              </w:rPr>
            </w:pPr>
            <w:r>
              <w:rPr>
                <w:rFonts w:ascii="Arial" w:cs="Arial" w:eastAsia="Arial" w:hAnsi="Arial"/>
                <w:sz w:val="15"/>
                <w:szCs w:val="15"/>
                <w:color w:val="auto"/>
                <w:w w:val="86"/>
              </w:rPr>
              <w:t>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140" w:type="dxa"/>
            <w:vAlign w:val="bottom"/>
          </w:tcPr>
          <w:p>
            <w:pPr>
              <w:jc w:val="center"/>
              <w:spacing w:after="0"/>
              <w:rPr>
                <w:sz w:val="20"/>
                <w:szCs w:val="20"/>
                <w:color w:val="auto"/>
              </w:rPr>
            </w:pPr>
            <w:r>
              <w:rPr>
                <w:rFonts w:ascii="Arial" w:cs="Arial" w:eastAsia="Arial" w:hAnsi="Arial"/>
                <w:sz w:val="15"/>
                <w:szCs w:val="15"/>
                <w:color w:val="auto"/>
                <w:w w:val="95"/>
              </w:rPr>
              <w:t>3.2</w:t>
            </w:r>
          </w:p>
        </w:tc>
        <w:tc>
          <w:tcPr>
            <w:tcW w:w="5720" w:type="dxa"/>
            <w:vAlign w:val="bottom"/>
            <w:gridSpan w:val="7"/>
          </w:tcPr>
          <w:p>
            <w:pPr>
              <w:spacing w:after="0"/>
              <w:rPr>
                <w:rFonts w:ascii="Arial" w:cs="Arial" w:eastAsia="Arial" w:hAnsi="Arial"/>
                <w:sz w:val="15"/>
                <w:szCs w:val="15"/>
                <w:u w:val="single" w:color="auto"/>
                <w:color w:val="0000EE"/>
              </w:rPr>
            </w:pPr>
            <w:hyperlink r:id="rId83">
              <w:r>
                <w:rPr>
                  <w:rFonts w:ascii="Arial" w:cs="Arial" w:eastAsia="Arial" w:hAnsi="Arial"/>
                  <w:sz w:val="15"/>
                  <w:szCs w:val="15"/>
                  <w:u w:val="single" w:color="auto"/>
                  <w:color w:val="0000EE"/>
                </w:rPr>
                <w:t>Certificate of Amendment of Certificate of Incorporation of Restoration Robotics, Inc.</w:t>
              </w:r>
            </w:hyperlink>
          </w:p>
        </w:tc>
        <w:tc>
          <w:tcPr>
            <w:tcW w:w="980" w:type="dxa"/>
            <w:vAlign w:val="bottom"/>
          </w:tcPr>
          <w:p>
            <w:pPr>
              <w:jc w:val="center"/>
              <w:ind w:left="107"/>
              <w:spacing w:after="0"/>
              <w:rPr>
                <w:sz w:val="20"/>
                <w:szCs w:val="20"/>
                <w:color w:val="auto"/>
              </w:rPr>
            </w:pPr>
            <w:r>
              <w:rPr>
                <w:rFonts w:ascii="Arial" w:cs="Arial" w:eastAsia="Arial" w:hAnsi="Arial"/>
                <w:sz w:val="15"/>
                <w:szCs w:val="15"/>
                <w:color w:val="auto"/>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88"/>
              </w:rPr>
              <w:t>11-7-19</w:t>
            </w:r>
          </w:p>
        </w:tc>
        <w:tc>
          <w:tcPr>
            <w:tcW w:w="880" w:type="dxa"/>
            <w:vAlign w:val="bottom"/>
          </w:tcPr>
          <w:p>
            <w:pPr>
              <w:jc w:val="center"/>
              <w:ind w:left="67"/>
              <w:spacing w:after="0"/>
              <w:rPr>
                <w:sz w:val="20"/>
                <w:szCs w:val="20"/>
                <w:color w:val="auto"/>
              </w:rPr>
            </w:pPr>
            <w:r>
              <w:rPr>
                <w:rFonts w:ascii="Arial" w:cs="Arial" w:eastAsia="Arial" w:hAnsi="Arial"/>
                <w:sz w:val="15"/>
                <w:szCs w:val="15"/>
                <w:color w:val="auto"/>
                <w:w w:val="86"/>
              </w:rPr>
              <w:t>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140" w:type="dxa"/>
            <w:vAlign w:val="bottom"/>
          </w:tcPr>
          <w:p>
            <w:pPr>
              <w:jc w:val="center"/>
              <w:spacing w:after="0"/>
              <w:rPr>
                <w:sz w:val="20"/>
                <w:szCs w:val="20"/>
                <w:color w:val="auto"/>
              </w:rPr>
            </w:pPr>
            <w:r>
              <w:rPr>
                <w:rFonts w:ascii="Arial" w:cs="Arial" w:eastAsia="Arial" w:hAnsi="Arial"/>
                <w:sz w:val="15"/>
                <w:szCs w:val="15"/>
                <w:color w:val="auto"/>
                <w:w w:val="95"/>
              </w:rPr>
              <w:t>3.3</w:t>
            </w:r>
          </w:p>
        </w:tc>
        <w:tc>
          <w:tcPr>
            <w:tcW w:w="5720" w:type="dxa"/>
            <w:vAlign w:val="bottom"/>
            <w:gridSpan w:val="7"/>
          </w:tcPr>
          <w:p>
            <w:pPr>
              <w:spacing w:after="0"/>
              <w:rPr>
                <w:rFonts w:ascii="Arial" w:cs="Arial" w:eastAsia="Arial" w:hAnsi="Arial"/>
                <w:sz w:val="15"/>
                <w:szCs w:val="15"/>
                <w:u w:val="single" w:color="auto"/>
                <w:color w:val="0000EE"/>
              </w:rPr>
            </w:pPr>
            <w:hyperlink r:id="rId84">
              <w:r>
                <w:rPr>
                  <w:rFonts w:ascii="Arial" w:cs="Arial" w:eastAsia="Arial" w:hAnsi="Arial"/>
                  <w:sz w:val="15"/>
                  <w:szCs w:val="15"/>
                  <w:u w:val="single" w:color="auto"/>
                  <w:color w:val="0000EE"/>
                </w:rPr>
                <w:t>Second Amended and Restated Bylaws of Venus Concept Inc.</w:t>
              </w:r>
            </w:hyperlink>
          </w:p>
        </w:tc>
        <w:tc>
          <w:tcPr>
            <w:tcW w:w="980" w:type="dxa"/>
            <w:vAlign w:val="bottom"/>
          </w:tcPr>
          <w:p>
            <w:pPr>
              <w:jc w:val="center"/>
              <w:ind w:left="107"/>
              <w:spacing w:after="0"/>
              <w:rPr>
                <w:sz w:val="20"/>
                <w:szCs w:val="20"/>
                <w:color w:val="auto"/>
              </w:rPr>
            </w:pPr>
            <w:r>
              <w:rPr>
                <w:rFonts w:ascii="Arial" w:cs="Arial" w:eastAsia="Arial" w:hAnsi="Arial"/>
                <w:sz w:val="15"/>
                <w:szCs w:val="15"/>
                <w:color w:val="auto"/>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88"/>
              </w:rPr>
              <w:t>11-7-19</w:t>
            </w:r>
          </w:p>
        </w:tc>
        <w:tc>
          <w:tcPr>
            <w:tcW w:w="880" w:type="dxa"/>
            <w:vAlign w:val="bottom"/>
          </w:tcPr>
          <w:p>
            <w:pPr>
              <w:jc w:val="center"/>
              <w:ind w:left="67"/>
              <w:spacing w:after="0"/>
              <w:rPr>
                <w:sz w:val="20"/>
                <w:szCs w:val="20"/>
                <w:color w:val="auto"/>
              </w:rPr>
            </w:pPr>
            <w:r>
              <w:rPr>
                <w:rFonts w:ascii="Arial" w:cs="Arial" w:eastAsia="Arial" w:hAnsi="Arial"/>
                <w:sz w:val="15"/>
                <w:szCs w:val="15"/>
                <w:color w:val="auto"/>
                <w:w w:val="86"/>
              </w:rPr>
              <w:t>3.2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40" w:type="dxa"/>
            <w:vAlign w:val="bottom"/>
          </w:tcPr>
          <w:p>
            <w:pPr>
              <w:jc w:val="center"/>
              <w:spacing w:after="0"/>
              <w:rPr>
                <w:sz w:val="20"/>
                <w:szCs w:val="20"/>
                <w:color w:val="auto"/>
              </w:rPr>
            </w:pPr>
            <w:r>
              <w:rPr>
                <w:rFonts w:ascii="Arial" w:cs="Arial" w:eastAsia="Arial" w:hAnsi="Arial"/>
                <w:sz w:val="15"/>
                <w:szCs w:val="15"/>
                <w:color w:val="auto"/>
                <w:w w:val="95"/>
              </w:rPr>
              <w:t>10.1</w:t>
            </w:r>
          </w:p>
        </w:tc>
        <w:tc>
          <w:tcPr>
            <w:tcW w:w="5680" w:type="dxa"/>
            <w:vAlign w:val="bottom"/>
            <w:tcBorders>
              <w:bottom w:val="single" w:sz="8" w:color="0000EE"/>
            </w:tcBorders>
            <w:gridSpan w:val="6"/>
          </w:tcPr>
          <w:p>
            <w:pPr>
              <w:spacing w:after="0"/>
              <w:rPr>
                <w:rFonts w:ascii="Arial" w:cs="Arial" w:eastAsia="Arial" w:hAnsi="Arial"/>
                <w:sz w:val="15"/>
                <w:szCs w:val="15"/>
                <w:color w:val="0000EE"/>
                <w:w w:val="90"/>
              </w:rPr>
            </w:pPr>
            <w:hyperlink r:id="rId85">
              <w:r>
                <w:rPr>
                  <w:rFonts w:ascii="Arial" w:cs="Arial" w:eastAsia="Arial" w:hAnsi="Arial"/>
                  <w:sz w:val="15"/>
                  <w:szCs w:val="15"/>
                  <w:color w:val="0000EE"/>
                  <w:w w:val="90"/>
                </w:rPr>
                <w:t>MAPA Amendment to Master Asset Purchase Agreement dated as of September 25, 2020, by</w:t>
              </w:r>
            </w:hyperlink>
          </w:p>
        </w:tc>
        <w:tc>
          <w:tcPr>
            <w:tcW w:w="40" w:type="dxa"/>
            <w:vAlign w:val="bottom"/>
          </w:tcPr>
          <w:p>
            <w:pPr>
              <w:spacing w:after="0"/>
              <w:rPr>
                <w:sz w:val="24"/>
                <w:szCs w:val="24"/>
                <w:color w:val="auto"/>
              </w:rPr>
            </w:pPr>
          </w:p>
        </w:tc>
        <w:tc>
          <w:tcPr>
            <w:tcW w:w="980" w:type="dxa"/>
            <w:vAlign w:val="bottom"/>
          </w:tcPr>
          <w:p>
            <w:pPr>
              <w:jc w:val="center"/>
              <w:ind w:left="107"/>
              <w:spacing w:after="0"/>
              <w:rPr>
                <w:sz w:val="20"/>
                <w:szCs w:val="20"/>
                <w:color w:val="auto"/>
              </w:rPr>
            </w:pPr>
            <w:r>
              <w:rPr>
                <w:rFonts w:ascii="Arial" w:cs="Arial" w:eastAsia="Arial" w:hAnsi="Arial"/>
                <w:sz w:val="15"/>
                <w:szCs w:val="15"/>
                <w:color w:val="auto"/>
              </w:rPr>
              <w:t>8-K</w:t>
            </w:r>
          </w:p>
        </w:tc>
        <w:tc>
          <w:tcPr>
            <w:tcW w:w="1000" w:type="dxa"/>
            <w:vAlign w:val="bottom"/>
          </w:tcPr>
          <w:p>
            <w:pPr>
              <w:jc w:val="center"/>
              <w:ind w:left="7"/>
              <w:spacing w:after="0"/>
              <w:rPr>
                <w:sz w:val="20"/>
                <w:szCs w:val="20"/>
                <w:color w:val="auto"/>
              </w:rPr>
            </w:pPr>
            <w:r>
              <w:rPr>
                <w:rFonts w:ascii="Arial" w:cs="Arial" w:eastAsia="Arial" w:hAnsi="Arial"/>
                <w:sz w:val="15"/>
                <w:szCs w:val="15"/>
                <w:color w:val="auto"/>
                <w:w w:val="92"/>
              </w:rPr>
              <w:t>10-1-20</w:t>
            </w:r>
          </w:p>
        </w:tc>
        <w:tc>
          <w:tcPr>
            <w:tcW w:w="880" w:type="dxa"/>
            <w:vAlign w:val="bottom"/>
          </w:tcPr>
          <w:p>
            <w:pPr>
              <w:jc w:val="center"/>
              <w:ind w:left="67"/>
              <w:spacing w:after="0"/>
              <w:rPr>
                <w:sz w:val="20"/>
                <w:szCs w:val="20"/>
                <w:color w:val="auto"/>
              </w:rPr>
            </w:pPr>
            <w:r>
              <w:rPr>
                <w:rFonts w:ascii="Arial" w:cs="Arial" w:eastAsia="Arial" w:hAnsi="Arial"/>
                <w:sz w:val="15"/>
                <w:szCs w:val="15"/>
                <w:color w:val="auto"/>
                <w:w w:val="88"/>
              </w:rPr>
              <w:t>10.1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4260" w:type="dxa"/>
            <w:vAlign w:val="bottom"/>
            <w:tcBorders>
              <w:bottom w:val="single" w:sz="8" w:color="0000EE"/>
            </w:tcBorders>
          </w:tcPr>
          <w:p>
            <w:pPr>
              <w:spacing w:after="0" w:line="162" w:lineRule="exact"/>
              <w:rPr>
                <w:rFonts w:ascii="Arial" w:cs="Arial" w:eastAsia="Arial" w:hAnsi="Arial"/>
                <w:sz w:val="15"/>
                <w:szCs w:val="15"/>
                <w:color w:val="0000EE"/>
                <w:w w:val="89"/>
              </w:rPr>
            </w:pPr>
            <w:hyperlink r:id="rId85">
              <w:r>
                <w:rPr>
                  <w:rFonts w:ascii="Arial" w:cs="Arial" w:eastAsia="Arial" w:hAnsi="Arial"/>
                  <w:sz w:val="15"/>
                  <w:szCs w:val="15"/>
                  <w:color w:val="0000EE"/>
                  <w:w w:val="89"/>
                </w:rPr>
                <w:t>and among Venus Concept Ltd. and the Vendor Parties named therein.</w:t>
              </w:r>
            </w:hyperlink>
          </w:p>
        </w:tc>
        <w:tc>
          <w:tcPr>
            <w:tcW w:w="1460" w:type="dxa"/>
            <w:vAlign w:val="bottom"/>
            <w:gridSpan w:val="6"/>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140" w:type="dxa"/>
            <w:vAlign w:val="bottom"/>
          </w:tcPr>
          <w:p>
            <w:pPr>
              <w:jc w:val="center"/>
              <w:spacing w:after="0"/>
              <w:rPr>
                <w:sz w:val="20"/>
                <w:szCs w:val="20"/>
                <w:color w:val="auto"/>
              </w:rPr>
            </w:pPr>
            <w:r>
              <w:rPr>
                <w:rFonts w:ascii="Arial" w:cs="Arial" w:eastAsia="Arial" w:hAnsi="Arial"/>
                <w:sz w:val="15"/>
                <w:szCs w:val="15"/>
                <w:color w:val="auto"/>
                <w:w w:val="95"/>
              </w:rPr>
              <w:t>10.2</w:t>
            </w:r>
          </w:p>
        </w:tc>
        <w:tc>
          <w:tcPr>
            <w:tcW w:w="5720" w:type="dxa"/>
            <w:vAlign w:val="bottom"/>
            <w:gridSpan w:val="7"/>
          </w:tcPr>
          <w:p>
            <w:pPr>
              <w:spacing w:after="0"/>
              <w:rPr>
                <w:rFonts w:ascii="Arial" w:cs="Arial" w:eastAsia="Arial" w:hAnsi="Arial"/>
                <w:sz w:val="15"/>
                <w:szCs w:val="15"/>
                <w:color w:val="0000EE"/>
                <w:w w:val="92"/>
              </w:rPr>
            </w:pPr>
            <w:hyperlink r:id="rId86">
              <w:r>
                <w:rPr>
                  <w:rFonts w:ascii="Arial" w:cs="Arial" w:eastAsia="Arial" w:hAnsi="Arial"/>
                  <w:sz w:val="15"/>
                  <w:szCs w:val="15"/>
                  <w:color w:val="0000EE"/>
                  <w:w w:val="92"/>
                </w:rPr>
                <w:t xml:space="preserve">Fourteenth Amendment to Credit Agreement dated as of September 30, 2020, </w:t>
              </w:r>
              <w:r>
                <w:rPr>
                  <w:rFonts w:ascii="Arial" w:cs="Arial" w:eastAsia="Arial" w:hAnsi="Arial"/>
                  <w:sz w:val="15"/>
                  <w:szCs w:val="15"/>
                  <w:color w:val="0000EE"/>
                  <w:highlight w:val="white"/>
                  <w:w w:val="92"/>
                </w:rPr>
                <w:t>by and among</w:t>
              </w:r>
            </w:hyperlink>
          </w:p>
        </w:tc>
        <w:tc>
          <w:tcPr>
            <w:tcW w:w="980" w:type="dxa"/>
            <w:vAlign w:val="bottom"/>
          </w:tcPr>
          <w:p>
            <w:pPr>
              <w:jc w:val="center"/>
              <w:ind w:left="107"/>
              <w:spacing w:after="0"/>
              <w:rPr>
                <w:sz w:val="20"/>
                <w:szCs w:val="20"/>
                <w:color w:val="auto"/>
              </w:rPr>
            </w:pPr>
            <w:r>
              <w:rPr>
                <w:rFonts w:ascii="Arial" w:cs="Arial" w:eastAsia="Arial" w:hAnsi="Arial"/>
                <w:sz w:val="15"/>
                <w:szCs w:val="15"/>
                <w:color w:val="auto"/>
              </w:rPr>
              <w:t>8-K</w:t>
            </w:r>
          </w:p>
        </w:tc>
        <w:tc>
          <w:tcPr>
            <w:tcW w:w="1000" w:type="dxa"/>
            <w:vAlign w:val="bottom"/>
          </w:tcPr>
          <w:p>
            <w:pPr>
              <w:jc w:val="center"/>
              <w:ind w:left="7"/>
              <w:spacing w:after="0"/>
              <w:rPr>
                <w:sz w:val="20"/>
                <w:szCs w:val="20"/>
                <w:color w:val="auto"/>
              </w:rPr>
            </w:pPr>
            <w:r>
              <w:rPr>
                <w:rFonts w:ascii="Arial" w:cs="Arial" w:eastAsia="Arial" w:hAnsi="Arial"/>
                <w:sz w:val="15"/>
                <w:szCs w:val="15"/>
                <w:color w:val="auto"/>
                <w:w w:val="92"/>
              </w:rPr>
              <w:t>10-1-20</w:t>
            </w:r>
          </w:p>
        </w:tc>
        <w:tc>
          <w:tcPr>
            <w:tcW w:w="880" w:type="dxa"/>
            <w:vAlign w:val="bottom"/>
          </w:tcPr>
          <w:p>
            <w:pPr>
              <w:jc w:val="center"/>
              <w:ind w:left="67"/>
              <w:spacing w:after="0"/>
              <w:rPr>
                <w:sz w:val="20"/>
                <w:szCs w:val="20"/>
                <w:color w:val="auto"/>
              </w:rPr>
            </w:pPr>
            <w:r>
              <w:rPr>
                <w:rFonts w:ascii="Arial" w:cs="Arial" w:eastAsia="Arial" w:hAnsi="Arial"/>
                <w:sz w:val="15"/>
                <w:szCs w:val="15"/>
                <w:color w:val="auto"/>
                <w:w w:val="88"/>
              </w:rPr>
              <w:t>10.2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spacing w:after="0"/>
              <w:rPr>
                <w:sz w:val="14"/>
                <w:szCs w:val="14"/>
                <w:color w:val="auto"/>
              </w:rPr>
            </w:pPr>
          </w:p>
        </w:tc>
        <w:tc>
          <w:tcPr>
            <w:tcW w:w="5720" w:type="dxa"/>
            <w:vAlign w:val="bottom"/>
            <w:gridSpan w:val="7"/>
          </w:tcPr>
          <w:p>
            <w:pPr>
              <w:spacing w:after="0" w:line="162" w:lineRule="exact"/>
              <w:rPr>
                <w:rFonts w:ascii="Arial" w:cs="Arial" w:eastAsia="Arial" w:hAnsi="Arial"/>
                <w:sz w:val="15"/>
                <w:szCs w:val="15"/>
                <w:color w:val="0000EE"/>
                <w:w w:val="90"/>
              </w:rPr>
            </w:pPr>
            <w:hyperlink r:id="rId86">
              <w:r>
                <w:rPr>
                  <w:rFonts w:ascii="Arial" w:cs="Arial" w:eastAsia="Arial" w:hAnsi="Arial"/>
                  <w:sz w:val="15"/>
                  <w:szCs w:val="15"/>
                  <w:color w:val="0000EE"/>
                  <w:w w:val="90"/>
                </w:rPr>
                <w:t>Venus Concept Canada Corp., Venus Concept USA Inc., the Company, as a Guarantor, Venus</w:t>
              </w:r>
            </w:hyperlink>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6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spacing w:after="0"/>
              <w:rPr>
                <w:sz w:val="14"/>
                <w:szCs w:val="14"/>
                <w:color w:val="auto"/>
              </w:rPr>
            </w:pPr>
          </w:p>
        </w:tc>
        <w:tc>
          <w:tcPr>
            <w:tcW w:w="5720" w:type="dxa"/>
            <w:vAlign w:val="bottom"/>
            <w:tcBorders>
              <w:bottom w:val="single" w:sz="8" w:color="0000EE"/>
            </w:tcBorders>
            <w:gridSpan w:val="7"/>
          </w:tcPr>
          <w:p>
            <w:pPr>
              <w:spacing w:after="0" w:line="162" w:lineRule="exact"/>
              <w:rPr>
                <w:rFonts w:ascii="Arial" w:cs="Arial" w:eastAsia="Arial" w:hAnsi="Arial"/>
                <w:sz w:val="15"/>
                <w:szCs w:val="15"/>
                <w:color w:val="0000EE"/>
                <w:w w:val="90"/>
              </w:rPr>
            </w:pPr>
            <w:hyperlink r:id="rId86">
              <w:r>
                <w:rPr>
                  <w:rFonts w:ascii="Arial" w:cs="Arial" w:eastAsia="Arial" w:hAnsi="Arial"/>
                  <w:sz w:val="15"/>
                  <w:szCs w:val="15"/>
                  <w:color w:val="0000EE"/>
                  <w:w w:val="90"/>
                </w:rPr>
                <w:t>Concept Ltd., as a Guarantor, the other Guarantors from time to time party thereto, the lenders</w:t>
              </w:r>
            </w:hyperlink>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720" w:type="dxa"/>
            <w:vAlign w:val="bottom"/>
            <w:gridSpan w:val="7"/>
          </w:tcPr>
          <w:p>
            <w:pPr>
              <w:spacing w:after="0"/>
              <w:rPr>
                <w:rFonts w:ascii="Arial" w:cs="Arial" w:eastAsia="Arial" w:hAnsi="Arial"/>
                <w:sz w:val="15"/>
                <w:szCs w:val="15"/>
                <w:u w:val="single" w:color="auto"/>
                <w:color w:val="0000EE"/>
                <w:w w:val="96"/>
              </w:rPr>
            </w:pPr>
            <w:hyperlink r:id="rId86">
              <w:r>
                <w:rPr>
                  <w:rFonts w:ascii="Arial" w:cs="Arial" w:eastAsia="Arial" w:hAnsi="Arial"/>
                  <w:sz w:val="15"/>
                  <w:szCs w:val="15"/>
                  <w:u w:val="single" w:color="auto"/>
                  <w:color w:val="0000EE"/>
                  <w:w w:val="96"/>
                </w:rPr>
                <w:t>from time to time party thereto, and Madryn Health Partners, LP, as Administrative Agent.</w:t>
              </w:r>
            </w:hyperlink>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1">
            <w:col w:w="11049"/>
          </w:cols>
          <w:pgMar w:left="311" w:top="307" w:right="539" w:bottom="1440" w:gutter="0" w:footer="0" w:header="0"/>
        </w:sectPr>
      </w:pPr>
    </w:p>
    <w:tbl>
      <w:tblPr>
        <w:tblLayout w:type="fixed"/>
        <w:tblInd w:w="589" w:type="dxa"/>
        <w:tblCellMar>
          <w:top w:w="0" w:type="dxa"/>
          <w:left w:w="0" w:type="dxa"/>
          <w:bottom w:w="0" w:type="dxa"/>
          <w:right w:w="0" w:type="dxa"/>
        </w:tblCellMar>
      </w:tblPr>
      <w:tr>
        <w:trPr>
          <w:trHeight w:val="17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31.1</w:t>
            </w:r>
          </w:p>
        </w:tc>
        <w:tc>
          <w:tcPr>
            <w:tcW w:w="5640" w:type="dxa"/>
            <w:vAlign w:val="bottom"/>
            <w:tcBorders>
              <w:bottom w:val="single" w:sz="8" w:color="0000EE"/>
            </w:tcBorders>
            <w:gridSpan w:val="8"/>
          </w:tcPr>
          <w:p>
            <w:pPr>
              <w:spacing w:after="0"/>
              <w:rPr>
                <w:rFonts w:ascii="Arial" w:cs="Arial" w:eastAsia="Arial" w:hAnsi="Arial"/>
                <w:sz w:val="15"/>
                <w:szCs w:val="15"/>
                <w:color w:val="0000EE"/>
                <w:w w:val="92"/>
              </w:rPr>
            </w:pPr>
            <w:hyperlink w:anchor="page60">
              <w:r>
                <w:rPr>
                  <w:rFonts w:ascii="Arial" w:cs="Arial" w:eastAsia="Arial" w:hAnsi="Arial"/>
                  <w:sz w:val="15"/>
                  <w:szCs w:val="15"/>
                  <w:color w:val="0000EE"/>
                  <w:w w:val="92"/>
                </w:rPr>
                <w:t>Certification of Principal Executive Officer Pursuant to Rules 13a-14(a) and 15d-14(a) under</w:t>
              </w:r>
            </w:hyperlink>
          </w:p>
        </w:tc>
      </w:tr>
      <w:tr>
        <w:trPr>
          <w:trHeight w:val="162"/>
        </w:trPr>
        <w:tc>
          <w:tcPr>
            <w:tcW w:w="840" w:type="dxa"/>
            <w:vAlign w:val="bottom"/>
          </w:tcPr>
          <w:p>
            <w:pPr>
              <w:spacing w:after="0"/>
              <w:rPr>
                <w:sz w:val="14"/>
                <w:szCs w:val="14"/>
                <w:color w:val="auto"/>
              </w:rPr>
            </w:pPr>
          </w:p>
        </w:tc>
        <w:tc>
          <w:tcPr>
            <w:tcW w:w="5640" w:type="dxa"/>
            <w:vAlign w:val="bottom"/>
            <w:gridSpan w:val="8"/>
          </w:tcPr>
          <w:p>
            <w:pPr>
              <w:spacing w:after="0" w:line="162" w:lineRule="exact"/>
              <w:rPr>
                <w:rFonts w:ascii="Arial" w:cs="Arial" w:eastAsia="Arial" w:hAnsi="Arial"/>
                <w:sz w:val="15"/>
                <w:szCs w:val="15"/>
                <w:color w:val="0000EE"/>
                <w:w w:val="92"/>
              </w:rPr>
            </w:pPr>
            <w:hyperlink w:anchor="page60">
              <w:r>
                <w:rPr>
                  <w:rFonts w:ascii="Arial" w:cs="Arial" w:eastAsia="Arial" w:hAnsi="Arial"/>
                  <w:sz w:val="15"/>
                  <w:szCs w:val="15"/>
                  <w:color w:val="0000EE"/>
                  <w:w w:val="92"/>
                </w:rPr>
                <w:t>the Securities Exchange Act of 1934, as Adopted Pursuant to Section 302 of the Sarbanes-</w:t>
              </w:r>
            </w:hyperlink>
          </w:p>
        </w:tc>
      </w:tr>
      <w:tr>
        <w:trPr>
          <w:trHeight w:val="162"/>
        </w:trPr>
        <w:tc>
          <w:tcPr>
            <w:tcW w:w="840" w:type="dxa"/>
            <w:vAlign w:val="bottom"/>
          </w:tcPr>
          <w:p>
            <w:pPr>
              <w:spacing w:after="0"/>
              <w:rPr>
                <w:sz w:val="14"/>
                <w:szCs w:val="14"/>
                <w:color w:val="auto"/>
              </w:rPr>
            </w:pPr>
          </w:p>
        </w:tc>
        <w:tc>
          <w:tcPr>
            <w:tcW w:w="1180" w:type="dxa"/>
            <w:vAlign w:val="bottom"/>
            <w:tcBorders>
              <w:top w:val="single" w:sz="8" w:color="0000EE"/>
              <w:bottom w:val="single" w:sz="8" w:color="0000EE"/>
            </w:tcBorders>
          </w:tcPr>
          <w:p>
            <w:pPr>
              <w:spacing w:after="0" w:line="162" w:lineRule="exact"/>
              <w:rPr>
                <w:rFonts w:ascii="Arial" w:cs="Arial" w:eastAsia="Arial" w:hAnsi="Arial"/>
                <w:sz w:val="15"/>
                <w:szCs w:val="15"/>
                <w:color w:val="0000EE"/>
                <w:w w:val="94"/>
              </w:rPr>
            </w:pPr>
            <w:hyperlink w:anchor="page60">
              <w:r>
                <w:rPr>
                  <w:rFonts w:ascii="Arial" w:cs="Arial" w:eastAsia="Arial" w:hAnsi="Arial"/>
                  <w:sz w:val="15"/>
                  <w:szCs w:val="15"/>
                  <w:color w:val="0000EE"/>
                  <w:w w:val="94"/>
                </w:rPr>
                <w:t>Oxley Act of 2002.</w:t>
              </w:r>
            </w:hyperlink>
          </w:p>
        </w:tc>
        <w:tc>
          <w:tcPr>
            <w:tcW w:w="4300" w:type="dxa"/>
            <w:vAlign w:val="bottom"/>
            <w:tcBorders>
              <w:top w:val="single" w:sz="8" w:color="0000EE"/>
            </w:tcBorders>
            <w:gridSpan w:val="3"/>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378"/>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31.2</w:t>
            </w:r>
          </w:p>
        </w:tc>
        <w:tc>
          <w:tcPr>
            <w:tcW w:w="5600" w:type="dxa"/>
            <w:vAlign w:val="bottom"/>
            <w:tcBorders>
              <w:bottom w:val="single" w:sz="8" w:color="0000EE"/>
            </w:tcBorders>
            <w:gridSpan w:val="7"/>
          </w:tcPr>
          <w:p>
            <w:pPr>
              <w:spacing w:after="0"/>
              <w:rPr>
                <w:rFonts w:ascii="Arial" w:cs="Arial" w:eastAsia="Arial" w:hAnsi="Arial"/>
                <w:sz w:val="15"/>
                <w:szCs w:val="15"/>
                <w:color w:val="0000EE"/>
                <w:w w:val="92"/>
              </w:rPr>
            </w:pPr>
            <w:hyperlink w:anchor="page62">
              <w:r>
                <w:rPr>
                  <w:rFonts w:ascii="Arial" w:cs="Arial" w:eastAsia="Arial" w:hAnsi="Arial"/>
                  <w:sz w:val="15"/>
                  <w:szCs w:val="15"/>
                  <w:color w:val="0000EE"/>
                  <w:w w:val="92"/>
                </w:rPr>
                <w:t>Certification of Principal Financial Officer Pursuant to Rules 13a-14(a) and 15d-14(a) under</w:t>
              </w:r>
            </w:hyperlink>
          </w:p>
        </w:tc>
        <w:tc>
          <w:tcPr>
            <w:tcW w:w="4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5640" w:type="dxa"/>
            <w:vAlign w:val="bottom"/>
            <w:gridSpan w:val="8"/>
          </w:tcPr>
          <w:p>
            <w:pPr>
              <w:spacing w:after="0" w:line="162" w:lineRule="exact"/>
              <w:rPr>
                <w:rFonts w:ascii="Arial" w:cs="Arial" w:eastAsia="Arial" w:hAnsi="Arial"/>
                <w:sz w:val="15"/>
                <w:szCs w:val="15"/>
                <w:color w:val="0000EE"/>
                <w:w w:val="92"/>
              </w:rPr>
            </w:pPr>
            <w:hyperlink w:anchor="page62">
              <w:r>
                <w:rPr>
                  <w:rFonts w:ascii="Arial" w:cs="Arial" w:eastAsia="Arial" w:hAnsi="Arial"/>
                  <w:sz w:val="15"/>
                  <w:szCs w:val="15"/>
                  <w:color w:val="0000EE"/>
                  <w:w w:val="92"/>
                </w:rPr>
                <w:t>the Securities Exchange Act of 1934, as Adopted Pursuant to Section 302 of the Sarbanes-</w:t>
              </w:r>
            </w:hyperlink>
          </w:p>
        </w:tc>
      </w:tr>
      <w:tr>
        <w:trPr>
          <w:trHeight w:val="162"/>
        </w:trPr>
        <w:tc>
          <w:tcPr>
            <w:tcW w:w="840" w:type="dxa"/>
            <w:vAlign w:val="bottom"/>
          </w:tcPr>
          <w:p>
            <w:pPr>
              <w:spacing w:after="0"/>
              <w:rPr>
                <w:sz w:val="14"/>
                <w:szCs w:val="14"/>
                <w:color w:val="auto"/>
              </w:rPr>
            </w:pPr>
          </w:p>
        </w:tc>
        <w:tc>
          <w:tcPr>
            <w:tcW w:w="1180" w:type="dxa"/>
            <w:vAlign w:val="bottom"/>
            <w:tcBorders>
              <w:top w:val="single" w:sz="8" w:color="0000EE"/>
              <w:bottom w:val="single" w:sz="8" w:color="0000EE"/>
            </w:tcBorders>
          </w:tcPr>
          <w:p>
            <w:pPr>
              <w:spacing w:after="0" w:line="162" w:lineRule="exact"/>
              <w:rPr>
                <w:rFonts w:ascii="Arial" w:cs="Arial" w:eastAsia="Arial" w:hAnsi="Arial"/>
                <w:sz w:val="15"/>
                <w:szCs w:val="15"/>
                <w:color w:val="0000EE"/>
                <w:w w:val="94"/>
              </w:rPr>
            </w:pPr>
            <w:hyperlink w:anchor="page62">
              <w:r>
                <w:rPr>
                  <w:rFonts w:ascii="Arial" w:cs="Arial" w:eastAsia="Arial" w:hAnsi="Arial"/>
                  <w:sz w:val="15"/>
                  <w:szCs w:val="15"/>
                  <w:color w:val="0000EE"/>
                  <w:w w:val="94"/>
                </w:rPr>
                <w:t>Oxley Act of 2002.</w:t>
              </w:r>
            </w:hyperlink>
          </w:p>
        </w:tc>
        <w:tc>
          <w:tcPr>
            <w:tcW w:w="4300" w:type="dxa"/>
            <w:vAlign w:val="bottom"/>
            <w:tcBorders>
              <w:top w:val="single" w:sz="8" w:color="0000EE"/>
            </w:tcBorders>
            <w:gridSpan w:val="3"/>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378"/>
        </w:trPr>
        <w:tc>
          <w:tcPr>
            <w:tcW w:w="840" w:type="dxa"/>
            <w:vAlign w:val="bottom"/>
          </w:tcPr>
          <w:p>
            <w:pPr>
              <w:jc w:val="center"/>
              <w:ind w:right="224"/>
              <w:spacing w:after="0"/>
              <w:rPr>
                <w:sz w:val="20"/>
                <w:szCs w:val="20"/>
                <w:color w:val="auto"/>
              </w:rPr>
            </w:pPr>
            <w:r>
              <w:rPr>
                <w:rFonts w:ascii="Arial" w:cs="Arial" w:eastAsia="Arial" w:hAnsi="Arial"/>
                <w:sz w:val="15"/>
                <w:szCs w:val="15"/>
                <w:color w:val="auto"/>
                <w:w w:val="96"/>
              </w:rPr>
              <w:t>32.1*</w:t>
            </w:r>
          </w:p>
        </w:tc>
        <w:tc>
          <w:tcPr>
            <w:tcW w:w="5640" w:type="dxa"/>
            <w:vAlign w:val="bottom"/>
            <w:gridSpan w:val="8"/>
          </w:tcPr>
          <w:p>
            <w:pPr>
              <w:spacing w:after="0"/>
              <w:rPr>
                <w:rFonts w:ascii="Arial" w:cs="Arial" w:eastAsia="Arial" w:hAnsi="Arial"/>
                <w:sz w:val="15"/>
                <w:szCs w:val="15"/>
                <w:color w:val="0000EE"/>
                <w:w w:val="93"/>
              </w:rPr>
            </w:pPr>
            <w:hyperlink w:anchor="page64">
              <w:r>
                <w:rPr>
                  <w:rFonts w:ascii="Arial" w:cs="Arial" w:eastAsia="Arial" w:hAnsi="Arial"/>
                  <w:sz w:val="15"/>
                  <w:szCs w:val="15"/>
                  <w:color w:val="0000EE"/>
                  <w:w w:val="93"/>
                </w:rPr>
                <w:t>Certification of Principal Executive Officer Pursuant to 18 U.S.C. Section 1350, as Adopted</w:t>
              </w:r>
            </w:hyperlink>
          </w:p>
        </w:tc>
      </w:tr>
      <w:tr>
        <w:trPr>
          <w:trHeight w:val="162"/>
        </w:trPr>
        <w:tc>
          <w:tcPr>
            <w:tcW w:w="840" w:type="dxa"/>
            <w:vAlign w:val="bottom"/>
          </w:tcPr>
          <w:p>
            <w:pPr>
              <w:spacing w:after="0"/>
              <w:rPr>
                <w:sz w:val="14"/>
                <w:szCs w:val="14"/>
                <w:color w:val="auto"/>
              </w:rPr>
            </w:pPr>
          </w:p>
        </w:tc>
        <w:tc>
          <w:tcPr>
            <w:tcW w:w="3660" w:type="dxa"/>
            <w:vAlign w:val="bottom"/>
            <w:tcBorders>
              <w:top w:val="single" w:sz="8" w:color="0000EE"/>
              <w:bottom w:val="single" w:sz="8" w:color="0000EE"/>
            </w:tcBorders>
            <w:gridSpan w:val="3"/>
          </w:tcPr>
          <w:p>
            <w:pPr>
              <w:spacing w:after="0" w:line="162" w:lineRule="exact"/>
              <w:rPr>
                <w:rFonts w:ascii="Arial" w:cs="Arial" w:eastAsia="Arial" w:hAnsi="Arial"/>
                <w:sz w:val="15"/>
                <w:szCs w:val="15"/>
                <w:color w:val="0000EE"/>
                <w:w w:val="91"/>
              </w:rPr>
            </w:pPr>
            <w:hyperlink w:anchor="page64">
              <w:r>
                <w:rPr>
                  <w:rFonts w:ascii="Arial" w:cs="Arial" w:eastAsia="Arial" w:hAnsi="Arial"/>
                  <w:sz w:val="15"/>
                  <w:szCs w:val="15"/>
                  <w:color w:val="0000EE"/>
                  <w:w w:val="91"/>
                </w:rPr>
                <w:t>Pursuant to Section 906 of the Sarbanes-Oxley Act of 2002.</w:t>
              </w:r>
            </w:hyperlink>
          </w:p>
        </w:tc>
        <w:tc>
          <w:tcPr>
            <w:tcW w:w="1920" w:type="dxa"/>
            <w:vAlign w:val="bottom"/>
            <w:tcBorders>
              <w:top w:val="single" w:sz="8" w:color="0000EE"/>
            </w:tcBorders>
            <w:gridSpan w:val="3"/>
          </w:tcPr>
          <w:p>
            <w:pPr>
              <w:spacing w:after="0"/>
              <w:rPr>
                <w:sz w:val="14"/>
                <w:szCs w:val="14"/>
                <w:color w:val="auto"/>
              </w:rPr>
            </w:pPr>
          </w:p>
        </w:tc>
        <w:tc>
          <w:tcPr>
            <w:tcW w:w="60" w:type="dxa"/>
            <w:vAlign w:val="bottom"/>
            <w:gridSpan w:val="2"/>
          </w:tcPr>
          <w:p>
            <w:pPr>
              <w:spacing w:after="0"/>
              <w:rPr>
                <w:sz w:val="14"/>
                <w:szCs w:val="14"/>
                <w:color w:val="auto"/>
              </w:rPr>
            </w:pPr>
          </w:p>
        </w:tc>
      </w:tr>
      <w:tr>
        <w:trPr>
          <w:trHeight w:val="378"/>
        </w:trPr>
        <w:tc>
          <w:tcPr>
            <w:tcW w:w="840" w:type="dxa"/>
            <w:vAlign w:val="bottom"/>
          </w:tcPr>
          <w:p>
            <w:pPr>
              <w:jc w:val="center"/>
              <w:ind w:right="224"/>
              <w:spacing w:after="0"/>
              <w:rPr>
                <w:sz w:val="20"/>
                <w:szCs w:val="20"/>
                <w:color w:val="auto"/>
              </w:rPr>
            </w:pPr>
            <w:r>
              <w:rPr>
                <w:rFonts w:ascii="Arial" w:cs="Arial" w:eastAsia="Arial" w:hAnsi="Arial"/>
                <w:sz w:val="15"/>
                <w:szCs w:val="15"/>
                <w:color w:val="auto"/>
                <w:w w:val="96"/>
              </w:rPr>
              <w:t>32.2*</w:t>
            </w:r>
          </w:p>
        </w:tc>
        <w:tc>
          <w:tcPr>
            <w:tcW w:w="5640" w:type="dxa"/>
            <w:vAlign w:val="bottom"/>
            <w:gridSpan w:val="8"/>
          </w:tcPr>
          <w:p>
            <w:pPr>
              <w:spacing w:after="0"/>
              <w:rPr>
                <w:rFonts w:ascii="Arial" w:cs="Arial" w:eastAsia="Arial" w:hAnsi="Arial"/>
                <w:sz w:val="15"/>
                <w:szCs w:val="15"/>
                <w:color w:val="0000EE"/>
                <w:w w:val="94"/>
              </w:rPr>
            </w:pPr>
            <w:hyperlink w:anchor="page66">
              <w:r>
                <w:rPr>
                  <w:rFonts w:ascii="Arial" w:cs="Arial" w:eastAsia="Arial" w:hAnsi="Arial"/>
                  <w:sz w:val="15"/>
                  <w:szCs w:val="15"/>
                  <w:color w:val="0000EE"/>
                  <w:w w:val="94"/>
                </w:rPr>
                <w:t>Certification of Principal Financial Officer Pursuant to 18 U.S.C. Section 1350, as Adopted</w:t>
              </w:r>
            </w:hyperlink>
          </w:p>
        </w:tc>
      </w:tr>
      <w:tr>
        <w:trPr>
          <w:trHeight w:val="162"/>
        </w:trPr>
        <w:tc>
          <w:tcPr>
            <w:tcW w:w="840" w:type="dxa"/>
            <w:vAlign w:val="bottom"/>
          </w:tcPr>
          <w:p>
            <w:pPr>
              <w:spacing w:after="0"/>
              <w:rPr>
                <w:sz w:val="14"/>
                <w:szCs w:val="14"/>
                <w:color w:val="auto"/>
              </w:rPr>
            </w:pPr>
          </w:p>
        </w:tc>
        <w:tc>
          <w:tcPr>
            <w:tcW w:w="3640" w:type="dxa"/>
            <w:vAlign w:val="bottom"/>
            <w:tcBorders>
              <w:top w:val="single" w:sz="8" w:color="0000EE"/>
              <w:bottom w:val="single" w:sz="8" w:color="0000EE"/>
            </w:tcBorders>
            <w:gridSpan w:val="2"/>
          </w:tcPr>
          <w:p>
            <w:pPr>
              <w:spacing w:after="0" w:line="162" w:lineRule="exact"/>
              <w:rPr>
                <w:rFonts w:ascii="Arial" w:cs="Arial" w:eastAsia="Arial" w:hAnsi="Arial"/>
                <w:sz w:val="15"/>
                <w:szCs w:val="15"/>
                <w:color w:val="0000EE"/>
                <w:w w:val="91"/>
              </w:rPr>
            </w:pPr>
            <w:hyperlink w:anchor="page66">
              <w:r>
                <w:rPr>
                  <w:rFonts w:ascii="Arial" w:cs="Arial" w:eastAsia="Arial" w:hAnsi="Arial"/>
                  <w:sz w:val="15"/>
                  <w:szCs w:val="15"/>
                  <w:color w:val="0000EE"/>
                  <w:w w:val="91"/>
                </w:rPr>
                <w:t>Pursuant to Section 906 of the Sarbanes-Oxley Act of 2002.</w:t>
              </w:r>
            </w:hyperlink>
          </w:p>
        </w:tc>
        <w:tc>
          <w:tcPr>
            <w:tcW w:w="1900" w:type="dxa"/>
            <w:vAlign w:val="bottom"/>
            <w:tcBorders>
              <w:top w:val="single" w:sz="8" w:color="0000EE"/>
            </w:tcBorders>
            <w:gridSpan w:val="3"/>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401"/>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101.INS</w:t>
            </w:r>
          </w:p>
        </w:tc>
        <w:tc>
          <w:tcPr>
            <w:tcW w:w="5640" w:type="dxa"/>
            <w:vAlign w:val="bottom"/>
            <w:gridSpan w:val="8"/>
          </w:tcPr>
          <w:p>
            <w:pPr>
              <w:spacing w:after="0"/>
              <w:rPr>
                <w:sz w:val="20"/>
                <w:szCs w:val="20"/>
                <w:color w:val="auto"/>
              </w:rPr>
            </w:pPr>
            <w:r>
              <w:rPr>
                <w:rFonts w:ascii="Arial" w:cs="Arial" w:eastAsia="Arial" w:hAnsi="Arial"/>
                <w:sz w:val="15"/>
                <w:szCs w:val="15"/>
                <w:color w:val="auto"/>
              </w:rPr>
              <w:t>XBRL Instance Document</w:t>
            </w: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1"/>
              </w:rPr>
              <w:t>101.SCH</w:t>
            </w:r>
          </w:p>
        </w:tc>
        <w:tc>
          <w:tcPr>
            <w:tcW w:w="5640" w:type="dxa"/>
            <w:vAlign w:val="bottom"/>
            <w:gridSpan w:val="8"/>
          </w:tcPr>
          <w:p>
            <w:pPr>
              <w:spacing w:after="0"/>
              <w:rPr>
                <w:sz w:val="20"/>
                <w:szCs w:val="20"/>
                <w:color w:val="auto"/>
              </w:rPr>
            </w:pPr>
            <w:r>
              <w:rPr>
                <w:rFonts w:ascii="Arial" w:cs="Arial" w:eastAsia="Arial" w:hAnsi="Arial"/>
                <w:sz w:val="15"/>
                <w:szCs w:val="15"/>
                <w:color w:val="auto"/>
              </w:rPr>
              <w:t>XBRL Taxonomy Extension Schema Document</w:t>
            </w: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101.CAL</w:t>
            </w:r>
          </w:p>
        </w:tc>
        <w:tc>
          <w:tcPr>
            <w:tcW w:w="5640" w:type="dxa"/>
            <w:vAlign w:val="bottom"/>
            <w:gridSpan w:val="8"/>
          </w:tcPr>
          <w:p>
            <w:pPr>
              <w:spacing w:after="0"/>
              <w:rPr>
                <w:sz w:val="20"/>
                <w:szCs w:val="20"/>
                <w:color w:val="auto"/>
              </w:rPr>
            </w:pPr>
            <w:r>
              <w:rPr>
                <w:rFonts w:ascii="Arial" w:cs="Arial" w:eastAsia="Arial" w:hAnsi="Arial"/>
                <w:sz w:val="15"/>
                <w:szCs w:val="15"/>
                <w:color w:val="auto"/>
              </w:rPr>
              <w:t>XBRL Taxonomy Extension Calculation Linkbase Document</w:t>
            </w: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4"/>
              </w:rPr>
              <w:t>101.DEF</w:t>
            </w:r>
          </w:p>
        </w:tc>
        <w:tc>
          <w:tcPr>
            <w:tcW w:w="5640" w:type="dxa"/>
            <w:vAlign w:val="bottom"/>
            <w:gridSpan w:val="8"/>
          </w:tcPr>
          <w:p>
            <w:pPr>
              <w:spacing w:after="0"/>
              <w:rPr>
                <w:sz w:val="20"/>
                <w:szCs w:val="20"/>
                <w:color w:val="auto"/>
              </w:rPr>
            </w:pPr>
            <w:r>
              <w:rPr>
                <w:rFonts w:ascii="Arial" w:cs="Arial" w:eastAsia="Arial" w:hAnsi="Arial"/>
                <w:sz w:val="15"/>
                <w:szCs w:val="15"/>
                <w:color w:val="auto"/>
              </w:rPr>
              <w:t>XBRL Taxonomy Extension Definition Linkbase Document</w:t>
            </w: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7"/>
              </w:rPr>
              <w:t>101.LAB</w:t>
            </w:r>
          </w:p>
        </w:tc>
        <w:tc>
          <w:tcPr>
            <w:tcW w:w="5640" w:type="dxa"/>
            <w:vAlign w:val="bottom"/>
            <w:gridSpan w:val="8"/>
          </w:tcPr>
          <w:p>
            <w:pPr>
              <w:spacing w:after="0"/>
              <w:rPr>
                <w:sz w:val="20"/>
                <w:szCs w:val="20"/>
                <w:color w:val="auto"/>
              </w:rPr>
            </w:pPr>
            <w:r>
              <w:rPr>
                <w:rFonts w:ascii="Arial" w:cs="Arial" w:eastAsia="Arial" w:hAnsi="Arial"/>
                <w:sz w:val="15"/>
                <w:szCs w:val="15"/>
                <w:color w:val="auto"/>
              </w:rPr>
              <w:t>XBRL Taxonomy Extension Label Linkbase Document</w:t>
            </w:r>
          </w:p>
        </w:tc>
      </w:tr>
      <w:tr>
        <w:trPr>
          <w:trHeight w:val="191"/>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3"/>
              </w:rPr>
              <w:t>101.PRE</w:t>
            </w:r>
          </w:p>
        </w:tc>
        <w:tc>
          <w:tcPr>
            <w:tcW w:w="5640" w:type="dxa"/>
            <w:vAlign w:val="bottom"/>
            <w:gridSpan w:val="8"/>
          </w:tcPr>
          <w:p>
            <w:pPr>
              <w:spacing w:after="0"/>
              <w:rPr>
                <w:sz w:val="20"/>
                <w:szCs w:val="20"/>
                <w:color w:val="auto"/>
              </w:rPr>
            </w:pPr>
            <w:r>
              <w:rPr>
                <w:rFonts w:ascii="Arial" w:cs="Arial" w:eastAsia="Arial" w:hAnsi="Arial"/>
                <w:sz w:val="15"/>
                <w:szCs w:val="15"/>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182" w:lineRule="exact"/>
        <w:rPr>
          <w:sz w:val="20"/>
          <w:szCs w:val="20"/>
          <w:color w:val="auto"/>
        </w:rPr>
      </w:pPr>
    </w:p>
    <w:p>
      <w:pPr>
        <w:sectPr>
          <w:pgSz w:w="11900" w:h="16838" w:orient="portrait"/>
          <w:cols w:equalWidth="0" w:num="2">
            <w:col w:w="9689" w:space="720"/>
            <w:col w:w="640"/>
          </w:cols>
          <w:pgMar w:left="311" w:top="307" w:right="539" w:bottom="1440" w:gutter="0" w:footer="0" w:header="0"/>
          <w:type w:val="continuous"/>
        </w:sectPr>
      </w:pPr>
    </w:p>
    <w:p>
      <w:pPr>
        <w:ind w:left="9" w:hanging="9"/>
        <w:spacing w:after="0" w:line="293" w:lineRule="auto"/>
        <w:tabs>
          <w:tab w:leader="none" w:pos="63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certification attached as Exhibit 32.1 and Exhibit 32.2 that accompanies this Quarterly Report on Form 10-Q is not deemed filed with the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37" w:lineRule="exact"/>
        <w:rPr>
          <w:sz w:val="20"/>
          <w:szCs w:val="20"/>
          <w:color w:val="auto"/>
        </w:rPr>
      </w:pPr>
    </w:p>
    <w:p>
      <w:pPr>
        <w:jc w:val="center"/>
        <w:ind w:right="-228"/>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851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049"/>
          </w:cols>
          <w:pgMar w:left="311" w:top="307" w:right="5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5"/>
          <w:szCs w:val="15"/>
          <w:b w:val="1"/>
          <w:bCs w:val="1"/>
          <w:color w:val="auto"/>
        </w:rPr>
        <w:t>SIGNATURES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Venus Concept Inc.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Date: November 16, 2020</w:t>
            </w:r>
          </w:p>
        </w:tc>
        <w:tc>
          <w:tcPr>
            <w:tcW w:w="3200" w:type="dxa"/>
            <w:vAlign w:val="bottom"/>
          </w:tcPr>
          <w:p>
            <w:pPr>
              <w:ind w:left="2840"/>
              <w:spacing w:after="0"/>
              <w:rPr>
                <w:sz w:val="20"/>
                <w:szCs w:val="20"/>
                <w:color w:val="auto"/>
              </w:rPr>
            </w:pPr>
            <w:r>
              <w:rPr>
                <w:rFonts w:ascii="Arial" w:cs="Arial" w:eastAsia="Arial" w:hAnsi="Arial"/>
                <w:sz w:val="15"/>
                <w:szCs w:val="15"/>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/s/ Domenic Serafino</w:t>
            </w:r>
          </w:p>
        </w:tc>
      </w:tr>
      <w:tr>
        <w:trPr>
          <w:trHeight w:val="182"/>
        </w:trPr>
        <w:tc>
          <w:tcPr>
            <w:tcW w:w="35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500" w:type="dxa"/>
            <w:vAlign w:val="bottom"/>
          </w:tcPr>
          <w:p>
            <w:pPr>
              <w:jc w:val="center"/>
              <w:spacing w:after="0"/>
              <w:rPr>
                <w:sz w:val="20"/>
                <w:szCs w:val="20"/>
                <w:color w:val="auto"/>
              </w:rPr>
            </w:pPr>
            <w:r>
              <w:rPr>
                <w:rFonts w:ascii="Arial" w:cs="Arial" w:eastAsia="Arial" w:hAnsi="Arial"/>
                <w:sz w:val="15"/>
                <w:szCs w:val="15"/>
                <w:b w:val="1"/>
                <w:bCs w:val="1"/>
                <w:color w:val="auto"/>
                <w:w w:val="90"/>
              </w:rPr>
              <w:t>Domenic Serafino</w:t>
            </w:r>
          </w:p>
        </w:tc>
      </w:tr>
      <w:tr>
        <w:trPr>
          <w:trHeight w:val="195"/>
        </w:trPr>
        <w:tc>
          <w:tcPr>
            <w:tcW w:w="35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5"/>
                <w:szCs w:val="15"/>
                <w:b w:val="1"/>
                <w:bCs w:val="1"/>
                <w:color w:val="auto"/>
                <w:w w:val="92"/>
              </w:rPr>
              <w:t>Chief Executive Officer</w:t>
            </w:r>
          </w:p>
        </w:tc>
      </w:tr>
      <w:tr>
        <w:trPr>
          <w:trHeight w:val="387"/>
        </w:trPr>
        <w:tc>
          <w:tcPr>
            <w:tcW w:w="3560" w:type="dxa"/>
            <w:vAlign w:val="bottom"/>
          </w:tcPr>
          <w:p>
            <w:pPr>
              <w:spacing w:after="0"/>
              <w:rPr>
                <w:sz w:val="20"/>
                <w:szCs w:val="20"/>
                <w:color w:val="auto"/>
              </w:rPr>
            </w:pPr>
            <w:r>
              <w:rPr>
                <w:rFonts w:ascii="Arial" w:cs="Arial" w:eastAsia="Arial" w:hAnsi="Arial"/>
                <w:sz w:val="15"/>
                <w:szCs w:val="15"/>
                <w:color w:val="auto"/>
              </w:rPr>
              <w:t>Date: November 16, 2020</w:t>
            </w:r>
          </w:p>
        </w:tc>
        <w:tc>
          <w:tcPr>
            <w:tcW w:w="3200" w:type="dxa"/>
            <w:vAlign w:val="bottom"/>
          </w:tcPr>
          <w:p>
            <w:pPr>
              <w:ind w:left="2840"/>
              <w:spacing w:after="0"/>
              <w:rPr>
                <w:sz w:val="20"/>
                <w:szCs w:val="20"/>
                <w:color w:val="auto"/>
              </w:rPr>
            </w:pPr>
            <w:r>
              <w:rPr>
                <w:rFonts w:ascii="Arial" w:cs="Arial" w:eastAsia="Arial" w:hAnsi="Arial"/>
                <w:sz w:val="15"/>
                <w:szCs w:val="15"/>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Domenic Della Penna</w:t>
            </w:r>
          </w:p>
        </w:tc>
      </w:tr>
      <w:tr>
        <w:trPr>
          <w:trHeight w:val="182"/>
        </w:trPr>
        <w:tc>
          <w:tcPr>
            <w:tcW w:w="35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500" w:type="dxa"/>
            <w:vAlign w:val="bottom"/>
          </w:tcPr>
          <w:p>
            <w:pPr>
              <w:jc w:val="center"/>
              <w:spacing w:after="0"/>
              <w:rPr>
                <w:sz w:val="20"/>
                <w:szCs w:val="20"/>
                <w:color w:val="auto"/>
              </w:rPr>
            </w:pPr>
            <w:r>
              <w:rPr>
                <w:rFonts w:ascii="Arial" w:cs="Arial" w:eastAsia="Arial" w:hAnsi="Arial"/>
                <w:sz w:val="15"/>
                <w:szCs w:val="15"/>
                <w:b w:val="1"/>
                <w:bCs w:val="1"/>
                <w:color w:val="auto"/>
                <w:w w:val="91"/>
              </w:rPr>
              <w:t>Domenic Della Penna</w:t>
            </w:r>
          </w:p>
        </w:tc>
      </w:tr>
      <w:tr>
        <w:trPr>
          <w:trHeight w:val="195"/>
        </w:trPr>
        <w:tc>
          <w:tcPr>
            <w:tcW w:w="35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5"/>
                <w:szCs w:val="15"/>
                <w:b w:val="1"/>
                <w:bCs w:val="1"/>
                <w:color w:val="auto"/>
                <w:w w:val="94"/>
              </w:rPr>
              <w:t>Chief Financial Officer</w:t>
            </w:r>
          </w:p>
        </w:tc>
      </w:tr>
      <w:tr>
        <w:trPr>
          <w:trHeight w:val="545"/>
        </w:trPr>
        <w:tc>
          <w:tcPr>
            <w:tcW w:w="3560" w:type="dxa"/>
            <w:vAlign w:val="bottom"/>
          </w:tcPr>
          <w:p>
            <w:pPr>
              <w:spacing w:after="0"/>
              <w:rPr>
                <w:sz w:val="24"/>
                <w:szCs w:val="24"/>
                <w:color w:val="auto"/>
              </w:rPr>
            </w:pPr>
          </w:p>
        </w:tc>
        <w:tc>
          <w:tcPr>
            <w:tcW w:w="3200" w:type="dxa"/>
            <w:vAlign w:val="bottom"/>
          </w:tcPr>
          <w:p>
            <w:pPr>
              <w:jc w:val="right"/>
              <w:ind w:right="984"/>
              <w:spacing w:after="0"/>
              <w:rPr>
                <w:sz w:val="20"/>
                <w:szCs w:val="20"/>
                <w:color w:val="auto"/>
              </w:rPr>
            </w:pPr>
            <w:r>
              <w:rPr>
                <w:rFonts w:ascii="Arial" w:cs="Arial" w:eastAsia="Arial" w:hAnsi="Arial"/>
                <w:sz w:val="15"/>
                <w:szCs w:val="15"/>
                <w:color w:val="auto"/>
              </w:rPr>
              <w:t>58</w:t>
            </w:r>
          </w:p>
        </w:tc>
        <w:tc>
          <w:tcPr>
            <w:tcW w:w="4500" w:type="dxa"/>
            <w:vAlign w:val="bottom"/>
          </w:tcPr>
          <w:p>
            <w:pPr>
              <w:spacing w:after="0"/>
              <w:rPr>
                <w:sz w:val="24"/>
                <w:szCs w:val="24"/>
                <w:color w:val="auto"/>
              </w:rPr>
            </w:pPr>
          </w:p>
        </w:tc>
      </w:tr>
    </w:tbl>
    <w:p>
      <w:pPr>
        <w:sectPr>
          <w:pgSz w:w="11900" w:h="16838" w:orient="portrait"/>
          <w:cols w:equalWidth="0" w:num="1">
            <w:col w:w="11260"/>
          </w:cols>
          <w:pgMar w:left="320" w:top="307" w:right="319" w:bottom="1440" w:gutter="0" w:footer="0" w:header="0"/>
        </w:sectPr>
      </w:pPr>
    </w:p>
    <w:bookmarkStart w:id="59" w:name="page60"/>
    <w:bookmarkEnd w:id="59"/>
    <w:p>
      <w:pPr>
        <w:jc w:val="right"/>
        <w:spacing w:after="0"/>
        <w:rPr>
          <w:sz w:val="20"/>
          <w:szCs w:val="20"/>
          <w:color w:val="auto"/>
        </w:rPr>
      </w:pPr>
      <w:r>
        <w:rPr>
          <w:rFonts w:ascii="Arial" w:cs="Arial" w:eastAsia="Arial" w:hAnsi="Arial"/>
          <w:sz w:val="15"/>
          <w:szCs w:val="15"/>
          <w:b w:val="1"/>
          <w:bCs w:val="1"/>
          <w:color w:val="auto"/>
        </w:rPr>
        <w:t>Exhibit 31.1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 PURSUANT TO SECTION 302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I, Domenic Serafino, certify that:</w:t>
      </w:r>
    </w:p>
    <w:p>
      <w:pPr>
        <w:spacing w:after="0" w:line="191" w:lineRule="exact"/>
        <w:rPr>
          <w:sz w:val="20"/>
          <w:szCs w:val="20"/>
          <w:color w:val="auto"/>
        </w:rPr>
      </w:pPr>
    </w:p>
    <w:p>
      <w:pPr>
        <w:ind w:left="460" w:hanging="457"/>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Venus Concept Inc.;</w:t>
      </w:r>
    </w:p>
    <w:p>
      <w:pPr>
        <w:spacing w:after="0" w:line="190" w:lineRule="exact"/>
        <w:rPr>
          <w:rFonts w:ascii="Arial" w:cs="Arial" w:eastAsia="Arial" w:hAnsi="Arial"/>
          <w:sz w:val="15"/>
          <w:szCs w:val="15"/>
          <w:color w:val="auto"/>
        </w:rPr>
      </w:pPr>
    </w:p>
    <w:p>
      <w:pPr>
        <w:ind w:left="460" w:right="400" w:hanging="457"/>
        <w:spacing w:after="0" w:line="315"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4"/>
          <w:szCs w:val="14"/>
          <w:color w:val="auto"/>
        </w:rPr>
      </w:pPr>
    </w:p>
    <w:p>
      <w:pPr>
        <w:ind w:left="460" w:right="240" w:hanging="457"/>
        <w:spacing w:after="0" w:line="278"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5"/>
          <w:szCs w:val="15"/>
          <w:color w:val="auto"/>
        </w:rPr>
      </w:pPr>
    </w:p>
    <w:p>
      <w:pPr>
        <w:ind w:left="460" w:right="60" w:hanging="457"/>
        <w:spacing w:after="0" w:line="315"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4"/>
          <w:szCs w:val="14"/>
          <w:color w:val="auto"/>
        </w:rPr>
      </w:pPr>
    </w:p>
    <w:p>
      <w:pPr>
        <w:ind w:left="940" w:right="320" w:hanging="460"/>
        <w:spacing w:after="0" w:line="265" w:lineRule="auto"/>
        <w:tabs>
          <w:tab w:leader="none" w:pos="9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5"/>
          <w:szCs w:val="15"/>
          <w:color w:val="auto"/>
        </w:rPr>
      </w:pPr>
    </w:p>
    <w:p>
      <w:pPr>
        <w:ind w:left="940" w:right="440" w:hanging="460"/>
        <w:spacing w:after="0" w:line="265" w:lineRule="auto"/>
        <w:tabs>
          <w:tab w:leader="none" w:pos="9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5"/>
          <w:szCs w:val="15"/>
          <w:color w:val="auto"/>
        </w:rPr>
      </w:pPr>
    </w:p>
    <w:p>
      <w:pPr>
        <w:ind w:left="940" w:right="460" w:hanging="460"/>
        <w:spacing w:after="0" w:line="278" w:lineRule="auto"/>
        <w:tabs>
          <w:tab w:leader="none" w:pos="9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5"/>
          <w:szCs w:val="15"/>
          <w:color w:val="auto"/>
        </w:rPr>
      </w:pPr>
    </w:p>
    <w:p>
      <w:pPr>
        <w:ind w:left="940" w:right="240" w:hanging="460"/>
        <w:spacing w:after="0" w:line="278" w:lineRule="auto"/>
        <w:tabs>
          <w:tab w:leader="none" w:pos="9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5" w:lineRule="exact"/>
        <w:rPr>
          <w:rFonts w:ascii="Arial" w:cs="Arial" w:eastAsia="Arial" w:hAnsi="Arial"/>
          <w:sz w:val="15"/>
          <w:szCs w:val="15"/>
          <w:color w:val="auto"/>
        </w:rPr>
      </w:pPr>
    </w:p>
    <w:p>
      <w:pPr>
        <w:ind w:left="460" w:right="1420" w:hanging="457"/>
        <w:spacing w:after="0" w:line="315"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4"/>
          <w:szCs w:val="14"/>
          <w:color w:val="auto"/>
        </w:rPr>
      </w:pPr>
    </w:p>
    <w:p>
      <w:pPr>
        <w:ind w:left="940" w:right="600" w:hanging="460"/>
        <w:spacing w:after="0" w:line="278" w:lineRule="auto"/>
        <w:tabs>
          <w:tab w:leader="none" w:pos="9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5"/>
          <w:szCs w:val="15"/>
          <w:color w:val="auto"/>
        </w:rPr>
      </w:pPr>
    </w:p>
    <w:p>
      <w:pPr>
        <w:ind w:left="940" w:right="820" w:hanging="460"/>
        <w:spacing w:after="0" w:line="278" w:lineRule="auto"/>
        <w:tabs>
          <w:tab w:leader="none" w:pos="9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27"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315595</wp:posOffset>
            </wp:positionV>
            <wp:extent cx="716851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760"/>
          </w:cols>
          <w:pgMar w:left="580" w:top="681" w:right="559" w:bottom="1440" w:gutter="0" w:footer="0" w:header="0"/>
        </w:sectPr>
      </w:pPr>
    </w:p>
    <w:bookmarkStart w:id="60" w:name="page61"/>
    <w:bookmarkEnd w:id="60"/>
    <w:p>
      <w:pPr>
        <w:spacing w:after="0"/>
        <w:tabs>
          <w:tab w:leader="none" w:pos="4140" w:val="left"/>
          <w:tab w:leader="none" w:pos="5580" w:val="left"/>
        </w:tabs>
        <w:rPr>
          <w:sz w:val="20"/>
          <w:szCs w:val="20"/>
          <w:color w:val="auto"/>
        </w:rPr>
      </w:pPr>
      <w:r>
        <w:rPr>
          <w:rFonts w:ascii="Arial" w:cs="Arial" w:eastAsia="Arial" w:hAnsi="Arial"/>
          <w:sz w:val="15"/>
          <w:szCs w:val="15"/>
          <w:color w:val="auto"/>
        </w:rPr>
        <w:t>Date: November 16,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22"/>
          <w:szCs w:val="22"/>
          <w:color w:val="auto"/>
          <w:vertAlign w:val="subscript"/>
        </w:rPr>
        <w:t>/s/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98425</wp:posOffset>
            </wp:positionV>
            <wp:extent cx="243014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430145" cy="6985"/>
                    </a:xfrm>
                    <a:prstGeom prst="rect">
                      <a:avLst/>
                    </a:prstGeom>
                    <a:noFill/>
                  </pic:spPr>
                </pic:pic>
              </a:graphicData>
            </a:graphic>
          </wp:anchor>
        </w:drawing>
      </w:r>
    </w:p>
    <w:p>
      <w:pPr>
        <w:spacing w:after="0" w:line="147"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Name: Domenic Serafino</w:t>
      </w:r>
    </w:p>
    <w:p>
      <w:pPr>
        <w:spacing w:after="0" w:line="18" w:lineRule="exact"/>
        <w:rPr>
          <w:sz w:val="20"/>
          <w:szCs w:val="20"/>
          <w:color w:val="auto"/>
        </w:rPr>
      </w:pPr>
    </w:p>
    <w:p>
      <w:pPr>
        <w:ind w:left="5540"/>
        <w:spacing w:after="0"/>
        <w:rPr>
          <w:sz w:val="20"/>
          <w:szCs w:val="20"/>
          <w:color w:val="auto"/>
        </w:rPr>
      </w:pPr>
      <w:r>
        <w:rPr>
          <w:rFonts w:ascii="Arial" w:cs="Arial" w:eastAsia="Arial" w:hAnsi="Arial"/>
          <w:sz w:val="15"/>
          <w:szCs w:val="15"/>
          <w:b w:val="1"/>
          <w:bCs w:val="1"/>
          <w:color w:val="auto"/>
        </w:rPr>
        <w:t>Chief Executive Officer</w:t>
      </w:r>
    </w:p>
    <w:p>
      <w:pPr>
        <w:spacing w:after="0" w:line="21" w:lineRule="exact"/>
        <w:rPr>
          <w:sz w:val="20"/>
          <w:szCs w:val="20"/>
          <w:color w:val="auto"/>
        </w:rPr>
      </w:pPr>
    </w:p>
    <w:p>
      <w:pPr>
        <w:jc w:val="right"/>
        <w:ind w:right="2639"/>
        <w:spacing w:after="0"/>
        <w:rPr>
          <w:sz w:val="20"/>
          <w:szCs w:val="20"/>
          <w:color w:val="auto"/>
        </w:rPr>
      </w:pPr>
      <w:r>
        <w:rPr>
          <w:rFonts w:ascii="Arial" w:cs="Arial" w:eastAsia="Arial" w:hAnsi="Arial"/>
          <w:sz w:val="15"/>
          <w:szCs w:val="15"/>
          <w:b w:val="1"/>
          <w:bCs w:val="1"/>
          <w:color w:val="auto"/>
        </w:rPr>
        <w:t>(Principal Executive Officer)</w:t>
      </w:r>
    </w:p>
    <w:p>
      <w:pPr>
        <w:sectPr>
          <w:pgSz w:w="11900" w:h="16838" w:orient="portrait"/>
          <w:cols w:equalWidth="0" w:num="1">
            <w:col w:w="9879"/>
          </w:cols>
          <w:pgMar w:left="580" w:top="300"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5"/>
          <w:szCs w:val="15"/>
          <w:b w:val="1"/>
          <w:bCs w:val="1"/>
          <w:color w:val="auto"/>
        </w:rPr>
        <w:t>Exhibit 31.2</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CERTIFICATION OF CHIEF EXECUTIVE OFFICER PURSUANT TO SECTION 302 OF THE SARBANES-OXLEY ACT OF 2002</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I, Domenic Della Penna, certify that:</w:t>
      </w:r>
    </w:p>
    <w:p>
      <w:pPr>
        <w:spacing w:after="0" w:line="191" w:lineRule="exact"/>
        <w:rPr>
          <w:sz w:val="20"/>
          <w:szCs w:val="20"/>
          <w:color w:val="auto"/>
        </w:rPr>
      </w:pPr>
    </w:p>
    <w:p>
      <w:pPr>
        <w:ind w:left="460" w:hanging="457"/>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Venus Concept Inc.;</w:t>
      </w:r>
    </w:p>
    <w:p>
      <w:pPr>
        <w:spacing w:after="0" w:line="190" w:lineRule="exact"/>
        <w:rPr>
          <w:rFonts w:ascii="Arial" w:cs="Arial" w:eastAsia="Arial" w:hAnsi="Arial"/>
          <w:sz w:val="15"/>
          <w:szCs w:val="15"/>
          <w:color w:val="auto"/>
        </w:rPr>
      </w:pPr>
    </w:p>
    <w:p>
      <w:pPr>
        <w:ind w:left="460" w:right="400" w:hanging="457"/>
        <w:spacing w:after="0" w:line="315"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4"/>
          <w:szCs w:val="14"/>
          <w:color w:val="auto"/>
        </w:rPr>
      </w:pPr>
    </w:p>
    <w:p>
      <w:pPr>
        <w:ind w:left="460" w:right="240" w:hanging="457"/>
        <w:spacing w:after="0" w:line="278"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5"/>
          <w:szCs w:val="15"/>
          <w:color w:val="auto"/>
        </w:rPr>
      </w:pPr>
    </w:p>
    <w:p>
      <w:pPr>
        <w:ind w:left="460" w:right="80" w:hanging="457"/>
        <w:spacing w:after="0" w:line="315"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4"/>
          <w:szCs w:val="14"/>
          <w:color w:val="auto"/>
        </w:rPr>
      </w:pPr>
    </w:p>
    <w:p>
      <w:pPr>
        <w:ind w:left="940" w:right="320" w:hanging="460"/>
        <w:spacing w:after="0" w:line="265"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5"/>
          <w:szCs w:val="15"/>
          <w:color w:val="auto"/>
        </w:rPr>
      </w:pPr>
    </w:p>
    <w:p>
      <w:pPr>
        <w:ind w:left="940" w:right="440" w:hanging="460"/>
        <w:spacing w:after="0" w:line="265"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5"/>
          <w:szCs w:val="15"/>
          <w:color w:val="auto"/>
        </w:rPr>
      </w:pPr>
    </w:p>
    <w:p>
      <w:pPr>
        <w:ind w:left="940" w:right="460" w:hanging="460"/>
        <w:spacing w:after="0" w:line="278"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5"/>
          <w:szCs w:val="15"/>
          <w:color w:val="auto"/>
        </w:rPr>
      </w:pPr>
    </w:p>
    <w:p>
      <w:pPr>
        <w:ind w:left="940" w:right="240" w:hanging="460"/>
        <w:spacing w:after="0" w:line="278"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5" w:lineRule="exact"/>
        <w:rPr>
          <w:rFonts w:ascii="Arial" w:cs="Arial" w:eastAsia="Arial" w:hAnsi="Arial"/>
          <w:sz w:val="15"/>
          <w:szCs w:val="15"/>
          <w:color w:val="auto"/>
        </w:rPr>
      </w:pPr>
    </w:p>
    <w:p>
      <w:pPr>
        <w:ind w:left="460" w:right="1420" w:hanging="457"/>
        <w:spacing w:after="0" w:line="315"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4"/>
          <w:szCs w:val="14"/>
          <w:color w:val="auto"/>
        </w:rPr>
      </w:pPr>
    </w:p>
    <w:p>
      <w:pPr>
        <w:ind w:left="940" w:right="600" w:hanging="460"/>
        <w:spacing w:after="0" w:line="278"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5"/>
          <w:szCs w:val="15"/>
          <w:color w:val="auto"/>
        </w:rPr>
      </w:pPr>
    </w:p>
    <w:p>
      <w:pPr>
        <w:ind w:left="940" w:right="820" w:hanging="460"/>
        <w:spacing w:after="0" w:line="278"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62865</wp:posOffset>
            </wp:positionV>
            <wp:extent cx="716851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760"/>
          </w:cols>
          <w:pgMar w:left="580" w:top="931" w:right="559" w:bottom="1440" w:gutter="0" w:footer="0" w:header="0"/>
        </w:sectPr>
      </w:pPr>
    </w:p>
    <w:bookmarkStart w:id="62" w:name="page63"/>
    <w:bookmarkEnd w:id="62"/>
    <w:p>
      <w:pPr>
        <w:spacing w:after="0"/>
        <w:tabs>
          <w:tab w:leader="none" w:pos="4140" w:val="left"/>
          <w:tab w:leader="none" w:pos="5520" w:val="left"/>
        </w:tabs>
        <w:rPr>
          <w:sz w:val="20"/>
          <w:szCs w:val="20"/>
          <w:color w:val="auto"/>
        </w:rPr>
      </w:pPr>
      <w:r>
        <w:rPr>
          <w:rFonts w:ascii="Arial" w:cs="Arial" w:eastAsia="Arial" w:hAnsi="Arial"/>
          <w:sz w:val="15"/>
          <w:szCs w:val="15"/>
          <w:color w:val="auto"/>
        </w:rPr>
        <w:t>Date: November 16,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Domenic Della Penna</w:t>
      </w:r>
    </w:p>
    <w:p>
      <w:pPr>
        <w:spacing w:after="0" w:line="28" w:lineRule="exact"/>
        <w:rPr>
          <w:sz w:val="20"/>
          <w:szCs w:val="20"/>
          <w:color w:val="auto"/>
        </w:rPr>
      </w:pPr>
    </w:p>
    <w:p>
      <w:pPr>
        <w:jc w:val="right"/>
        <w:ind w:right="2659"/>
        <w:spacing w:after="0"/>
        <w:rPr>
          <w:sz w:val="20"/>
          <w:szCs w:val="20"/>
          <w:color w:val="auto"/>
        </w:rPr>
      </w:pPr>
      <w:r>
        <w:rPr>
          <w:rFonts w:ascii="Arial" w:cs="Arial" w:eastAsia="Arial" w:hAnsi="Arial"/>
          <w:sz w:val="15"/>
          <w:szCs w:val="15"/>
          <w:b w:val="1"/>
          <w:bCs w:val="1"/>
          <w:color w:val="auto"/>
        </w:rPr>
        <w:t>Name: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-106680</wp:posOffset>
            </wp:positionV>
            <wp:extent cx="24301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430145" cy="6985"/>
                    </a:xfrm>
                    <a:prstGeom prst="rect">
                      <a:avLst/>
                    </a:prstGeom>
                    <a:noFill/>
                  </pic:spPr>
                </pic:pic>
              </a:graphicData>
            </a:graphic>
          </wp:anchor>
        </w:drawing>
      </w:r>
    </w:p>
    <w:p>
      <w:pPr>
        <w:spacing w:after="0" w:line="2" w:lineRule="exact"/>
        <w:rPr>
          <w:sz w:val="20"/>
          <w:szCs w:val="20"/>
          <w:color w:val="auto"/>
        </w:rPr>
      </w:pPr>
    </w:p>
    <w:p>
      <w:pPr>
        <w:ind w:left="5560"/>
        <w:spacing w:after="0"/>
        <w:rPr>
          <w:sz w:val="20"/>
          <w:szCs w:val="20"/>
          <w:color w:val="auto"/>
        </w:rPr>
      </w:pPr>
      <w:r>
        <w:rPr>
          <w:rFonts w:ascii="Arial" w:cs="Arial" w:eastAsia="Arial" w:hAnsi="Arial"/>
          <w:sz w:val="15"/>
          <w:szCs w:val="15"/>
          <w:b w:val="1"/>
          <w:bCs w:val="1"/>
          <w:color w:val="auto"/>
        </w:rPr>
        <w:t>Chief Financial Officer</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9879"/>
          </w:cols>
          <w:pgMar w:left="580" w:top="504" w:right="1440" w:bottom="1440" w:gutter="0" w:footer="0" w:header="0"/>
        </w:sectPr>
      </w:pPr>
    </w:p>
    <w:bookmarkStart w:id="63" w:name="page64"/>
    <w:bookmarkEnd w:id="63"/>
    <w:p>
      <w:pPr>
        <w:ind w:left="10100"/>
        <w:spacing w:after="0"/>
        <w:rPr>
          <w:sz w:val="20"/>
          <w:szCs w:val="20"/>
          <w:color w:val="auto"/>
        </w:rPr>
      </w:pPr>
      <w:r>
        <w:rPr>
          <w:rFonts w:ascii="Arial" w:cs="Arial" w:eastAsia="Arial" w:hAnsi="Arial"/>
          <w:sz w:val="16"/>
          <w:szCs w:val="16"/>
          <w:b w:val="1"/>
          <w:bCs w:val="1"/>
          <w:color w:val="auto"/>
        </w:rPr>
        <w:t>Exhibit 32.1</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Certification of Principal Executive Officer Pursuant to 18 U.S.C. Section 1350 as Adopted Pursuant to Section 906 of the Sarbanes-Oxley Act of 2002</w:t>
      </w:r>
    </w:p>
    <w:p>
      <w:pPr>
        <w:spacing w:after="0" w:line="200" w:lineRule="exact"/>
        <w:rPr>
          <w:sz w:val="20"/>
          <w:szCs w:val="20"/>
          <w:color w:val="auto"/>
        </w:rPr>
      </w:pPr>
    </w:p>
    <w:p>
      <w:pPr>
        <w:spacing w:after="0" w:line="290" w:lineRule="exact"/>
        <w:rPr>
          <w:sz w:val="20"/>
          <w:szCs w:val="20"/>
          <w:color w:val="auto"/>
        </w:rPr>
      </w:pPr>
    </w:p>
    <w:p>
      <w:pPr>
        <w:ind w:right="200" w:firstLine="866"/>
        <w:spacing w:after="0" w:line="257"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Domenic Serafino, the Chief Executive Officer of Venus Concept Inc.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certify, that, to my knowledge:</w:t>
      </w:r>
    </w:p>
    <w:p>
      <w:pPr>
        <w:spacing w:after="0" w:line="145" w:lineRule="exact"/>
        <w:rPr>
          <w:sz w:val="20"/>
          <w:szCs w:val="20"/>
          <w:color w:val="auto"/>
        </w:rPr>
      </w:pPr>
    </w:p>
    <w:p>
      <w:pPr>
        <w:ind w:firstLine="857"/>
        <w:spacing w:after="0" w:line="262" w:lineRule="auto"/>
        <w:tabs>
          <w:tab w:leader="none" w:pos="208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Quarterly Report on Form 10-Q for the quarter ended September 30, 2020 (the “</w:t>
      </w:r>
      <w:r>
        <w:rPr>
          <w:rFonts w:ascii="Arial" w:cs="Arial" w:eastAsia="Arial" w:hAnsi="Arial"/>
          <w:sz w:val="17"/>
          <w:szCs w:val="17"/>
          <w:b w:val="1"/>
          <w:bCs w:val="1"/>
          <w:color w:val="auto"/>
        </w:rPr>
        <w:t>Report</w:t>
      </w:r>
      <w:r>
        <w:rPr>
          <w:rFonts w:ascii="Arial" w:cs="Arial" w:eastAsia="Arial" w:hAnsi="Arial"/>
          <w:sz w:val="17"/>
          <w:szCs w:val="17"/>
          <w:color w:val="auto"/>
        </w:rPr>
        <w:t>”) of the Company fully complies with the requirements of Section 13(a) of the Securities Exchange Act of 1934; and</w:t>
      </w:r>
    </w:p>
    <w:p>
      <w:pPr>
        <w:spacing w:after="0" w:line="145" w:lineRule="exact"/>
        <w:rPr>
          <w:rFonts w:ascii="Arial" w:cs="Arial" w:eastAsia="Arial" w:hAnsi="Arial"/>
          <w:sz w:val="17"/>
          <w:szCs w:val="17"/>
          <w:color w:val="auto"/>
        </w:rPr>
      </w:pPr>
    </w:p>
    <w:p>
      <w:pPr>
        <w:ind w:left="2080" w:hanging="1223"/>
        <w:spacing w:after="0"/>
        <w:tabs>
          <w:tab w:leader="none" w:pos="2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Company.</w:t>
      </w:r>
    </w:p>
    <w:p>
      <w:pPr>
        <w:spacing w:after="0" w:line="165"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6851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040"/>
          </w:cols>
          <w:pgMar w:left="320" w:top="995" w:right="539" w:bottom="1440" w:gutter="0" w:footer="0" w:header="0"/>
        </w:sectPr>
      </w:pPr>
    </w:p>
    <w:bookmarkStart w:id="64" w:name="page65"/>
    <w:bookmarkEnd w:id="64"/>
    <w:p>
      <w:pPr>
        <w:spacing w:after="0"/>
        <w:tabs>
          <w:tab w:leader="none" w:pos="3320" w:val="left"/>
          <w:tab w:leader="none" w:pos="4600" w:val="left"/>
        </w:tabs>
        <w:rPr>
          <w:sz w:val="20"/>
          <w:szCs w:val="20"/>
          <w:color w:val="auto"/>
        </w:rPr>
      </w:pPr>
      <w:r>
        <w:rPr>
          <w:rFonts w:ascii="Arial" w:cs="Arial" w:eastAsia="Arial" w:hAnsi="Arial"/>
          <w:sz w:val="17"/>
          <w:szCs w:val="17"/>
          <w:color w:val="auto"/>
        </w:rPr>
        <w:t>Date: November 16,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DOMENIC SERAFINO</w:t>
      </w:r>
    </w:p>
    <w:p>
      <w:pPr>
        <w:spacing w:after="0" w:line="43"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Name: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-99695</wp:posOffset>
            </wp:positionV>
            <wp:extent cx="246634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466340" cy="6985"/>
                    </a:xfrm>
                    <a:prstGeom prst="rect">
                      <a:avLst/>
                    </a:prstGeom>
                    <a:noFill/>
                  </pic:spPr>
                </pic:pic>
              </a:graphicData>
            </a:graphic>
          </wp:anchor>
        </w:drawing>
      </w:r>
    </w:p>
    <w:p>
      <w:pPr>
        <w:spacing w:after="0" w:line="58"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Chief Executive Officer</w:t>
      </w:r>
    </w:p>
    <w:p>
      <w:pPr>
        <w:spacing w:after="0" w:line="22" w:lineRule="exact"/>
        <w:rPr>
          <w:sz w:val="20"/>
          <w:szCs w:val="20"/>
          <w:color w:val="auto"/>
        </w:rPr>
      </w:pPr>
    </w:p>
    <w:p>
      <w:pPr>
        <w:jc w:val="right"/>
        <w:ind w:right="3379"/>
        <w:spacing w:after="0"/>
        <w:rPr>
          <w:sz w:val="20"/>
          <w:szCs w:val="20"/>
          <w:color w:val="auto"/>
        </w:rPr>
      </w:pPr>
      <w:r>
        <w:rPr>
          <w:rFonts w:ascii="Arial" w:cs="Arial" w:eastAsia="Arial" w:hAnsi="Arial"/>
          <w:sz w:val="15"/>
          <w:szCs w:val="15"/>
          <w:b w:val="1"/>
          <w:bCs w:val="1"/>
          <w:color w:val="auto"/>
        </w:rPr>
        <w:t>(Principal Executive Officer)</w:t>
      </w:r>
    </w:p>
    <w:p>
      <w:pPr>
        <w:sectPr>
          <w:pgSz w:w="11900" w:h="16838" w:orient="portrait"/>
          <w:cols w:equalWidth="0" w:num="1">
            <w:col w:w="9839"/>
          </w:cols>
          <w:pgMar w:left="620" w:top="511" w:right="1440" w:bottom="1440" w:gutter="0" w:footer="0" w:header="0"/>
        </w:sectPr>
      </w:pPr>
    </w:p>
    <w:bookmarkStart w:id="65" w:name="page66"/>
    <w:bookmarkEnd w:id="65"/>
    <w:p>
      <w:pPr>
        <w:ind w:left="10100"/>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Certification of Principal Financial Officer Pursuant to 18 U.S.C. Section 1350 as Adopted Pursuant to Section 906 of the Sarbanes-Oxley Act of 2002</w:t>
      </w:r>
    </w:p>
    <w:p>
      <w:pPr>
        <w:spacing w:after="0" w:line="200" w:lineRule="exact"/>
        <w:rPr>
          <w:sz w:val="20"/>
          <w:szCs w:val="20"/>
          <w:color w:val="auto"/>
        </w:rPr>
      </w:pPr>
    </w:p>
    <w:p>
      <w:pPr>
        <w:spacing w:after="0" w:line="290" w:lineRule="exact"/>
        <w:rPr>
          <w:sz w:val="20"/>
          <w:szCs w:val="20"/>
          <w:color w:val="auto"/>
        </w:rPr>
      </w:pPr>
    </w:p>
    <w:p>
      <w:pPr>
        <w:ind w:right="80" w:firstLine="866"/>
        <w:spacing w:after="0" w:line="257"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Domenic Della Pena, the Chief Financial Officer of Venus Concept Inc.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certify, that, to my knowledge:</w:t>
      </w:r>
    </w:p>
    <w:p>
      <w:pPr>
        <w:spacing w:after="0" w:line="145" w:lineRule="exact"/>
        <w:rPr>
          <w:sz w:val="20"/>
          <w:szCs w:val="20"/>
          <w:color w:val="auto"/>
        </w:rPr>
      </w:pPr>
    </w:p>
    <w:p>
      <w:pPr>
        <w:ind w:firstLine="857"/>
        <w:spacing w:after="0" w:line="262" w:lineRule="auto"/>
        <w:tabs>
          <w:tab w:leader="none" w:pos="208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Quarterly Report on Form 10-Q for the quarter ended September 30, 2020 (the “</w:t>
      </w:r>
      <w:r>
        <w:rPr>
          <w:rFonts w:ascii="Arial" w:cs="Arial" w:eastAsia="Arial" w:hAnsi="Arial"/>
          <w:sz w:val="17"/>
          <w:szCs w:val="17"/>
          <w:b w:val="1"/>
          <w:bCs w:val="1"/>
          <w:color w:val="auto"/>
        </w:rPr>
        <w:t>Report</w:t>
      </w:r>
      <w:r>
        <w:rPr>
          <w:rFonts w:ascii="Arial" w:cs="Arial" w:eastAsia="Arial" w:hAnsi="Arial"/>
          <w:sz w:val="17"/>
          <w:szCs w:val="17"/>
          <w:color w:val="auto"/>
        </w:rPr>
        <w:t>”) of the Company fully complies with the requirements of Section 13(a) of the Securities Exchange Act of 1934; and</w:t>
      </w:r>
    </w:p>
    <w:p>
      <w:pPr>
        <w:spacing w:after="0" w:line="145" w:lineRule="exact"/>
        <w:rPr>
          <w:rFonts w:ascii="Arial" w:cs="Arial" w:eastAsia="Arial" w:hAnsi="Arial"/>
          <w:sz w:val="17"/>
          <w:szCs w:val="17"/>
          <w:color w:val="auto"/>
        </w:rPr>
      </w:pPr>
    </w:p>
    <w:p>
      <w:pPr>
        <w:ind w:left="2080" w:hanging="1223"/>
        <w:spacing w:after="0"/>
        <w:tabs>
          <w:tab w:leader="none" w:pos="2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Company.</w:t>
      </w:r>
    </w:p>
    <w:p>
      <w:pPr>
        <w:spacing w:after="0" w:line="165"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3988435</wp:posOffset>
            </wp:positionV>
            <wp:extent cx="716851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040"/>
          </w:cols>
          <w:pgMar w:left="320" w:top="757" w:right="539" w:bottom="1440" w:gutter="0" w:footer="0" w:header="0"/>
        </w:sectPr>
      </w:pPr>
    </w:p>
    <w:bookmarkStart w:id="66" w:name="page67"/>
    <w:bookmarkEnd w:id="66"/>
    <w:p>
      <w:pPr>
        <w:spacing w:after="0" w:line="94" w:lineRule="exact"/>
        <w:rPr>
          <w:sz w:val="20"/>
          <w:szCs w:val="20"/>
          <w:color w:val="auto"/>
        </w:rPr>
      </w:pPr>
    </w:p>
    <w:p>
      <w:pPr>
        <w:spacing w:after="0"/>
        <w:tabs>
          <w:tab w:leader="none" w:pos="3380" w:val="left"/>
          <w:tab w:leader="none" w:pos="4540" w:val="left"/>
        </w:tabs>
        <w:rPr>
          <w:sz w:val="20"/>
          <w:szCs w:val="20"/>
          <w:color w:val="auto"/>
        </w:rPr>
      </w:pPr>
      <w:r>
        <w:rPr>
          <w:rFonts w:ascii="Arial" w:cs="Arial" w:eastAsia="Arial" w:hAnsi="Arial"/>
          <w:sz w:val="17"/>
          <w:szCs w:val="17"/>
          <w:color w:val="auto"/>
        </w:rPr>
        <w:t>Date: November 16,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DOMENIC DELLA PENNA</w:t>
      </w:r>
    </w:p>
    <w:p>
      <w:pPr>
        <w:spacing w:after="0" w:line="62"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Name: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-104140</wp:posOffset>
            </wp:positionV>
            <wp:extent cx="254571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545715" cy="6985"/>
                    </a:xfrm>
                    <a:prstGeom prst="rect">
                      <a:avLst/>
                    </a:prstGeom>
                    <a:noFill/>
                  </pic:spPr>
                </pic:pic>
              </a:graphicData>
            </a:graphic>
          </wp:anchor>
        </w:drawing>
      </w:r>
    </w:p>
    <w:p>
      <w:pPr>
        <w:spacing w:after="0" w:line="4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Chief Financial Officer</w:t>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9839"/>
      </w:cols>
      <w:pgMar w:left="6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upperLetter"/>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2"/>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82" Type="http://schemas.openxmlformats.org/officeDocument/2006/relationships/hyperlink" Target="http://www.sec.gov/Archives/edgar/data/0001409269/000119312517311810/d448597dex31.htm" TargetMode="External"/><Relationship Id="rId83" Type="http://schemas.openxmlformats.org/officeDocument/2006/relationships/hyperlink" Target="http://www.sec.gov/Archives/edgar/data/0001409269/000119312519286952/d827576dex31.htm" TargetMode="External"/><Relationship Id="rId84" Type="http://schemas.openxmlformats.org/officeDocument/2006/relationships/hyperlink" Target="http://www.sec.gov/Archives/edgar/data/0001409269/000119312519286952/d827576dex32.htm" TargetMode="External"/><Relationship Id="rId85" Type="http://schemas.openxmlformats.org/officeDocument/2006/relationships/hyperlink" Target="http://www.sec.gov/Archives/edgar/data/1409269/000119312520261308/d100603dex101.htm" TargetMode="External"/><Relationship Id="rId86" Type="http://schemas.openxmlformats.org/officeDocument/2006/relationships/hyperlink" Target="http://www.sec.gov/Archives/edgar/data/1409269/000119312520261308/d10060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2020-11-16T06:56:02Z</dcterms:created>
  <dcterms:modified xsi:type="dcterms:W3CDTF">2020-11-16T06:56:02Z</dcterms:modified>
</cp:coreProperties>
</file>