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62230</wp:posOffset>
            </wp:positionV>
            <wp:extent cx="1062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60" w:right="1600" w:hanging="3652"/>
        <w:spacing w:after="0" w:line="490" w:lineRule="auto"/>
        <w:tabs>
          <w:tab w:leader="none" w:pos="49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240" w:right="1580" w:hanging="3232"/>
        <w:spacing w:after="0" w:line="500"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53975</wp:posOffset>
            </wp:positionV>
            <wp:extent cx="1062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Venus Concept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10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06-1681204</w:t>
      </w:r>
    </w:p>
    <w:p>
      <w:pPr>
        <w:spacing w:after="0" w:line="23" w:lineRule="exact"/>
        <w:rPr>
          <w:sz w:val="24"/>
          <w:szCs w:val="24"/>
          <w:color w:val="auto"/>
        </w:rPr>
      </w:pPr>
    </w:p>
    <w:p>
      <w:pPr>
        <w:sectPr>
          <w:pgSz w:w="11900" w:h="16838" w:orient="portrait"/>
          <w:cols w:equalWidth="0" w:num="2">
            <w:col w:w="7280" w:space="720"/>
            <w:col w:w="3240"/>
          </w:cols>
          <w:pgMar w:left="320" w:top="472"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140" w:space="720"/>
            <w:col w:w="3380"/>
          </w:cols>
          <w:pgMar w:left="320" w:top="4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235 Yorkland Blvd., Suite 900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M2J 4Y8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848-8430</w:t>
      </w:r>
    </w:p>
    <w:p>
      <w:pPr>
        <w:sectPr>
          <w:pgSz w:w="11900" w:h="16838" w:orient="portrait"/>
          <w:cols w:equalWidth="0" w:num="1">
            <w:col w:w="11240"/>
          </w:cols>
          <w:pgMar w:left="320" w:top="472"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154940</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0" w:type="dxa"/>
            <w:vAlign w:val="bottom"/>
          </w:tcPr>
          <w:p>
            <w:pPr>
              <w:spacing w:after="0"/>
              <w:rPr>
                <w:sz w:val="18"/>
                <w:szCs w:val="18"/>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VERO</w:t>
            </w:r>
          </w:p>
        </w:tc>
        <w:tc>
          <w:tcPr>
            <w:tcW w:w="40" w:type="dxa"/>
            <w:vAlign w:val="bottom"/>
          </w:tcPr>
          <w:p>
            <w:pPr>
              <w:spacing w:after="0"/>
              <w:rPr>
                <w:sz w:val="18"/>
                <w:szCs w:val="18"/>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r>
    </w:tbl>
    <w:p>
      <w:pPr>
        <w:spacing w:after="0" w:line="181" w:lineRule="exact"/>
        <w:rPr>
          <w:sz w:val="24"/>
          <w:szCs w:val="24"/>
          <w:color w:val="auto"/>
        </w:rPr>
      </w:pPr>
    </w:p>
    <w:p>
      <w:pPr>
        <w:jc w:val="both"/>
        <w:ind w:firstLine="45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4"/>
          <w:szCs w:val="24"/>
          <w:color w:val="auto"/>
        </w:rPr>
      </w:pPr>
    </w:p>
    <w:p>
      <w:pPr>
        <w:ind w:right="20"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ind w:left="460"/>
        <w:spacing w:after="0" w:line="184" w:lineRule="exact"/>
        <w:tabs>
          <w:tab w:leader="none" w:pos="796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November 7, 2024 the registrant had 7,255,277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517525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2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440" w:type="dxa"/>
            <w:vAlign w:val="bottom"/>
            <w:gridSpan w:val="20"/>
            <w:vMerge w:val="continue"/>
          </w:tcPr>
          <w:p>
            <w:pPr>
              <w:spacing w:after="0"/>
              <w:rPr>
                <w:sz w:val="14"/>
                <w:szCs w:val="14"/>
                <w:color w:val="auto"/>
              </w:rPr>
            </w:pPr>
          </w:p>
        </w:tc>
        <w:tc>
          <w:tcPr>
            <w:tcW w:w="66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Condensed Consolidated Financial Statements (unaudited)</w:t>
            </w:r>
          </w:p>
        </w:tc>
        <w:tc>
          <w:tcPr>
            <w:tcW w:w="492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1580" w:type="dxa"/>
            <w:vAlign w:val="bottom"/>
            <w:gridSpan w:val="5"/>
          </w:tcPr>
          <w:p>
            <w:pPr>
              <w:spacing w:after="0"/>
              <w:rPr>
                <w:sz w:val="17"/>
                <w:szCs w:val="17"/>
                <w:color w:val="auto"/>
              </w:rPr>
            </w:pPr>
          </w:p>
        </w:tc>
        <w:tc>
          <w:tcPr>
            <w:tcW w:w="492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780" w:type="dxa"/>
            <w:vAlign w:val="bottom"/>
            <w:gridSpan w:val="9"/>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w:t>
            </w:r>
            <w:r>
              <w:rPr>
                <w:rFonts w:ascii="Times New Roman" w:cs="Times New Roman" w:eastAsia="Times New Roman" w:hAnsi="Times New Roman"/>
                <w:sz w:val="18"/>
                <w:szCs w:val="18"/>
                <w:color w:val="000000"/>
              </w:rPr>
              <w:t>)</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1280" w:type="dxa"/>
            <w:vAlign w:val="bottom"/>
            <w:gridSpan w:val="6"/>
          </w:tcPr>
          <w:p>
            <w:pPr>
              <w:spacing w:after="0"/>
              <w:rPr>
                <w:sz w:val="17"/>
                <w:szCs w:val="17"/>
                <w:color w:val="auto"/>
              </w:rPr>
            </w:pPr>
          </w:p>
        </w:tc>
        <w:tc>
          <w:tcPr>
            <w:tcW w:w="4440" w:type="dxa"/>
            <w:vAlign w:val="bottom"/>
            <w:gridSpan w:val="2"/>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5180" w:type="dxa"/>
            <w:vAlign w:val="bottom"/>
            <w:gridSpan w:val="7"/>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68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Management’s Discussion and Analysis of Financial Condition and Results of Operations</w:t>
            </w: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Controls and Procedures</w:t>
            </w:r>
          </w:p>
        </w:tc>
        <w:tc>
          <w:tcPr>
            <w:tcW w:w="2740" w:type="dxa"/>
            <w:vAlign w:val="bottom"/>
            <w:tcBorders>
              <w:top w:val="single" w:sz="8" w:color="0000EE"/>
            </w:tcBorders>
            <w:gridSpan w:val="9"/>
          </w:tcPr>
          <w:p>
            <w:pPr>
              <w:spacing w:after="0"/>
              <w:rPr>
                <w:sz w:val="17"/>
                <w:szCs w:val="17"/>
                <w:color w:val="auto"/>
              </w:rPr>
            </w:pPr>
          </w:p>
        </w:tc>
        <w:tc>
          <w:tcPr>
            <w:tcW w:w="47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w:t>
            </w:r>
          </w:p>
        </w:tc>
        <w:tc>
          <w:tcPr>
            <w:tcW w:w="14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800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420" w:type="dxa"/>
            <w:vAlign w:val="bottom"/>
            <w:tcBorders>
              <w:top w:val="single" w:sz="8" w:color="0000EE"/>
            </w:tcBorders>
          </w:tcPr>
          <w:p>
            <w:pPr>
              <w:spacing w:after="0"/>
              <w:rPr>
                <w:sz w:val="17"/>
                <w:szCs w:val="17"/>
                <w:color w:val="auto"/>
              </w:rPr>
            </w:pPr>
          </w:p>
        </w:tc>
        <w:tc>
          <w:tcPr>
            <w:tcW w:w="804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488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8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Mine Safety Disclosures</w:t>
            </w:r>
          </w:p>
        </w:tc>
        <w:tc>
          <w:tcPr>
            <w:tcW w:w="600" w:type="dxa"/>
            <w:vAlign w:val="bottom"/>
            <w:tcBorders>
              <w:top w:val="single" w:sz="8" w:color="0000EE"/>
            </w:tcBorders>
            <w:gridSpan w:val="2"/>
          </w:tcPr>
          <w:p>
            <w:pPr>
              <w:spacing w:after="0"/>
              <w:rPr>
                <w:sz w:val="17"/>
                <w:szCs w:val="17"/>
                <w:color w:val="auto"/>
              </w:rPr>
            </w:pPr>
          </w:p>
        </w:tc>
        <w:tc>
          <w:tcPr>
            <w:tcW w:w="700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5.</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800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w:t>
            </w: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of $4,133 and $7,415 as of September 30, 2024, and December</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2023,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23,072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receivables,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Severance pay funds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72,276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93,654</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payable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interest income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accrual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31,159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70,790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severance pay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interest revenue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Warranty accrual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107,103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 (Note 15):</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as of September 30, 2024 and December</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2023; 7,255,277 and 5,529,149 issued and outstanding as of September 30, 2024, and December 31,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311,012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247,854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(300,934)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(261,903)</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(14,019)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(13,449)</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1" w:right="339" w:bottom="403"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0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46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10,732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14,440</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17,616</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58,222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1,183</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3,633</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18,118</w:t>
            </w:r>
          </w:p>
        </w:tc>
        <w:tc>
          <w:tcPr>
            <w:tcW w:w="10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12,185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40,104</w:t>
            </w:r>
          </w:p>
        </w:tc>
      </w:tr>
      <w:tr>
        <w:trPr>
          <w:trHeight w:val="209"/>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23,319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10,115</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30,933</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100" w:type="dxa"/>
            <w:vAlign w:val="bottom"/>
          </w:tcPr>
          <w:p>
            <w:pPr>
              <w:spacing w:after="0"/>
              <w:rPr>
                <w:sz w:val="18"/>
                <w:szCs w:val="18"/>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(6,762)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(20,675)</w:t>
            </w:r>
          </w:p>
        </w:tc>
      </w:tr>
      <w:tr>
        <w:trPr>
          <w:trHeight w:val="210"/>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1,605</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4,666</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(9,277)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(25,797)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(9,302)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(38,955)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(25,900)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(9,286)</w:t>
            </w:r>
          </w:p>
        </w:tc>
        <w:tc>
          <w:tcPr>
            <w:tcW w:w="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(9,068)</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(39,031)</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(26,134)</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42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234</w:t>
            </w:r>
          </w:p>
        </w:tc>
      </w:tr>
      <w:tr>
        <w:trPr>
          <w:trHeight w:val="197"/>
        </w:trPr>
        <w:tc>
          <w:tcPr>
            <w:tcW w:w="46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used in per share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calculation: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5,527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5,413</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5,527</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5,413</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7"/>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46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(9,302)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(38,955)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(25,900)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attributable to stockholders of the Company</w:t>
            </w:r>
          </w:p>
        </w:tc>
        <w:tc>
          <w:tcPr>
            <w:tcW w:w="960" w:type="dxa"/>
            <w:vAlign w:val="bottom"/>
          </w:tcPr>
          <w:p>
            <w:pPr>
              <w:spacing w:after="0"/>
              <w:rPr>
                <w:sz w:val="17"/>
                <w:szCs w:val="17"/>
                <w:color w:val="auto"/>
              </w:rPr>
            </w:pPr>
          </w:p>
        </w:tc>
        <w:tc>
          <w:tcPr>
            <w:tcW w:w="6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(9,286)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(9,068)</w:t>
            </w:r>
          </w:p>
        </w:tc>
        <w:tc>
          <w:tcPr>
            <w:tcW w:w="160" w:type="dxa"/>
            <w:vAlign w:val="bottom"/>
          </w:tcPr>
          <w:p>
            <w:pPr>
              <w:spacing w:after="0"/>
              <w:rPr>
                <w:sz w:val="17"/>
                <w:szCs w:val="17"/>
                <w:color w:val="auto"/>
              </w:rPr>
            </w:pPr>
          </w:p>
        </w:tc>
        <w:tc>
          <w:tcPr>
            <w:tcW w:w="14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(39,031)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(26,134)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46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(38,955)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(25,900)</w:t>
            </w: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4"/>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860" w:type="dxa"/>
            <w:vAlign w:val="bottom"/>
            <w:gridSpan w:val="2"/>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6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Multi-</w:t>
            </w: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Tranche</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X</w:t>
            </w: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Series 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Placement</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4"/>
            <w:vMerge w:val="continue"/>
          </w:tcPr>
          <w:p>
            <w:pPr>
              <w:spacing w:after="0"/>
              <w:rPr>
                <w:sz w:val="12"/>
                <w:szCs w:val="12"/>
                <w:color w:val="auto"/>
              </w:rPr>
            </w:pPr>
          </w:p>
        </w:tc>
        <w:tc>
          <w:tcPr>
            <w:tcW w:w="100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January 1, 2024</w:t>
            </w:r>
          </w:p>
        </w:tc>
        <w:tc>
          <w:tcPr>
            <w:tcW w:w="96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3,185,000</w:t>
            </w:r>
          </w:p>
        </w:tc>
        <w:tc>
          <w:tcPr>
            <w:tcW w:w="72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1,575,810</w:t>
            </w:r>
          </w:p>
        </w:tc>
        <w:tc>
          <w:tcPr>
            <w:tcW w:w="8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256,356</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5,529,149</w:t>
            </w:r>
          </w:p>
        </w:tc>
        <w:tc>
          <w:tcPr>
            <w:tcW w:w="540" w:type="dxa"/>
            <w:vAlign w:val="bottom"/>
            <w:gridSpan w:val="2"/>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247,854</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(261,903)</w:t>
            </w:r>
          </w:p>
        </w:tc>
        <w:tc>
          <w:tcPr>
            <w:tcW w:w="2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570</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(13,449)</w:t>
            </w: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8,333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2024 Registered Direct</w:t>
            </w: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Offering shares and</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817,748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warrants, net of costs</w:t>
            </w:r>
          </w:p>
        </w:tc>
        <w:tc>
          <w:tcPr>
            <w:tcW w:w="96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2023 Series X Private</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8,012</w:t>
            </w:r>
          </w:p>
        </w:tc>
        <w:tc>
          <w:tcPr>
            <w:tcW w:w="20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(9,794)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(9,794)</w:t>
            </w:r>
          </w:p>
        </w:tc>
        <w:tc>
          <w:tcPr>
            <w:tcW w:w="0" w:type="dxa"/>
            <w:vAlign w:val="bottom"/>
          </w:tcPr>
          <w:p>
            <w:pPr>
              <w:spacing w:after="0"/>
              <w:rPr>
                <w:sz w:val="1"/>
                <w:szCs w:val="1"/>
                <w:color w:val="auto"/>
              </w:rPr>
            </w:pPr>
          </w:p>
        </w:tc>
      </w:tr>
      <w:tr>
        <w:trPr>
          <w:trHeight w:val="126"/>
        </w:trPr>
        <w:tc>
          <w:tcPr>
            <w:tcW w:w="212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Net income — non-</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controlling interest</w:t>
            </w:r>
          </w:p>
        </w:tc>
        <w:tc>
          <w:tcPr>
            <w:tcW w:w="9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2024</w:t>
            </w:r>
          </w:p>
        </w:tc>
        <w:tc>
          <w:tcPr>
            <w:tcW w:w="740" w:type="dxa"/>
            <w:vAlign w:val="bottom"/>
            <w:tcBorders>
              <w:top w:val="single" w:sz="8" w:color="auto"/>
              <w:bottom w:val="single" w:sz="8" w:color="auto"/>
            </w:tcBorders>
          </w:tcPr>
          <w:p>
            <w:pPr>
              <w:ind w:left="180"/>
              <w:spacing w:after="0" w:line="129" w:lineRule="exact"/>
              <w:rPr>
                <w:sz w:val="20"/>
                <w:szCs w:val="20"/>
                <w:color w:val="auto"/>
              </w:rPr>
            </w:pPr>
            <w:r>
              <w:rPr>
                <w:rFonts w:ascii="Times New Roman" w:cs="Times New Roman" w:eastAsia="Times New Roman" w:hAnsi="Times New Roman"/>
                <w:sz w:val="14"/>
                <w:szCs w:val="14"/>
                <w:color w:val="auto"/>
                <w:w w:val="96"/>
              </w:rPr>
              <w:t>3,185,000</w:t>
            </w:r>
          </w:p>
        </w:tc>
        <w:tc>
          <w:tcPr>
            <w:tcW w:w="220" w:type="dxa"/>
            <w:vAlign w:val="bottom"/>
            <w:tcBorders>
              <w:top w:val="single" w:sz="8" w:color="CCEEFF"/>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1,575,810</w:t>
            </w:r>
          </w:p>
        </w:tc>
        <w:tc>
          <w:tcPr>
            <w:tcW w:w="2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264,368</w:t>
            </w:r>
          </w:p>
        </w:tc>
        <w:tc>
          <w:tcPr>
            <w:tcW w:w="200" w:type="dxa"/>
            <w:vAlign w:val="bottom"/>
            <w:tcBorders>
              <w:top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6,355,230</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249,180</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(271,697</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575</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(21,912)</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20" w:type="dxa"/>
            <w:vAlign w:val="bottom"/>
            <w:shd w:val="clear" w:color="auto" w:fill="CCEEFF"/>
          </w:tcPr>
          <w:p>
            <w:pPr>
              <w:ind w:left="340"/>
              <w:spacing w:after="0" w:line="106" w:lineRule="exact"/>
              <w:rPr>
                <w:sz w:val="20"/>
                <w:szCs w:val="20"/>
                <w:color w:val="auto"/>
              </w:rPr>
            </w:pPr>
            <w:r>
              <w:rPr>
                <w:rFonts w:ascii="Times New Roman" w:cs="Times New Roman" w:eastAsia="Times New Roman" w:hAnsi="Times New Roman"/>
                <w:sz w:val="12"/>
                <w:szCs w:val="12"/>
                <w:color w:val="auto"/>
              </w:rPr>
              <w:t>Exchange of MSLP Loan for</w:t>
            </w: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Series Y Private Placement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576,986</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45,901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45,901</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shares</w:t>
            </w:r>
          </w:p>
        </w:tc>
        <w:tc>
          <w:tcPr>
            <w:tcW w:w="96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Conversion of 2022 Private</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(1,350,000)</w:t>
            </w:r>
          </w:p>
        </w:tc>
        <w:tc>
          <w:tcPr>
            <w:tcW w:w="440" w:type="dxa"/>
            <w:vAlign w:val="bottom"/>
          </w:tcPr>
          <w:p>
            <w:pPr>
              <w:spacing w:after="0"/>
              <w:rPr>
                <w:sz w:val="10"/>
                <w:szCs w:val="10"/>
                <w:color w:val="auto"/>
              </w:rPr>
            </w:pP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900,047</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Placement shares</w:t>
            </w:r>
          </w:p>
        </w:tc>
        <w:tc>
          <w:tcPr>
            <w:tcW w:w="9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2023 Series X Private</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8,025</w:t>
            </w:r>
          </w:p>
        </w:tc>
        <w:tc>
          <w:tcPr>
            <w:tcW w:w="2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6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(19,951)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(19,951)</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Net loss — non-controlling</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w:t>
            </w:r>
          </w:p>
        </w:tc>
        <w:tc>
          <w:tcPr>
            <w:tcW w:w="96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82"/>
        </w:trPr>
        <w:tc>
          <w:tcPr>
            <w:tcW w:w="21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2024</w:t>
            </w:r>
          </w:p>
        </w:tc>
        <w:tc>
          <w:tcPr>
            <w:tcW w:w="740" w:type="dxa"/>
            <w:vAlign w:val="bottom"/>
            <w:tcBorders>
              <w:top w:val="single" w:sz="8" w:color="auto"/>
              <w:bottom w:val="single" w:sz="8" w:color="auto"/>
            </w:tcBorders>
            <w:shd w:val="clear" w:color="auto" w:fill="CCEEFF"/>
          </w:tcPr>
          <w:p>
            <w:pPr>
              <w:ind w:left="180"/>
              <w:spacing w:after="0" w:line="129" w:lineRule="exact"/>
              <w:rPr>
                <w:sz w:val="20"/>
                <w:szCs w:val="20"/>
                <w:color w:val="auto"/>
              </w:rPr>
            </w:pPr>
            <w:r>
              <w:rPr>
                <w:rFonts w:ascii="Times New Roman" w:cs="Times New Roman" w:eastAsia="Times New Roman" w:hAnsi="Times New Roman"/>
                <w:sz w:val="14"/>
                <w:szCs w:val="14"/>
                <w:color w:val="auto"/>
                <w:w w:val="96"/>
              </w:rPr>
              <w:t>1,835,000</w:t>
            </w: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1,575,810</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272,393</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576,986</w:t>
            </w: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7,255,277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295,320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(291,648</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662</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4,364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120" w:type="dxa"/>
            <w:vAlign w:val="bottom"/>
          </w:tcPr>
          <w:p>
            <w:pPr>
              <w:ind w:left="340"/>
              <w:spacing w:after="0" w:line="106" w:lineRule="exact"/>
              <w:rPr>
                <w:sz w:val="20"/>
                <w:szCs w:val="20"/>
                <w:color w:val="auto"/>
              </w:rPr>
            </w:pPr>
            <w:r>
              <w:rPr>
                <w:rFonts w:ascii="Times New Roman" w:cs="Times New Roman" w:eastAsia="Times New Roman" w:hAnsi="Times New Roman"/>
                <w:sz w:val="12"/>
                <w:szCs w:val="12"/>
                <w:color w:val="auto"/>
              </w:rPr>
              <w:t>Exchange of MSLP Loan for</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Series Y Private Placement</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203,583</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15,453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15,453</w:t>
            </w:r>
          </w:p>
        </w:tc>
        <w:tc>
          <w:tcPr>
            <w:tcW w:w="0" w:type="dxa"/>
            <w:vAlign w:val="bottom"/>
          </w:tcPr>
          <w:p>
            <w:pPr>
              <w:spacing w:after="0"/>
              <w:rPr>
                <w:sz w:val="1"/>
                <w:szCs w:val="1"/>
                <w:color w:val="auto"/>
              </w:rPr>
            </w:pPr>
          </w:p>
        </w:tc>
      </w:tr>
      <w:tr>
        <w:trPr>
          <w:trHeight w:val="171"/>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shares</w:t>
            </w:r>
          </w:p>
        </w:tc>
        <w:tc>
          <w:tcPr>
            <w:tcW w:w="9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2023 Series X Private</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8,757</w:t>
            </w:r>
          </w:p>
        </w:tc>
        <w:tc>
          <w:tcPr>
            <w:tcW w:w="2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6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(9,286)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Net loss -- non-controlling</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w:t>
            </w:r>
          </w:p>
        </w:tc>
        <w:tc>
          <w:tcPr>
            <w:tcW w:w="96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Dividends from subsidiaries</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42"/>
        </w:trPr>
        <w:tc>
          <w:tcPr>
            <w:tcW w:w="2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2024</w:t>
            </w:r>
          </w:p>
        </w:tc>
        <w:tc>
          <w:tcPr>
            <w:tcW w:w="740" w:type="dxa"/>
            <w:vAlign w:val="bottom"/>
            <w:tcBorders>
              <w:top w:val="single" w:sz="8" w:color="auto"/>
              <w:bottom w:val="single" w:sz="8" w:color="auto"/>
            </w:tcBorders>
          </w:tcPr>
          <w:p>
            <w:pPr>
              <w:ind w:left="180"/>
              <w:spacing w:after="0" w:line="129" w:lineRule="exact"/>
              <w:rPr>
                <w:sz w:val="20"/>
                <w:szCs w:val="20"/>
                <w:color w:val="auto"/>
              </w:rPr>
            </w:pPr>
            <w:r>
              <w:rPr>
                <w:rFonts w:ascii="Times New Roman" w:cs="Times New Roman" w:eastAsia="Times New Roman" w:hAnsi="Times New Roman"/>
                <w:sz w:val="14"/>
                <w:szCs w:val="14"/>
                <w:color w:val="auto"/>
                <w:w w:val="96"/>
              </w:rPr>
              <w:t>1,835,000</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1,575,810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281,150</w:t>
            </w: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780,569</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7,255,277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311,012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(300,934</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520</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34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3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restart"/>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2023 Multi-</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Tranche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4"/>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10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4"/>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Placement</w:t>
            </w:r>
          </w:p>
        </w:tc>
        <w:tc>
          <w:tcPr>
            <w:tcW w:w="10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4"/>
            <w:vMerge w:val="continue"/>
          </w:tcPr>
          <w:p>
            <w:pPr>
              <w:spacing w:after="0"/>
              <w:rPr>
                <w:sz w:val="12"/>
                <w:szCs w:val="12"/>
                <w:color w:val="auto"/>
              </w:rPr>
            </w:pPr>
          </w:p>
        </w:tc>
        <w:tc>
          <w:tcPr>
            <w:tcW w:w="100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Borders>
              <w:bottom w:val="single" w:sz="8" w:color="auto"/>
            </w:tcBorders>
            <w:gridSpan w:val="4"/>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January 1, 2023</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5"/>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3,185,000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5,161,374</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232,169</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(224,105)</w:t>
            </w:r>
          </w:p>
        </w:tc>
        <w:tc>
          <w:tcPr>
            <w:tcW w:w="2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8,738</w:t>
            </w: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Restricted share units vested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224,378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Adoption of ASC 326</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(9,657)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(9,657)</w:t>
            </w:r>
          </w:p>
        </w:tc>
        <w:tc>
          <w:tcPr>
            <w:tcW w:w="0" w:type="dxa"/>
            <w:vAlign w:val="bottom"/>
          </w:tcPr>
          <w:p>
            <w:pPr>
              <w:spacing w:after="0"/>
              <w:rPr>
                <w:sz w:val="1"/>
                <w:szCs w:val="1"/>
                <w:color w:val="auto"/>
              </w:rPr>
            </w:pPr>
          </w:p>
        </w:tc>
      </w:tr>
      <w:tr>
        <w:trPr>
          <w:trHeight w:val="148"/>
        </w:trPr>
        <w:tc>
          <w:tcPr>
            <w:tcW w:w="308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income — non-controlling interest</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2023</w:t>
            </w:r>
          </w:p>
        </w:tc>
        <w:tc>
          <w:tcPr>
            <w:tcW w:w="7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40" w:type="dxa"/>
            <w:vAlign w:val="bottom"/>
            <w:tcBorders>
              <w:top w:val="single" w:sz="8" w:color="CCEEFF"/>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gridSpan w:val="4"/>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3,185,000</w:t>
            </w: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5,407,752</w:t>
            </w: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3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233,394</w:t>
            </w:r>
          </w:p>
        </w:tc>
        <w:tc>
          <w:tcPr>
            <w:tcW w:w="240" w:type="dxa"/>
            <w:vAlign w:val="bottom"/>
            <w:tcBorders>
              <w:top w:val="single" w:sz="8" w:color="auto"/>
              <w:bottom w:val="single" w:sz="8" w:color="auto"/>
            </w:tcBorders>
            <w:gridSpan w:val="2"/>
          </w:tcPr>
          <w:p>
            <w:pPr>
              <w:jc w:val="right"/>
              <w:ind w:right="3"/>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(234,310</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679</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80" w:type="dxa"/>
            <w:vAlign w:val="bottom"/>
            <w:gridSpan w:val="3"/>
            <w:shd w:val="clear" w:color="auto" w:fill="CCEEFF"/>
          </w:tcPr>
          <w:p>
            <w:pPr>
              <w:ind w:left="340"/>
              <w:spacing w:after="0" w:line="129" w:lineRule="exact"/>
              <w:rPr>
                <w:sz w:val="20"/>
                <w:szCs w:val="20"/>
                <w:color w:val="auto"/>
              </w:rPr>
            </w:pPr>
            <w:r>
              <w:rPr>
                <w:rFonts w:ascii="Times New Roman" w:cs="Times New Roman" w:eastAsia="Times New Roman" w:hAnsi="Times New Roman"/>
                <w:sz w:val="14"/>
                <w:szCs w:val="14"/>
                <w:color w:val="auto"/>
              </w:rPr>
              <w:t>2023 Private Placement shares, net of costs</w:t>
            </w: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280,899</w:t>
            </w: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1,206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59"/>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Beneficial conversion feature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(7,409)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(7,409)</w:t>
            </w:r>
          </w:p>
        </w:tc>
        <w:tc>
          <w:tcPr>
            <w:tcW w:w="0" w:type="dxa"/>
            <w:vAlign w:val="bottom"/>
          </w:tcPr>
          <w:p>
            <w:pPr>
              <w:spacing w:after="0"/>
              <w:rPr>
                <w:sz w:val="1"/>
                <w:szCs w:val="1"/>
                <w:color w:val="auto"/>
              </w:rPr>
            </w:pPr>
          </w:p>
        </w:tc>
      </w:tr>
      <w:tr>
        <w:trPr>
          <w:trHeight w:val="149"/>
        </w:trPr>
        <w:tc>
          <w:tcPr>
            <w:tcW w:w="3080" w:type="dxa"/>
            <w:vAlign w:val="bottom"/>
            <w:gridSpan w:val="3"/>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non-controlling interest</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Dividends from subsidiaries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369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49"/>
        </w:trPr>
        <w:tc>
          <w:tcPr>
            <w:tcW w:w="2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2023</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Borders>
              <w:bottom w:val="single" w:sz="8" w:color="auto"/>
            </w:tcBorders>
            <w:gridSpan w:val="4"/>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3,185,000</w:t>
            </w:r>
          </w:p>
        </w:tc>
        <w:tc>
          <w:tcPr>
            <w:tcW w:w="8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280,899</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5,526,481</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3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235,467</w:t>
            </w:r>
          </w:p>
        </w:tc>
        <w:tc>
          <w:tcPr>
            <w:tcW w:w="240" w:type="dxa"/>
            <w:vAlign w:val="bottom"/>
            <w:tcBorders>
              <w:bottom w:val="single" w:sz="8" w:color="auto"/>
            </w:tcBorders>
            <w:gridSpan w:val="2"/>
          </w:tcPr>
          <w:p>
            <w:pPr>
              <w:jc w:val="right"/>
              <w:ind w:right="3"/>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(241,719</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bottom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680</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2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4"/>
                <w:szCs w:val="14"/>
                <w:color w:val="auto"/>
              </w:rPr>
              <w:t>Restricted share units vested</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59"/>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2023 Private Placement shares, net of costs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792,398</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Beneficial conversion feature</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1,232</w:t>
            </w: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(9,068)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(9,068)</w:t>
            </w:r>
          </w:p>
        </w:tc>
        <w:tc>
          <w:tcPr>
            <w:tcW w:w="0" w:type="dxa"/>
            <w:vAlign w:val="bottom"/>
          </w:tcPr>
          <w:p>
            <w:pPr>
              <w:spacing w:after="0"/>
              <w:rPr>
                <w:sz w:val="1"/>
                <w:szCs w:val="1"/>
                <w:color w:val="auto"/>
              </w:rPr>
            </w:pPr>
          </w:p>
        </w:tc>
      </w:tr>
      <w:tr>
        <w:trPr>
          <w:trHeight w:val="149"/>
        </w:trPr>
        <w:tc>
          <w:tcPr>
            <w:tcW w:w="3080" w:type="dxa"/>
            <w:vAlign w:val="bottom"/>
            <w:gridSpan w:val="3"/>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income — non-controlling interest</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82"/>
        </w:trPr>
        <w:tc>
          <w:tcPr>
            <w:tcW w:w="21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2023</w:t>
            </w:r>
          </w:p>
        </w:tc>
        <w:tc>
          <w:tcPr>
            <w:tcW w:w="7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gridSpan w:val="4"/>
            <w:shd w:val="clear" w:color="auto" w:fill="CCEEFF"/>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3,185,000</w:t>
            </w:r>
          </w:p>
        </w:tc>
        <w:tc>
          <w:tcPr>
            <w:tcW w:w="8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1,073,297</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5,529,149</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gridSpan w:val="2"/>
            <w:shd w:val="clear" w:color="auto" w:fill="CCEEFF"/>
          </w:tcPr>
          <w:p>
            <w:pPr>
              <w:jc w:val="right"/>
              <w:ind w:right="3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238,587</w:t>
            </w:r>
          </w:p>
        </w:tc>
        <w:tc>
          <w:tcPr>
            <w:tcW w:w="240" w:type="dxa"/>
            <w:vAlign w:val="bottom"/>
            <w:tcBorders>
              <w:top w:val="single" w:sz="8" w:color="auto"/>
              <w:bottom w:val="single" w:sz="8" w:color="auto"/>
            </w:tcBorders>
            <w:gridSpan w:val="2"/>
            <w:shd w:val="clear" w:color="auto" w:fill="CCEEFF"/>
          </w:tcPr>
          <w:p>
            <w:pPr>
              <w:jc w:val="right"/>
              <w:ind w:right="3"/>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(250,787</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792</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(11,378)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Presented as $0 due to rounding.</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(38,955)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expenses and accretion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expense (recovery)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 of subsidiary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short-term and long-term</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Severance pay funds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interest income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(12,085)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 Multi-Tranche Private Placement, net of costs of $491</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Registered Direct Offering shares and warrants, net of costs of $222</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from subsidiaries paid to non-controlling interest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Short-Term Bridge Financing from Madryn, net of costs of $310</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Convertible Notes issued to EW, net of costs of $393</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4,926</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3,356</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unless otherwise noted,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unaudited condensed consolidated financial statements, the “Company,” “Venus Concept,” “our,” and “we,” refer to Venus Concept Inc. and its subsidiaries on a consolidated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Strategic Alternatives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2024, the Company announced that the Board of Directors of the Company (the “Board”) is evaluating potential strategic alternatives to maximize shareholder value. As part of the process, the Board is considering a full range of strategic alternatives, which may include one or more financings, mergers, reverse mergers, other business combinations, sales of assets, licensings or other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evaluation of strategic alternatives will result in any transaction, nor can there be any assurance regarding any transaction’s timing or ultimate outcome. The Company has not set a timetable for completion of the process and does not intend to disclose developments related to the process unless and until the Company executes a definitive agreement with respect thereto, or the Board otherwise determines that further disclosure is appropriate or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had recurring net operating losses and negative cash flows from operations. As of September 30, 2024 and December 31, 2023, the Company had an accumulated deficit of $300,934 and $261,903, respectively, though, the Company was in compliance with all required covenants as of September 30, 2024, and December 31, 2023. The Company’s recurring losses from operations and negative cash flows raise substantial doubt about the Company’s ability to continue as a going concern within 12 months from the date that the unaudited condensed consolidated financial statements are issued. The global economy, including the financial and credit markets, has recently experienced extreme volatility and disruptions, including increasing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Until the Company generates revenue at a level to support its cost structure, the Company expects to continue to incur substantial operating losses and net cash outflows from operating activities.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economic uncertainty in U.S. and international markets, the Company cannot anticipate the extent to which the current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unaudited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and with the instructions to Form 10-Q and Article 10 of Regulation S-X. Accordingly, they do not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10-K for the year ended December 31, 2023, filed with the Securities and Exchange Commission (the “SEC”) on April 1, 2024. In the opinion of management, all adjustments (consisting only of normal recurring adjustments) considered necessary for fair presentation have been included. Operating results for the nine months ended September 30, 2024 are not necessarily indicative of the results that may be expected for the year ending December 31, 2024. For further information, refer to the consolidated financial statements and footnotes thereto included in Item 8 of the Company’s most recent Annual Report on Form 10-K.</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these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September 30, 2024 and through the date of this report filing. The accounting matters assessed included, but were not limited to, the allowance for expected credit losses and the carrying value of intangible and long-lived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reported in thousands within this report are computed based on the amounts in U.S.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the Company’s audited consolidated financial statements for fiscal year 2023. For further information, refer to the consolidated financial statements and footnotes thereto included in Item 8 of the Company’s most recent Annual Report on Form 10-K. There have been no material changes to these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for the Company on January 1, 2024, with early adoption permitted. ASU No. 2020-06 can be adopted on either a fully retrospective or modified retrospective basis. On January 1, 2024, the adoption of ASU 2020-06 did not have a material impact on the Company’s condensed consolidated financial statements or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No. 2023-06 ("ASU 2023-06") Disclosure Improvements: Codification Amendments in Response to the SEC’s Disclosure Update and Simplification Initiative. This ASU was issued to clarify or improve disclosure and presentation requirements of a variety of topics, which will allow users to more easily compare entities subject to the SEC's existing disclosures with those entities that were not previously subject to the requirements, and align the requirements in the FASB accounting standard codification with the SEC's regulations. The ASU will become effective prospectively on the earlier of the date on which the SEC removes its disclosure requirements for the related disclosure or June 30, 2027. The Company is currently evaluating the provisions of the amendments and the impact on its future consolidated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("ASU 2023-07") Segment Reporting (Topic 280): Improvements to Reportable Segment Disclosures.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must be applied on a retrospective basis to all prior periods presented in the financial statements. This pronouncement is effective for fiscal years beginning after December 15, 2023, and interim periods within fiscal years beginning after December 15, 2024. The Company is currently assessing the impact of applying this guidance.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The guidance requires entities to disclose disaggregated information about their effective tax rate reconciliation as well as information on income taxes paid. The disclosure requirements will be applied on a prospective basis, with the option to apply it retrospectively. This pronouncement is effective for fiscal years beginning after December 15, 2024 and early adoption is permitted. The Company is currently assessing the impact of applying this guidance.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and the weighted average number of shares used in computing basic and diluted net loss per share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160" w:type="dxa"/>
            <w:vAlign w:val="bottom"/>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9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(9,302)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(38,955)</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allocated to stockholders of the Company</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(9,286)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(39,031)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(26,134)</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outstanding used in</w:t>
            </w:r>
          </w:p>
        </w:tc>
        <w:tc>
          <w:tcPr>
            <w:tcW w:w="88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5,413</w:t>
            </w: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computing net loss per share, basic</w:t>
            </w:r>
          </w:p>
        </w:tc>
        <w:tc>
          <w:tcPr>
            <w:tcW w:w="88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of common stock outstanding used in</w:t>
            </w:r>
          </w:p>
        </w:tc>
        <w:tc>
          <w:tcPr>
            <w:tcW w:w="880" w:type="dxa"/>
            <w:vAlign w:val="bottom"/>
          </w:tcPr>
          <w:p>
            <w:pPr>
              <w:spacing w:after="0"/>
              <w:rPr>
                <w:sz w:val="16"/>
                <w:szCs w:val="16"/>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7,255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Pr>
          <w:p>
            <w:pPr>
              <w:spacing w:after="0"/>
              <w:rPr>
                <w:sz w:val="16"/>
                <w:szCs w:val="16"/>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5,413</w:t>
            </w:r>
          </w:p>
        </w:tc>
        <w:tc>
          <w:tcPr>
            <w:tcW w:w="0" w:type="dxa"/>
            <w:vAlign w:val="bottom"/>
          </w:tcPr>
          <w:p>
            <w:pPr>
              <w:spacing w:after="0"/>
              <w:rPr>
                <w:sz w:val="1"/>
                <w:szCs w:val="1"/>
                <w:color w:val="auto"/>
              </w:rPr>
            </w:pPr>
          </w:p>
        </w:tc>
      </w:tr>
      <w:tr>
        <w:trPr>
          <w:trHeight w:val="22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computing net loss per share, diluted</w:t>
            </w:r>
          </w:p>
        </w:tc>
        <w:tc>
          <w:tcPr>
            <w:tcW w:w="8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(5.96)</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net loss, all the outstanding shares of common stock equivalents were excluded from the calculation of diluted net loss per share attributable to common stockholders for the quarters ended September 30, 2024 and 2023 because including them would have been antidilutive:</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993,327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86,294,014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4,985,608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convertible notes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2,853,024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Warrants for common stock</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1,936,920</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1,061,930</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92,077,285</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7,617,705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financial instruments of the Company consist of cash and cash equivalents, restricted cash, accounts receivable, long-term receivables, lines of credit, trade payables, accrued expenses and other current liabilities, note payable, other long-term liabilities and long-term debt. In view of their nature, the fair value of these financial instruments approximates their carrying amounts.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in markets that are not active, or other 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Guaranteed investment certificates are classified within Level 2 as the Company uses alternative pricing sources and models utilizing market observable inputs for valuation.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convertible note (see Note 13) contains an embedded derivative feature that was required to be bifurcated and remeasured to fair value at each reporting period based on significant inputs not observable in the market, and is classified as a Level 3 measurement according to the fair value hierarchy described above. The changes in fair value recognized as a component of finance expenses. The fair value of derivative liability was determined using a probability-weighted expected return method (“PWERM”) using the “With and Without” approach (a form of an income approach). Under this approach various scenarios were considered to trigger the change of control, conversion, and redemption scenarios constituting the embedded derivative. The PWERM analysis contains inherent assumptions related to expected stock price volatility, conversion and redemption timing, and risk-free interest rate. Due to the use of significant unobservable inputs, the overall fair value measurement of the derivative liability is classified as Level 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Level 1, Level 2 and Level 3 financial assets and liabilities within the fair value hierarchy, and there were no transfers between Level 1, Level 2 and Level 3 for the periods presented:</w:t>
      </w:r>
    </w:p>
    <w:p>
      <w:pPr>
        <w:sectPr>
          <w:pgSz w:w="11900" w:h="16838" w:orient="portrait"/>
          <w:cols w:equalWidth="0" w:num="1">
            <w:col w:w="11240"/>
          </w:cols>
          <w:pgMar w:left="320" w:top="121" w:right="3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9"/>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 September 30, 2024</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87"/>
        </w:trPr>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2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using Identical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33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 Liability</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3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9"/>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 December 31, 2023</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7"/>
        </w:trPr>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2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using Identical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may be sold under our Venus Prime program and legacy subscription model,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 Venus Prime, launched in January 2024, is a structured in-house financing program which replaces the legacy subscription program for new customers in North America.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$22,223 and $32,393 as of September 30, 2024 and December 31, 2023,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an assessment of the allowance for expected credit losses as of September 30, 2024 and December 31, 2023. Based upon such assessment, the Company recorded an allowance for expected credit losses totaling $4,133 and $7,415 as of September 30, 2024, and December 31, 2023,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accounts receivables is presented below:</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47,884</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Unearned income</w:t>
            </w:r>
          </w:p>
        </w:tc>
        <w:tc>
          <w:tcPr>
            <w:tcW w:w="1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(2,139)</w:t>
            </w: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(7,415)</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78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unearned interest income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trade receivables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unearned interest income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Venus Prime and subscription agreements are reported as part of accounts receivable. The following are the contractual commitments, net of allowance for expected credit losses, to be received by the Company over the next 5 years: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Current financing receivables, net of allowance</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$4,133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financing receivables, net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88"/>
              </w:rPr>
              <w:t>39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of $0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39</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from our Venus Prime program bear interest commensurate with the customer's credit risk. Accounts receivable from our legacy subscription model do not bear interest and are typically not collateralized. The Company performs credit evaluations on new and existing customers' financial condition and maintains an allowance for expected credit losses. Uncollectible accounts are charged to expense when deemed uncollectible, and accounts receivable are presented net of an allowance for expected credit losses. Accounts receivable are deemed past due in accordance with the contractual terms of the agreement. Actual losses may differ from the Company’s estimates and could be material to its unaudited condensed consolidated balance sheets, results of operations and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The allowance for expected credit losses consisted of the following activity:</w:t>
            </w:r>
          </w:p>
        </w:tc>
        <w:tc>
          <w:tcPr>
            <w:tcW w:w="2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(7,554)</w:t>
            </w:r>
          </w:p>
        </w:tc>
      </w:tr>
      <w:tr>
        <w:trPr>
          <w:trHeight w:val="216"/>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2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10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tcPr>
          <w:p>
            <w:pPr>
              <w:spacing w:after="0"/>
              <w:rPr>
                <w:sz w:val="18"/>
                <w:szCs w:val="18"/>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2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(1,429)</w:t>
            </w:r>
          </w:p>
        </w:tc>
      </w:tr>
      <w:tr>
        <w:trPr>
          <w:trHeight w:val="216"/>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2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210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Pr>
          <w:p>
            <w:pPr>
              <w:spacing w:after="0"/>
              <w:rPr>
                <w:sz w:val="18"/>
                <w:szCs w:val="18"/>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r>
      <w:tr>
        <w:trPr>
          <w:trHeight w:val="24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447"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47" w:gutter="0" w:footer="0" w:header="0"/>
          <w:type w:val="continuous"/>
        </w:sectPr>
      </w:pPr>
    </w:p>
    <w:bookmarkStart w:id="12" w:name="page13"/>
    <w:bookmarkEnd w:id="12"/>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SELECT BALANCE SHEET AND STATEMENT OF OPERATIONS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Work-in-progress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Finished goods</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1,750</w:t>
            </w:r>
          </w:p>
        </w:tc>
        <w:tc>
          <w:tcPr>
            <w:tcW w:w="1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1,949</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19,075</w:t>
            </w:r>
          </w:p>
        </w:tc>
      </w:tr>
      <w:tr>
        <w:trPr>
          <w:trHeight w:val="209"/>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23,072</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905" w:orient="portrait"/>
          <w:cols w:equalWidth="0" w:num="2">
            <w:col w:w="6940" w:space="440"/>
            <w:col w:w="3860"/>
          </w:cols>
          <w:pgMar w:left="320" w:top="121" w:right="339" w:bottom="0" w:gutter="0" w:footer="0" w:header="0"/>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Additions to inventory are primarily comprised of newly produced units and applicators, refurbishment cost from demonstration units and used equipment which were reacquired during the period from upgraded sales. The Company expensed $4,637 and $13,839 in cost of goods sold in the three and nine months ended September 30, 2024, respectively. The Company expensed $5,109 and $17,009 in cost of goods sold in the three and nine months ended September 30, 2023, respectively. The balance of cost of goods sold represents the sale of applicators, parts, consumables and warranties.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September 30, 2024 and December 31, 2023, a provision for obsolescence of $2,775 and $2,733 was taken against inventory,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 tooling and molds</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 – 10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 – 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up to 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Demo units</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(6,623)</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(6,281)</w:t>
            </w: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$98 and $134 for the three months ended September 30, 2024 and 2023, respectively. Depreciation expense was $323 and $444 for the nine months ended September 30, 2024 and 2023,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8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Government remittances </w:t>
            </w:r>
            <w:r>
              <w:rPr>
                <w:rFonts w:ascii="Times New Roman" w:cs="Times New Roman" w:eastAsia="Times New Roman" w:hAnsi="Times New Roman"/>
                <w:sz w:val="24"/>
                <w:szCs w:val="24"/>
                <w:color w:val="auto"/>
                <w:vertAlign w:val="superscript"/>
              </w:rPr>
              <w:t>(1)</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receivable from subsidiaries sale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 assets and miscellaneous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Government remittances are receivables from the local tax authorities for refunds of sales taxes and income taxes.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ectPr>
          <w:pgSz w:w="11900" w:h="16905" w:orient="portrait"/>
          <w:cols w:equalWidth="0" w:num="1">
            <w:col w:w="11240"/>
          </w:cols>
          <w:pgMar w:left="320" w:top="121"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Payroll and related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Commission accrual</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and consumption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details of the change in the Company’s warranty accrual: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Balance as of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3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3398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Warranty costs incurred during the period</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1,330</w:t>
            </w:r>
          </w:p>
        </w:tc>
        <w:tc>
          <w:tcPr>
            <w:tcW w:w="1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2,260</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1,482</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w:t>
            </w:r>
          </w:p>
        </w:tc>
      </w:tr>
    </w:tbl>
    <w:p>
      <w:pPr>
        <w:sectPr>
          <w:pgSz w:w="11900" w:h="16905" w:orient="portrait"/>
          <w:cols w:equalWidth="0" w:num="2">
            <w:col w:w="6620" w:space="720"/>
            <w:col w:w="3900"/>
          </w:cols>
          <w:pgMar w:left="320" w:top="121" w:right="339" w:bottom="0" w:gutter="0" w:footer="0" w:header="0"/>
          <w:type w:val="continuous"/>
        </w:sectPr>
      </w:pPr>
    </w:p>
    <w:bookmarkStart w:id="13" w:name="page14"/>
    <w:bookmarkEnd w:id="13"/>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5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860" w:type="dxa"/>
            <w:vAlign w:val="bottom"/>
            <w:tcBorders>
              <w:top w:val="single" w:sz="8" w:color="CCEEFF"/>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780" w:type="dxa"/>
            <w:vAlign w:val="bottom"/>
            <w:tcBorders>
              <w:top w:val="single" w:sz="8" w:color="CCEEFF"/>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2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w:t>
            </w:r>
          </w:p>
        </w:tc>
        <w:tc>
          <w:tcPr>
            <w:tcW w:w="22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7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Company’s finance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160" w:type="dxa"/>
            <w:vAlign w:val="bottom"/>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50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1,487</w:t>
            </w:r>
          </w:p>
        </w:tc>
        <w:tc>
          <w:tcPr>
            <w:tcW w:w="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5,394</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long-term debt and amortization of fees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50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1,665</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5,785</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4,666</w:t>
            </w:r>
          </w:p>
        </w:tc>
      </w:tr>
      <w:tr>
        <w:trPr>
          <w:trHeight w:val="20"/>
        </w:trPr>
        <w:tc>
          <w:tcPr>
            <w:tcW w:w="5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LEASES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presents the various components of lease costs.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16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5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w:t>
            </w:r>
          </w:p>
        </w:tc>
      </w:tr>
      <w:tr>
        <w:trPr>
          <w:trHeight w:val="210"/>
        </w:trPr>
        <w:tc>
          <w:tcPr>
            <w:tcW w:w="20" w:type="dxa"/>
            <w:vAlign w:val="bottom"/>
          </w:tcPr>
          <w:p>
            <w:pPr>
              <w:spacing w:after="0"/>
              <w:rPr>
                <w:sz w:val="18"/>
                <w:szCs w:val="18"/>
                <w:color w:val="auto"/>
              </w:rPr>
            </w:pP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491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relating to the cash flows arising from lease transactions. Cash payments related to short-term leases are not included in the measurement of operating lease liabilities, and as such, are excluded from the amounts below.</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160" w:type="dxa"/>
            <w:vAlign w:val="bottom"/>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50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1,110</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w:t>
            </w:r>
          </w:p>
        </w:tc>
      </w:tr>
      <w:tr>
        <w:trPr>
          <w:trHeight w:val="432"/>
        </w:trPr>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 and discount rate for operating leases.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w w:val="98"/>
              </w:rPr>
              <w:t>At September 30,</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1.69 yrs.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3.12 yrs.</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8"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maturity analysis of expected undiscounted cash flows for operating leases on an annual basis for the next five years and thereafter.</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0"/>
        </w:trPr>
        <w:tc>
          <w:tcPr>
            <w:tcW w:w="2100" w:type="dxa"/>
            <w:vAlign w:val="bottom"/>
            <w:tcBorders>
              <w:top w:val="single" w:sz="8" w:color="auto"/>
            </w:tcBorders>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75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350</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9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Imputed Interest </w:t>
            </w:r>
            <w:r>
              <w:rPr>
                <w:rFonts w:ascii="Times New Roman" w:cs="Times New Roman" w:eastAsia="Times New Roman" w:hAnsi="Times New Roman"/>
                <w:sz w:val="25"/>
                <w:szCs w:val="25"/>
                <w:color w:val="auto"/>
                <w:vertAlign w:val="superscript"/>
              </w:rPr>
              <w:t>(1)</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r>
      <w:tr>
        <w:trPr>
          <w:trHeight w:val="210"/>
        </w:trPr>
        <w:tc>
          <w:tcPr>
            <w:tcW w:w="9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Borders>
              <w:top w:val="single" w:sz="8" w:color="CCEEFF"/>
            </w:tcBorders>
          </w:tcPr>
          <w:p>
            <w:pPr>
              <w:spacing w:after="0"/>
              <w:rPr>
                <w:sz w:val="18"/>
                <w:szCs w:val="18"/>
                <w:color w:val="auto"/>
              </w:rPr>
            </w:pPr>
          </w:p>
        </w:tc>
      </w:tr>
      <w:tr>
        <w:trPr>
          <w:trHeight w:val="20"/>
        </w:trPr>
        <w:tc>
          <w:tcPr>
            <w:tcW w:w="2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Imputed interest represents the difference between undiscounted cash flows and cash flows.</w:t>
      </w:r>
    </w:p>
    <w:p>
      <w:pPr>
        <w:spacing w:after="0" w:line="9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At September 30, 2024</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(592)</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808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(1,526)</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(13,845)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7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At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878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(11,735)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(1,767)</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720"/>
            <w:col w:w="5600"/>
          </w:cols>
          <w:pgMar w:left="320" w:top="121" w:right="339" w:bottom="1440" w:gutter="0" w:footer="0" w:header="0"/>
        </w:sect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amortization expense was $873 and $875, respectively. For the nine months ended September 30, 2024 and 2023, amortization expense was $2,600 and $2,597,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Estimated remaining amortization expense for the next five fiscal years and all years thereafter are as follows: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has non-cancellable purchase orders placed with its contract manufacturers in the amount of $11.7 million. In addition, as of September 30, 2024, the Company had $2.3 of open purchase orders that can be cancelled with 270 days’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future service and purchase commitments with manufacturers as of September 30,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Purchase and Service</w:t>
            </w:r>
          </w:p>
        </w:tc>
        <w:tc>
          <w:tcPr>
            <w:tcW w:w="560" w:type="dxa"/>
            <w:vAlign w:val="bottom"/>
          </w:tcPr>
          <w:p>
            <w:pPr>
              <w:spacing w:after="0"/>
              <w:rPr>
                <w:sz w:val="18"/>
                <w:szCs w:val="18"/>
                <w:color w:val="auto"/>
              </w:rPr>
            </w:pPr>
          </w:p>
        </w:tc>
      </w:tr>
      <w:tr>
        <w:trPr>
          <w:trHeight w:val="211"/>
        </w:trPr>
        <w:tc>
          <w:tcPr>
            <w:tcW w:w="56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5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44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11,719</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3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628"/>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15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MAIN STREET 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8, 2020,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at maturity,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4, 2023, the Company, Venus Concept USA Inc. (“Venus USA”), Venus Concept Canada Corp. (“Venus Canada”) and Venus Concept Ltd. (“Venus Ltd.” and, together with Venus USA, Venus Canada and the Company, the "Loan Parties") entered into the Loan Modification Agreement with CNB, which modified certain terms of the MSLP Loan Agreement. The primary modifications of the MSLP Loan Modification were (i) the principal payment in the amount of 15% of the outstanding principal balance of the loan originally due December 31, 2023 is deferred until maturity, (ii) the principal payment in the amount of 15% of the outstanding principal balance of the loan originally due December 31, 2024 is reduced to 7.5% with the remainder deferred until maturity, (iii) the interest rate of the loan is reset from one-month LIBOR plus three percent (3%) to one-month term Secured Overnight Financing Rate (SOFR) plus three and one-quarter percent (3.25%), and (iv) Venus USA has assigned certain of its subscription sales contracts to CNB.</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Loan Modification Agreement (the “Loan Modification Agreement”) with CNB and Madryn Health Partners, LP, and certain of its affiliates (collectively, “Madryn”). The Loan Modification Agreement amends the MSLP Loan Agreement to, among other things, satisfy the 2023 Minimum Deposit Requirements (as defined in the Loan Modification Agreement) and defer the testing of the Minimum Deposit Relationship obligations set forth in the MSLP Loan Agreement for the monthly periods ending on January 31, 2024, February 28, 2024 and March 31, 2024 until April 30,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23, 2024, the MSLP Loan was purchased by Madryn for an undisclosed amount from CNB with the consent of the Company. On May 24, 2024, the MSLP Loan was amended by way of a loan amendment and consent agreement (the “MSLP Loan Amendment”) with Madryn. The MSLP Loan Amendment amended the Loan Agreement to, among other things, (i) modify the May 2024 and June 2024 interest payments to be payable-in-kind, (ii) grant certain relief from the Minimum Deposit Relationship obligations through June 7, 2024.</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24, 2024, the Company entered into an Exchange Agreement, by and among the Company, Venus USA, and Madryn (the "2024 Exchange Agreement") whereby the Company exchanged $52,142 in aggregate principal amount outstanding under the MSLP Loan Agreement for $17,142 in aggregate principal of new secured notes (“New Secured Notes”) and 576,986 shares of newly-created convertible preferred stock of the Company, designated as "Series Y Convertible Preferred Stock." The Series Y Convertible Preferred Stock is priced at $60.66 per share, being equal to the product of</w:t>
      </w:r>
    </w:p>
    <w:p>
      <w:pPr>
        <w:spacing w:after="0" w:line="3" w:lineRule="exact"/>
        <w:rPr>
          <w:sz w:val="20"/>
          <w:szCs w:val="20"/>
          <w:color w:val="auto"/>
        </w:rPr>
      </w:pPr>
    </w:p>
    <w:p>
      <w:pPr>
        <w:jc w:val="both"/>
        <w:ind w:firstLine="8"/>
        <w:spacing w:after="0" w:line="255" w:lineRule="auto"/>
        <w:tabs>
          <w:tab w:leader="none" w:pos="2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closing price (as reflected on Nasdaq.com) of the Company's common stock for the five trading days immediately preceding date of the 2024 Exchange Agreement, multiplied by (ii) 100. The New Secured Notes follow the same terms as the MSLP Loan Agreement. As part of the extinguishment of principal, the Company recognized a $10.9 million non-cash loss.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7, 2024, the Loan Parties entered into a consent agreement with Madryn to amend the MSLP Loan Amendment to, among other things, grant certain relief from minimum liquidity requirements under the MSLP Loan Amendment. On June 21, 2024, the Loan Parties entered into an Amendment and Consent Agreement with the Lenders to, among other things, (i) modify the July 2024 interest payment to be payable-in-kind, (ii) grant relief from the Minimum Deposit Relationship obligations through July 8,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2024, the Loan Parties entered into a loan amendment and consent agreement with the Lenders to, among other things, grant relief under the MSLP Loan Agreement, as amended, such that (i) certain minimum liquidity requirements under the MSLP Loan Agreement are waived through August 2, 2024, and (ii) certain operating covenants for the June 30, 2024 measurement period were deleted.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29, 2024, the Loan Parties entered into a consent agreement with the Lenders which granted relief under the MSLP Loan Agreement, such that (i) certain minimum liquidity requirements under the MSLP Loan Agreement are waived through August 30, 2024, and (ii) permit Venus USA to apply the August 8, 2024 cash interest payment due to the respective outstanding principal balance of each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30, 2024, the Loan Parties entered into a consent agreement with the Lenders which granted relief under the MSLP Loan Agreement, such that</w:t>
      </w:r>
    </w:p>
    <w:p>
      <w:pPr>
        <w:spacing w:after="0" w:line="27" w:lineRule="exact"/>
        <w:rPr>
          <w:sz w:val="20"/>
          <w:szCs w:val="20"/>
          <w:color w:val="auto"/>
        </w:rPr>
      </w:pPr>
    </w:p>
    <w:p>
      <w:pPr>
        <w:ind w:right="80" w:firstLine="8"/>
        <w:spacing w:after="0" w:line="260"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minimum liquidity requirements under the MSLP Loan Agreement are waived through September 30, 2024, and (ii) permit Venus USA to apply the September 8, 2024 cash interest payment due to the respective outstanding principal balance of each Note.</w:t>
      </w:r>
    </w:p>
    <w:p>
      <w:pPr>
        <w:spacing w:after="0" w:line="1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26, 2024, the Company entered into an Exchange Agreement, by and among the Company, Venus USA, and Madryn (the "Second 2024 Exchange Agreement") whereby the Company exchanged $17,662 of the balance outstanding under the MSLP Loan Agreement for $2,662 in aggregate principal amount outstanding under the MSLP Loan Agreement and 203,583 shares of Series Y Convertible Preferred Stock. As part of the extinguishment of principal, the Company recognized a $0.5 million non-cash loss. Also, on September 26, 2024 the Loan Parties entered into a Third Loan Amendment which, among other things, (i) modify the October 2024 interest payment to be payable-in-kind, (ii) delete the net loss covenant, and (iii) grant relief from minimum liquidity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 was in compliance with all required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estimated interest, on the outstanding borrowings as of September 30, 2024 are as follows:</w:t>
      </w:r>
    </w:p>
    <w:p>
      <w:pPr>
        <w:spacing w:after="0" w:line="221"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57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715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7" w:name="page18"/>
    <w:bookmarkEnd w:id="17"/>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shd w:val="clear" w:color="auto" w:fill="CCEEFF"/>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2024</w:t>
            </w:r>
          </w:p>
        </w:tc>
        <w:tc>
          <w:tcPr>
            <w:tcW w:w="51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454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2025</w:t>
            </w:r>
          </w:p>
        </w:tc>
        <w:tc>
          <w:tcPr>
            <w:tcW w:w="40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18"/>
                <w:szCs w:val="18"/>
                <w:color w:val="auto"/>
              </w:rPr>
            </w:pPr>
          </w:p>
        </w:tc>
      </w:tr>
      <w:tr>
        <w:trPr>
          <w:trHeight w:val="229"/>
        </w:trPr>
        <w:tc>
          <w:tcPr>
            <w:tcW w:w="4540" w:type="dxa"/>
            <w:vAlign w:val="bottom"/>
            <w:shd w:val="clear" w:color="auto" w:fill="CCEEFF"/>
          </w:tcPr>
          <w:p>
            <w:pPr>
              <w:jc w:val="right"/>
              <w:ind w:right="3910"/>
              <w:spacing w:after="0"/>
              <w:rPr>
                <w:sz w:val="20"/>
                <w:szCs w:val="20"/>
                <w:color w:val="auto"/>
              </w:rPr>
            </w:pPr>
            <w:r>
              <w:rPr>
                <w:rFonts w:ascii="Times New Roman" w:cs="Times New Roman" w:eastAsia="Times New Roman" w:hAnsi="Times New Roman"/>
                <w:sz w:val="18"/>
                <w:szCs w:val="18"/>
                <w:color w:val="auto"/>
              </w:rPr>
              <w:t>Total</w:t>
            </w:r>
          </w:p>
        </w:tc>
        <w:tc>
          <w:tcPr>
            <w:tcW w:w="51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2,917</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MADRYN DEBT AND 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11, 2016, Venus Ltd. entered into a credit agreement as a guarantor with Madryn, as amended (the “Madryn Credit Agreement”), pursuant to which Madryn agreed to make certain loans to certain of Venus Concept’s subsidiaries.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9, 2020, contemporaneously with the MSLP Loan Agreement (Note 10), the Company and its subsidiaries, Venus USA, Venus Ltd., Venus Canada, and the Madryn Noteholders (as defined below), entered into a securities exchange agreement (the "Exchange Agreement") dated as of December 8, 2020, pursuant to which the Company on December 9, 2020 (i) repaid $42.5 million aggregate principal amount owed under the Madryn Credit Agreement, and (ii) issued to Madryn Health Partners (Cayman Master), LP and Madryn Health Partners, LP (together, the "Madryn Noteholders") secured subordinated convertible notes in the aggregate principal amount of $26.7 million (the "Notes"). The Madryn Credit Agreement was terminated effective December 9, 2020 upon the funding and closing of the MSLP Loan and the issuance of the Notes.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4, 2023, the Company entered into a securities exchange agreement (the "2023 Exchange Agreement") with the Madryn Noteholders. Pursuant to the 2023 Exchange Agreement, the Madryn Noteholders agreed to exchange (the "Exchange") $26.695 million in aggregate principal amount of outstanding secured convertible notes of the Company for (i) secured subordinated convertible notes in aggregate principal amount of $22.792 million (the “New Convertible Notes”) and (ii) 248,755 shares of newly-created convertible preferred stock of the Company, par value $0.0001 per share designated as "Series X Convertible Preferred Stock" (the "Series X Preferred Stock"). The Series X Preferred Stock is priced at $20.10 per share, being equal to the "Minimum Price" as set forth in Nasdaq Listing Rule 5635(d), multiplied by ten. The New Convertible Notes accrue interest at a rate of 3-month adjusted term Secured Overnight Financing Rate (SOFR) plus 8.50% per annum. In the case of an event of default under the New Convertible Notes, the then-applicable interest rate will increase by four percent (4.00%) per annum. Interest is payable in kind in arrears on the last business day of each calendar quarter of each year after the original issuance date, beginning on December 31, 2023. The New Convertible Notes mature on December 9, 2025, unless earlier redeemed or converted. As part of the extinguishment of principal, the Company recognized a $2.0 million loss.</w:t>
      </w:r>
    </w:p>
    <w:p>
      <w:pPr>
        <w:spacing w:after="0" w:line="1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May 24, 2024, as required by the 2024 Exchange Agreement (Note 10), the New Convertible Notes were amended to, among other things, align the covenant protections in favor of the Madryn Noteholders with the MSLP Loan Agreement, as amended by the MSLP Loan Amendment.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approximately $26.2 million principal and interest of convertible notes outstanding that were issued pursuant to the 2024 Exchange Agreement.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New Convertible Notes and Notes, the Company recognized interest expense of $903 and $557 during the three months ended September 30, 2024 and 2023, respectively, and recognized interest expense of $2,598 and $1,631 during the nine months ended September 30, 2024 and 2023, respectively. The conversion feature, providing the Madryn Noteholders with a right to receive the Company’s shares upon conversion of the New Convertible Notes and Notes, was qualified for a scope exception in ASC 815-10-15 and did not require bifurcation. The New Convertible Notes and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New Notes and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September 30, 2024, and December 31, 2023, therefore a nominal value was allocated to the underlying embedded derivative liabilities as of September 30, 2024, and December 31, 2023.</w:t>
      </w:r>
    </w:p>
    <w:p>
      <w:pPr>
        <w:spacing w:after="0" w:line="1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scheduled payments, inclusive of principal and interest, on the outstanding borrowings of the Notes and New Convertible Notes as of September 30,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00" w:type="dxa"/>
            <w:vAlign w:val="bottom"/>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100" w:type="dxa"/>
            <w:vAlign w:val="bottom"/>
          </w:tcPr>
          <w:p>
            <w:pPr>
              <w:spacing w:after="0"/>
              <w:rPr>
                <w:sz w:val="18"/>
                <w:szCs w:val="18"/>
                <w:color w:val="auto"/>
              </w:rPr>
            </w:pPr>
          </w:p>
        </w:tc>
      </w:tr>
      <w:tr>
        <w:trPr>
          <w:trHeight w:val="24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30,917</w:t>
            </w:r>
          </w:p>
        </w:tc>
      </w:tr>
      <w:tr>
        <w:trPr>
          <w:trHeight w:val="413"/>
        </w:trPr>
        <w:tc>
          <w:tcPr>
            <w:tcW w:w="8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the Company did not make any principal repayments.</w:t>
            </w: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Financing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2024, the Company entered into a Loan and Security Agreement (the “Loan and Security Agreement”), by and among Venus USA, (the “Bridge Borrower”), Venus Canada, Venus Ltd. (Venus Ltd., together with the Company and Venus Canada, the “2024 Guarantors,” and together with the Bridge Borrower, the “Bridge Financing Loan Parties”) and, each lender party thereto (collectively, the “2024 Lenders”) and Madryn Health Partners, LP, as administrative agent. Pursuant to the Loan and Security Agreement, the 2024 Lenders agreed to provide the Bridge Borrower with bridge financing in the form of a term loan in the original principal amount of $2,238 and one or more delayed draw term loans of up to an additional principal amount of $2,762 (the “Bridge Financing”). The Bridge Financing originally had a maturity date of May 26, 2024. Pursuant to the Loan and Security Agreement, each of the 2024 Guarantors, jointly and severally, guarantee, that the Obligations (as defined in the Loan and Security Agreement) will be performed and paid in full when due and payable.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Loan and Security Agreement will bear interest at a rate per annum equal to 12%, due at maturity. The Loan and Security Agreement also provides that all present and future indebtedness and the obligations of the Bridge Borrower to Madryn Health Partners, LP shall be secured by a priority security interest in all real and personal property collateral of the Bridge Financing Loan Parties.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and Security Agreement contains customary representations, warranties and affirmative and negative covenants. In addition, the Loan and Security Agreement contains customary events of default that entitle Madryn Health Partners, LP to cause the Bridge Borrower’s indebtedness under the</w:t>
      </w:r>
    </w:p>
    <w:p>
      <w:pPr>
        <w:sectPr>
          <w:pgSz w:w="11900" w:h="16941" w:orient="portrait"/>
          <w:cols w:equalWidth="0" w:num="1">
            <w:col w:w="11240"/>
          </w:cols>
          <w:pgMar w:left="320" w:top="140" w:right="339" w:bottom="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Loan and Security Agreement to become immediately due and payable, and to exercise remedies against the Bridge Financing Loan Parties and the collateral securing the Bridge Financing. Under the Loan and Security Agreement, an event of default will occur if, among other things, any of the Bridge Financing Loan Parties fails to make payments under the Loan and Security Agreement, any of the Bridge Financing Loan Parties breaches any of the covenants under the Loan and Security Agreement, a Change of Control (as defined in the Loan and Security Agreement) occurs, any of the Bridge Financing Loan Parties, or its assets, become subject to certain legal proceedings, such as bankruptcy proceedings. Upon the occurrence and for the duration of an event of default, a default interest rate equal to 15.0% per annum will apply to all obligations owed under the Loan and Security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24, 2024, as required by the 2024 Exchange Agreement (Note 10), the Loan and Security Agreement was amended to extend the maturity date from May 26, 2024 to June 7, 2024. On June 7, 2024, the Loan Parties entered into a Second Bridge Loan Amendment Agreement which further extended the maturity date of the Bridge Financing from June 7, 2024 to June 21, 2024. On June 21, 2024, the Bridge Financing Loan Parties entered into a Third Bridge Loan Amendment Agreement with the 2024 Lenders which further extended the maturity date of the Bridge Financing from June 21, 2024 to July 8,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2024, the Bridge Financing Loan Parties entered into a Fourth Bridge Loan Amendment Agreement (the “Fourth Bridge Loan Amendment”). The Fourth Bridge Loan Amendment amended that certain Loan and Security Agreement, dated April 23, 2024, among the Bridge Financing Loan Parties and the 2024 Lenders to extend the maturity date of the bridge loan from July 8, 2024 to August 2,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26, 2024, the 2024 Lenders agreed to provide the Bridge Borrower with a subsequent drawdown under the Loan and Security Agreement in the principal amount of $1,000 (the “July Drawdown”). The July Drawdown was fully funded on July 26, 2024.</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July 29, 2024, the Bridge Financing Loan Parties entered into a Fifth Bridge Loan Amendment Agreement (the “Fifth Bridge Loan Amendment”). The Fifth Bridge Loan Amendment amended the Loan and Security Agreement to, among other things, (i) modify the availability period for subsequent drawdowns under the Bridge Financing from ten days to two days prior to the maturity date, (ii) increase the Delayed Draw Commitment, as defined in the Loan and Security Agreement, from $2,762 to $3,000, and (iii) extend the maturity date of the Bridge Financing from August 2, 2024 to August 30,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30, 2024 the Bridge Financing Loan Parties entered into a Sixth Bridge Loan Amendment Agreement which extended the maturity date of the Bridge Financing from August 30, 2024 to September 30,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11, 2024, the 2024 Lenders agreed to provide the Bridge Borrower with a subsequent drawdown under the Loan and Security Agreement in the principal amount of $1,000, which was fully funded on September 11,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26, 2024, the Bridge Financing Loan Parties entered into a Seventh Bridge Loan Amendment Agreement which extended the maturity date of the Bridge Financing from September 30, 2024 to October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interest of $4.4 million will be paid at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the Company did not make any principal payments.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CREDIT FACILITY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29, 2018, Venus Ltd. entered into an Amended and Restated Loan Agreement as a guarantor with CNB, as amended on March 20, 2020, December 9, 2020 and August 26, 2021 (the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August 29, 2018, as amended on March 20, 2020, December 9, 2020 and August 26, 2021 (the “CNB Guaranty”), pursuant to which Venus Ltd. agreed to guaranty the obligations of its subsidiaries under the CNB Loan Agreement. On March 20, 2020, the Company also entered into a Security Agreement with CNB (the “CNB Security Agreement”), as amended on December 9, 2020 and August 26, 2021, pursuant to which it agreed to grant CNB a security interest in substantially all of our assets to secure the obligations under the CNB Loan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from $10,000 to $5,000 at the LIBOR 30-Day rate plus 3.25%, subject to a minimum LIBOR rate floor of 0.50%, and (ii) beginning December 10, 2021, the cash deposit requirement was reduced from $3,000 to $1,500, to be maintained with CNB at all times during the term of the Amended CNB Loan Agreement. In connection with the Amended CNB Loan Agreement, the Company, Venus USA and Venus Canada issued a promissory note dated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by and among Madryn Health Partners, LP, Madryn Health Partners (Cayman Master), LP, the Company and CNB. The CNB Note and Amended CNB Loan Agreement expired at its maturity date.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expiration of the credit facility, the Company was in compliance with all required covenants. An event of default under this agreement prior to expiration in July 2023 would have caused a default under the MSLP Loan (see Note 10).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EW CONVERTIBLE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(the “Guarantors”) entered into a Note Purchase and Registration Rights Agreement (the “Note Purchase Agreement”) with EW Healthcare Partners, L.P. (“EW”) and EW Healthcare Partners-A, L.P. (“EW-A,” and together with EW, the “EW Investors”). Pursuant to the Note Purchase Agreement, the Company issued and sold to the EW Investors $2.0 million in aggregate principal amount of secured subordinated convertible notes (the “2024 Notes").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2024 Notes accrue interest at a rate equal to the 90-day adjusted term Secured Overnight Financing Rate (SOFR) plus 8.50% per annum; provided, however, that if there is an Event of Default (as defined below), the then-applicable interest rate will increase by 4.00% per annum. Interest is payable in kind in arrears on the last business day of each calendar quarter of each year after the original issuance date, beginning on March 31, 2024. The 2024 Notes mature on December 9, 2025, unless earlier redeemed or converted, at which time all outstanding principal and interest is payable in cash, except as described below. At any time prior to the maturity date, a holder may convert the 2024 Notes at their option into shares of common stock at the then-applicable conversion rate. The initial conversion rate is 799.3605 shares of common stock per one-thousand principal amount of 2024 Notes, which represents an initial conversion price of approximately $1.251 per share of common stock. The conversion rate is subject to customary anti-dilution adjustments. The 2024 Notes are redeemable, in whole and not in part, at the Company’s option at any time, at a redemption price equal to the principal amount of the 2024 Notes to be redeemed, plus accrued and unpaid interest, if any, to, the redemption date, plus a redemption premium. The Company’s redemption option is subject to satisfaction of the conditions set forth in the 2024 Notes, including that a registration statement covering the resale of the shares of common stock issuable upon conversion of the 2024 Notes is effective and available for use.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2024 Notes have customary provisions relating to the occurrence of “Events of Default,” as defined in the 2024 Notes. If an Event of Default occurs, then the EW Investors may, subject to the terms of the CNB Subordination Agreement (as defined below), (i) declare the outstanding principal amount of the 2024 Notes, all accrued and unpaid interest and all other amounts owing under the 2024 Notes and other transaction documents entered into in connection therewith to be immediately become due and payable, without any further action or notice by any person, and (ii) exercise all rights and remedies available to them under the 2024 Notes, the EW Security Agreement (as defined below) and any other document entered into in connection with the foregoing. The 2024 Notes constitute the Company’s secured, subordinated obligations and are (i) equal in right of payment with the Company’s existing and future senior unsecured indebtedness; (ii) senior in right of payment to the Company’s existing and future indebtedness that is expressly subordinated to the 2024 Notes; and (iii) subordinated to the Company’s existing secured indebtedness in a manner consistent with the Existing Subordination Agreements (as defined below).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Guaranty and Security Agreement (the “EW Security Agreement”) with EW, as collateral agent. Pursuant to the EW Security Agreement, the Guarantors jointly and severally guaranteed to the EW Investors the prompt payment of all outstanding amounts under the 2024 Notes when due. The Guarantors also granted to the EW Investors a security interest in substantially all of their assets to secure the obligations under the 2024 Notes.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EW Security Agreement, during the continuance of an Event of Default under the 2024 Notes, if the Company is unable to repay all outstanding amounts under the 2024 Notes, the EW Investors may, subject to the terms of the CNB Subordination Agreement (as defined below), foreclose on the collateral to collateralize such indebtedness. Any such foreclosure could significantly affect the Company’s ability to operate its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EW Security Agreement contains various covenants that limit the Company’s ability to engage in specified types of transactions. Subject to limited exceptions, these covenants include restrictions on the Company’s ability, to incur, create or permit to exist additional indebtedness, or liens, and to make certain changes to its ownership structure, in each case without the Investor’s consent.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Subordination of Debt Agreement (the “CNB Subordination Agreement”) with CNB and the EW Investors. The CNB Subordination Agreement provides that the 2024 Notes are subordinated to the Company’s existing secured indebtedness with CNB, in a manner consistent with the subordination of the Secured Subordinated Convertible Notes, dated October 4, 2023 (the “Madryn Notes”), issued to Madryn pursuant to those certain existing Subordination of Debt Agreements, dated as of December 8, 2020 entered into by the Company and the Guarantors, CNB, and Madryn (the “Existing Subordination Agreements”). The 2024 Notes and the Madryn Notes are secured by the same collateral, except that the 2024 Notes also receive a first priority perfected security interest and lien on the Company’s right to receive certain amounts from the Internal Revenue Service in respect of certain employee retention credits claimed by the Company (defined in the Notes as the “ERC Claim”).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approximately $2.2 million principal and interest of the 2024 convertible notes outstanding that were issued pursuant to the Note Purchase Agreement (as defined below).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2024 Notes, the Company recognized interest expense of $74 and $0.2 million during the three and nine months ended September 30, 2024, respectively. The 2024 Notes contained a conversion option, redemption right upon an event of default, change of control scenario, and interest rate penalty upon an event of default which were evaluated under ASC 815, Derivatives and Hedging, and determined that these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fair value of the embedded derivative liability at issuance and as of September 30, 2024 were $0.9 million and $0.3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 was in compliance with all required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interest, on the outstanding borrowings as of September 30,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00" w:type="dxa"/>
            <w:vAlign w:val="bottom"/>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18"/>
                <w:szCs w:val="18"/>
                <w:color w:val="auto"/>
              </w:rPr>
            </w:pPr>
          </w:p>
        </w:tc>
      </w:tr>
      <w:tr>
        <w:trPr>
          <w:trHeight w:val="24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w:t>
            </w:r>
          </w:p>
        </w:tc>
      </w:tr>
      <w:tr>
        <w:trPr>
          <w:trHeight w:val="412"/>
        </w:trPr>
        <w:tc>
          <w:tcPr>
            <w:tcW w:w="8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the Company did not make any principal repayments.</w:t>
            </w: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sectPr>
          <w:pgSz w:w="11900" w:h="16850" w:orient="portrait"/>
          <w:cols w:equalWidth="0" w:num="1">
            <w:col w:w="11240"/>
          </w:cols>
          <w:pgMar w:left="320" w:top="121" w:right="339" w:bottom="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50" w:orient="portrait"/>
          <w:cols w:equalWidth="0" w:num="1">
            <w:col w:w="11240"/>
          </w:cols>
          <w:pgMar w:left="320" w:top="121" w:right="339" w:bottom="0" w:gutter="0" w:footer="0" w:header="0"/>
          <w:type w:val="continuous"/>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COMMON STOCK RESERVED FOR ISSUANCE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a number of shares sufficient to affect the exercise of all classes of preferred stock, convertible promissory notes, options granted and available for grant under the incentive plans and warrants to purchase common stock.</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0"/>
                <w:szCs w:val="20"/>
                <w:color w:val="auto"/>
              </w:rPr>
            </w:pPr>
          </w:p>
        </w:tc>
        <w:tc>
          <w:tcPr>
            <w:tcW w:w="1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1,936,920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993,327</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86,294,014</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8,889,221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conversion of future voting preferred share issuance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5,596,273</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5,844,213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future option grants and RSUs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308,878</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Lincoln Park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711,180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Madryn Noteholders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EW Noteholders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0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0" w:type="dxa"/>
            <w:vAlign w:val="bottom"/>
          </w:tcPr>
          <w:p>
            <w:pPr>
              <w:spacing w:after="0"/>
              <w:rPr>
                <w:sz w:val="21"/>
                <w:szCs w:val="21"/>
                <w:color w:val="auto"/>
              </w:rPr>
            </w:pPr>
          </w:p>
        </w:tc>
        <w:tc>
          <w:tcPr>
            <w:tcW w:w="59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98,529,412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confers upon its holders the following rights:</w:t>
      </w:r>
    </w:p>
    <w:p>
      <w:pPr>
        <w:spacing w:after="0" w:line="225"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the Company’s excess assets upon liquidation pro rata to the par value of the shares held by them.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annual and special meeting of the Company’s shareholders held on May 10, 2023, the Company’s shareholders granted the Company’s Board of Directors discretionary authority to implement the Reverse Stock Split and to fix the specific consolidation ratio within a range of one-for-five (1-for-5) to one-for-fifteen (1-for-15). On May 11, 2023, the Company filed an amendment to the Company’s Certificate of Incorporation to implement the Reverse Stock Split based on a one-for-fifteen (1-for-15) consolidation ratio. The Company’s common shares began trading on the Nasdaq Capital Market on a reverse split-adjusted basis under the Company’s existing trade symbol “VERO” at the opening of the market on May 12,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Purchase Agreement with Lincoln Park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16, 2020, the Company entered into a purchase agreement (the “Equity Purchase Agreement”) with Lincoln Park Capital Fund LLC (“Lincoln Park”), which provides that, upon the terms and subject to the conditions and limitations set forth therein, the Company may 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517,560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with Equity Purchase Agreement equals or exceeds $59.6325 per share (subject to adjustment) (which represents the minimum price, as defined under Nasdaq Stock Market LLC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commencement to expiry on July 1, 2022, the Company issued and sold to Lincoln Park 229,139 shares of its common stock at an average price of $40.50 per share, and 13,971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2022, the Company issued 26,666 shares of its common stock and the proceeds from common stock issuances as of December 31, 2022 were $272, with no issuance costs. The proceeds in the amount of $272 were recorded in the condensed consolidated statements of cash flows as net cash proceeds from issuance of common stock. The Equity Purchase Agreement expired on July 1, 2022, and was replaced with the 2022 LPC Purchase Agreement discussed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LPC Purchase Agreement with Lincoln Park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12, 2022, the Company entered into a purchase agreement (the “2022 LPC Purchase Agreement”) with Lincoln Park, as the Equity Purchase Agreement expired on July 1, 2022. The 2022 LPC Purchase Agreement provides that, upon the terms and subject to the conditions and limitations set forth therein, the Company may sell to Lincoln Park up to $11,000 of shares (the “Purchase Shares”) of its common stock, par value $0.0001 per share. Concurrently with entering into the 2022 LPC Purchase Agreement, the Company also entered into a registration rights agreement (the “2022 LPC Registration Rights Agreement”) with Lincoln Park, pursuant to which it agreed to provide Lincoln Park with certain registration rights related to the shares</w:t>
      </w:r>
    </w:p>
    <w:p>
      <w:pPr>
        <w:sectPr>
          <w:pgSz w:w="11900" w:h="16919" w:orient="portrait"/>
          <w:cols w:equalWidth="0" w:num="1">
            <w:col w:w="11240"/>
          </w:cols>
          <w:pgMar w:left="320" w:top="121" w:right="339" w:bottom="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issued under the 2022 LPC Purchase Agreement. The aggregate number of shares that the Company can issue to Lincoln Park under the 2022 LPC Purchase Agreement may not exceed 858,224 shares of common stock, which is equal to 19.99% of the shares of common stock outstanding immediately prior to the execution of the 2022 LPC Purchase Agreement (the “2022 Exchange Cap”), unless (i) stockholder approval is obtained to issue shares of common stock in excess of the 2022 Exchange Cap, in which case the 2022 Exchange Cap will no longer apply, or (ii) the average price of all applicable sales of common stock to Lincoln Park under the 2022 LPC Purchase Agreement equals or exceeds the lower of (i) the Nasdaq official closing price immediately preceding the execution of the 2022 LPC Purchase Agreement or (ii) the arithmetic average of the five Nasdaq official closing prices for the common stock immediately preceding the execution of the 2022 LPC Purchase Agreement, plus an incremental amount to take into account the issuance of the Commitment Shares to Lincoln Park under the 2022 LPC Purchase Agreement, such that the transactions contemplated by the 2022 LPC Purchase Agreement are exempt from the 2022 Exchange Cap limitation under applicable Nasdaq rules. In all instances, the Company may not sell shares of its common stock to Lincoln Park under the 2022 LPC Purchase Agreement if it would result in Lincoln Park beneficially owning more than 9.99% of the outstanding shares of common stock. Upon execution of the 2022 LPC Purchase Agreement, the Company issued 45,701 shares of common stock to Lincoln Park as a commitment fee in connection with entering into the 2022 LPC Purchase Agreement at the total amount of $330. Through December 31, 2023 the Company issued an additional 776,452 shares of common stock to Lincoln Park at an average price of $3.966 per share for a total value of $3,080. During the nine months ended September 30, 2024, the Company issued an additional 8,333 shares of common stock to Lincoln Park at an average price of $1.16 per share, for a total value of $10. The 2022 LPC Purchase Agreement expired on August 1, 2024.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2022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2022, we entered into a securities purchase agreement with certain investors (collectively, the "2022 Investors") pursuant to which the Company issued and sold to the 2022 Investors an aggregate of 116,668 shares of common stock, par value $0.0001 per share, and 3,185,000 shares of voting convertible preferred stock, par value $0.0001 per share (the "Voting Preferred Stock"), which are convertible into 2,123,443 shares of common stock upon receipt of a valid conversion notice from a 2022 Investor or at the option of the Company within 30 days following the occurrence of certain events (the "2022 Private Placement"). The 2022 Private Placement was completed on November 18, 2022. The gross proceeds from the securities sold in the 2022 Private Placement was $6,720. The costs incurred with respect to the 2022 Private Placement totaled $202 and were recorded as a reduction of the 2022 Private Placement proceeds in the consolidated statements of stockholders'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Preferred Stock issued in November 2022</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in November 2022, the Company issued and sold to certain 2022 Investors an aggregate of 3,185,000 shares of Voting Preferred Stock. The terms of the Voting Preferred Stock are governed by a Certificate of Designation filed by the Company with the Secretary of State of the State of Delaware on November 17, 2022. The following is a summary of the material terms of the Voting Preferred Stock:</w:t>
      </w:r>
    </w:p>
    <w:p>
      <w:pPr>
        <w:spacing w:after="0" w:line="174"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Voting Preferred Stock votes with the common stock on an as-converted basis.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Voting Preferred Stock carries a liquidation preference, senior to the common stock in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of (a) $30.00 (being the issuance price) and (b) the amount that would be distributed in respect of such share of Voting Preferred Stock if it were converted into common stock and participated in such liquidating distribution with the other shares of common stock.</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Voting Preferred Stock will convert into shares of common stock on a one for 0.6667 basis (i) at the option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Investor upon delivery of a valid conversion notice to the Company or (ii) at the option of the Company within 30 days following the earlier to occur of (a) the date on which the volume-weighted average price of the common stock has been greater than or equal to $18.75 for 30 consecutive trading days and (b) the date on which the Company has reported two consecutive fiscal quarters of positive cash flow.</w:t>
      </w:r>
    </w:p>
    <w:p>
      <w:pPr>
        <w:spacing w:after="0" w:line="17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Voting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Voting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Voting Preferred Stock shall be perpetual unless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2023 Multi-Tranche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(the "2023 Multi-Tranche Private Placement Stock Purchase Agreement") with certain investors (collectively, the "2023 Investors") pursuant to which the Company may issue and sell to the 2023 Investors up to $9,000,000 in shares (the "2023 Multi-Tranche Private Placement") of newly-created senior convertible preferred stock, par value $0.0001 per share (the “Senior Preferred Stock”), in multiple tranches from time to time until December 31, 2025, subject to a minimum aggregate purchase amount of $0.5 million in each tranche. The initial sale in the 2023 Multi-Tranche Private Placement occurred on May 15, 2023, under which the Company sold the 2023 Investors 280,899 shares of Senior Preferred Stock for an aggregate purchase price of $2.0 million (the "Initial Placement"). The Company used the proceeds of the Initial Placement, after the payment of transaction expenses, for general working capital purposes. The following is a summary of the material terms of the Senior Preferred Stock:</w:t>
      </w:r>
    </w:p>
    <w:p>
      <w:pPr>
        <w:spacing w:after="0" w:line="187" w:lineRule="exact"/>
        <w:rPr>
          <w:sz w:val="20"/>
          <w:szCs w:val="20"/>
          <w:color w:val="auto"/>
        </w:rPr>
      </w:pPr>
    </w:p>
    <w:p>
      <w:pPr>
        <w:jc w:val="both"/>
        <w:ind w:left="980" w:hanging="324"/>
        <w:spacing w:after="0" w:line="25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Senior Preferred Stock has aggregate number of votes equal to the product of (a) the quotient of (i) the aggregate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paid under the Stock Purchase Agreement for all shares of Senior Preferred Stock issued and outstanding as of such time, divided by (ii) the highest purchase price paid by a holder for a share of Senior Preferred Stock prior to or as of such time, multiplied by (b) two. Such formula ensures that no share of senior preferred stock will ever have more than two votes per share, with such number of votes subject to reduction (but not increase) depending on the pricing of future sales of Senior Preferred Stock in the Private Placement. The Senior Preferred Stock votes with the Company’s common stock on all matters submitted to holders of common stock and does not vote as a separate class.</w:t>
      </w:r>
    </w:p>
    <w:p>
      <w:pPr>
        <w:spacing w:after="0" w:line="182"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Senior Preferred Stock carries a liquidation preference, senior to the common stock and Voting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amount equal to the product of the Purchase Price for such share, multiplied by 2.50.</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Senior Preferred Stock will convert into shares of common stock on a one for 2.6667 basis at the option of (a) the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or (b) the Company within 30 days following the date on which the 30-day volume-weighted average price of the common stock exceeds the product of (i) the Purchase Price for the shares of senior preferred stock to be converted, multiplied by (ii) 2.75.</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Senior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 and Voting Preferred Stock.</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Senior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Senior Preferred Stock shall be perpetual unless converted.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an amendment to the 2023 Multi-Tranche Private Placement Stock Purchase Agreement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tranche in the 2023 Multi-Tranche Private Placement, under which the Company sold the 2023 Investors 500,000 shares of Senior Preferred Stock for an aggregate purchase price of $2.0 million (the “Second Placement”). The Company used the proceeds of the Second Placement, after the payment of transaction expenses, for general working capital purposes.</w:t>
      </w:r>
    </w:p>
    <w:p>
      <w:pPr>
        <w:sectPr>
          <w:pgSz w:w="11900" w:h="16838" w:orient="portrait"/>
          <w:cols w:equalWidth="0" w:num="1">
            <w:col w:w="11240"/>
          </w:cols>
          <w:pgMar w:left="320" w:top="121" w:right="339" w:bottom="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tranche in the 2023 Multi-Tranche Private Placement, under which the Company sold the 2023 Investors 292,398 shares of Senior Preferred Stock for an aggregate purchase price of $1.0 million (the "Third Placement," and together with the First Placement and Second Placement, the "Placements"). The Company used the proceeds of the Third Placement, after the payment of transaction expenses, for general working capital purposes.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tranche in the 2023 Multi-Tranche Private Placement, under which the Company sold the 2023 Investors 502,513 shares of Senior Preferred Stock for an aggregate purchase price of $2.0 million (the “Fourth Placement”). The Company used the proceeds of the Fourth Placement, after the payment of transaction expenses, for general working capital purposes.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X Convertible Preferred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4, 2023, the Company filed a Certificate of Designations with respect to the Series X Preferred Stock with the Secretary of State of the State of Delaware, thereby creating the Series X Preferred Stock. The Certificate of Designations authorizes the issuance of up to 400,000 shares of Series X Preferred Stock. The Series X Preferred Stock is convertible into shares of common stock on a one-for-ten basis, in whole or in part, at the option of the holder at any time upon delivery of a valid conversion notice of the Company; provided, however, that the Series X Preferred Stock is subject to limitations on convertibility to the extent necessary to comply with the rules and regulations of the Nasdaq. The following is a summary of the material terms of the Series X Preferred Stock:</w:t>
      </w:r>
    </w:p>
    <w:p>
      <w:pPr>
        <w:spacing w:after="0" w:line="185" w:lineRule="exact"/>
        <w:rPr>
          <w:sz w:val="20"/>
          <w:szCs w:val="20"/>
          <w:color w:val="auto"/>
        </w:rPr>
      </w:pPr>
    </w:p>
    <w:p>
      <w:pPr>
        <w:jc w:val="both"/>
        <w:ind w:left="980" w:hanging="324"/>
        <w:spacing w:after="0" w:line="26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the Series X Preferred Stock shall be entitled to vote on all matters on which holders of common stock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vote, and shall be entitled to a number of votes equal to the Converted Stock Equivalent, which is 10 common shares per 1 Series X Preferred stock.</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X Preferred Stock carries a liquidation preference, senior to the common stock and Voting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amount equal to the Unpaid Liquidation Preference (as defined in the Certificate of Designations with respect to the Series X Preferred Stock) at that time.</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X Preferred Stock will convert into shares of common stock on a 1-for-10 basis at the option of the holders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 Preferred Stock at any time.</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Series X Preferred Stock accrues a dividend at a rate of 12.5% per annum, payable on a quarterly basis in cash 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Series X Preferred Stock, at the Company’s election. In addition, each share of Series X Preferred Stock is entitled to participate in dividends and other non-liquidating distributions, if, as and when declared by the Board, on a pari passu basis with the common stock, Senior Preferred Stock and Junior Preferred Stock.</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X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Series X Preferred Stock shall be perpetual unless converted, however dividends will stop accruing on December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Y Convertible Preferred Stock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24, 2024, the Company filed a Certificate of Designations with respect to the Series Y Preferred Stock with the Secretary of State of the State of Delaware, thereby creating the Series Y Preferred Stock. The Certificate of Designations authorizes the issuance of up to 600,000 shares of Series Y Preferred Stock. The Series Y Preferred Stock is convertible into shares of common stock on a 1-for-100 basis, at the option of the holder, in whole or in part, at any time upon delivery of a valid conversion notice of the Company; or (ii) automatically upon the Company completing an equity financing for common stock (or convertible preferred stock, provided that under such circumstances such financing will not be deemed completed until such preferred stock has been fully converted into common stock) that raises no less than $30.0 million in gross proceeds, among other requirements as set forth in the Certificate of Designations. Notwithstanding the foregoing, the Series Y Preferred Stock is subject to limitations on convertibility to the extent necessary to comply with the rules and regulations of Nasdaq. On September 26, 2024 the Company filed a Certificate of Amendment which increased the authorized number of shares of Series Y Preferred Stock from 600,000 shares to 900,000 shares. The following is a summary of the material terms of the Series Y Preferred Stock:</w:t>
      </w:r>
    </w:p>
    <w:p>
      <w:pPr>
        <w:spacing w:after="0" w:line="192" w:lineRule="exact"/>
        <w:rPr>
          <w:sz w:val="20"/>
          <w:szCs w:val="20"/>
          <w:color w:val="auto"/>
        </w:rPr>
      </w:pPr>
    </w:p>
    <w:p>
      <w:pPr>
        <w:ind w:left="980" w:hanging="324"/>
        <w:spacing w:after="0" w:line="28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the Series Y Preferred Stock shall not be entitled to vote on any matter on which holders of common stock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vote.</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Y Preferred Stock carries a liquidation preference, senior to the common stock, Series X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Preferred Stock, and Junior Preferred Stock, in an amount equal to the Unpaid Liquidation Preference (as defined in the Certificate of Designations with respect to the Series Y Preferred Stock) at that time.</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Y Preferred Stock will convert into shares of common stock on a 1-for-100 basis at the option of the holders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 Preferred Stock at any time, or automatically subject to certain conditions.</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Series Y Preferred Stock is entitled to participate in dividends and other non-liquidating distributions, if, as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declared by the Board, on a pari passu basis with the common stock, Senior Preferred Stock and Junior Preferred Stock.</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Y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Series Y Preferred Stock shall be perpetual unless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22, 2024, the Company, entered into a securities purchase agreement (the “SPA”) with certain institutional investors (each, a “2024 Investor”), pursuant to which the Company agreed to issue and sell to the 2024 Investors (i) in a registered direct offering, an aggregate of 817,748 shares of the Company’s common stock, at a price of $1.465 per share and (ii) in a concurrent private placement, warrants to acquire up to an aggregate of 817,748 shares of common stock (the “2024 Investor Warrants”), at an initial exercise price of $1.34 per share (the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were offered at-the-market under Nasdaq rules and pursuant to the Company’s shelf registration statement on Form S-3 initially filed by the Company with the SEC under the Securities Act, on October 15, 2021 and declared effective on October 25,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Investor Warrants (and the shares of common stock issuable upon the exercise of the 2024 Investor Warrants) were not registered under the Securities Act and were offered pursuant to an exemption from the registration requirements provided under Section 4(a)(2) of the Securities Act. The 2024 Investor Warrants are exercisable upon issuance and will expire five years from the issuance date, and in certain circumstances may be exercised on a cashless basis. If the Company fails for any reason to deliver shares of common stock upon the valid exercise of the 2024 Investor Warrants within the</w:t>
      </w:r>
    </w:p>
    <w:p>
      <w:pPr>
        <w:sectPr>
          <w:pgSz w:w="11900" w:h="16838" w:orient="portrait"/>
          <w:cols w:equalWidth="0" w:num="1">
            <w:col w:w="11240"/>
          </w:cols>
          <w:pgMar w:left="320" w:top="121" w:right="339" w:bottom="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prescribed period set forth in the 2024 Investor Warrants, the Company is required to pay the applicable holder liquidated damages in cash as set forth in the 2024 Investor Warrants.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is not entitled to exercise any portion of a 2024 Investor Warrant, if, after giving effect to such exercise, the aggregate number of shares of common stock beneficially owned by the holder (together with its affiliates and any other persons) whose beneficial ownership of common stock would or could be aggregated with the holder’s for purposes of Section 13(d) or Section 16 of the Exchange Act would exceed 4.99%, or at the election of a 2024 Investor 9.99%, of the common stock outstanding after giving effect to the exercise. Such 4.99% limitation may be increased at the holder’s election upon 61 days’ notice to the Company, provided that such percentage may not exceed 9.99%.</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27, 2024, the Company closed the Offering, raising gross proceeds of approximately $1.2 million before deducting placement agent fees and other offering expenses payable by the Company. The proceeds received in the Offering were allocated to each instrument on a relative fair value basis.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SPA, no later than March 8, 2024, the Company was required to file a registration statement on Form S-3 (or other appropriate form if the Company is not then S-3 eligible) registering the resale of the shares of common stock issued or issuable upon exercise of the 2024 Investor Warrants. The Company was required to use commercially reasonable efforts to cause such registration to become effective within 45 days of the closing date of the Offering (or within 75 days following the closing of the Offering in case of “full review” of the registration statement by the SEC), and to keep the registration statement effective at all times until no 2024 Investor owns any 2024 Investor Warrants or shares issuable upon exercise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SPA contains customary representations, warranties and covenants by the Company, among other customary provisions.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H.C. Wainwright &amp; Co., LLC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57,242 shares of common stock (the “Placement Agent Warrants”). The Placement Agent Warrants are similar to the 2024 Investor Warrants, except that the initial exercise price of the Placement Agent Warrants is $1.8313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2010 Share Option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2010,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September 30, 2024, the number of shares of the Company’s common stock reserved for issuance and available for grant under the 2010 Share Option Plan was 28,947 (28,168 as of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2019 Plan, 30,000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Ltd. and the business of Venus Ltd. became the primary business of the Company (the “Merger”). As of September 30, 2024, there were 279,931 shares of common stock available under the 2019 Plan (71,412 as of December 31, 2023).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9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for its employees and non-employees in the accompanying unaudited condensed consolidated statements of operations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00" w:type="dxa"/>
            <w:vAlign w:val="bottom"/>
          </w:tcPr>
          <w:p>
            <w:pPr>
              <w:spacing w:after="0"/>
              <w:rPr>
                <w:sz w:val="20"/>
                <w:szCs w:val="20"/>
                <w:color w:val="auto"/>
              </w:rPr>
            </w:pPr>
          </w:p>
        </w:tc>
        <w:tc>
          <w:tcPr>
            <w:tcW w:w="28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option is estimated at the date of grant using the Black-Scholes option pricing formula with the following assumptions: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02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4080" w:type="dxa"/>
            <w:vAlign w:val="bottom"/>
            <w:gridSpan w:val="2"/>
          </w:tcPr>
          <w:p>
            <w:pPr>
              <w:spacing w:after="0"/>
              <w:rPr>
                <w:sz w:val="18"/>
                <w:szCs w:val="18"/>
                <w:color w:val="auto"/>
              </w:rPr>
            </w:pP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3.37-4.33%</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42.29%</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43.06%</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42.94%</w:t>
            </w:r>
          </w:p>
        </w:tc>
      </w:tr>
      <w:tr>
        <w:trPr>
          <w:trHeight w:val="234"/>
        </w:trPr>
        <w:tc>
          <w:tcPr>
            <w:tcW w:w="2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management’s best estimate for the options to be exercised by option holders.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—Since the Company does not have a trading history for its common stock, the expected volatility was derived from the historical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stock-based awards’ 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—The expected dividend is zero as the Company has not paid nor does it anticipate paying any dividends on its common 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Prior to the Merger, Venus Ltd. used the price per share in its latest sale of securities as an estimate of the fair value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After the closing of the Merger, the fair value of the Company’s common stock is used to estimate the fair value of the stock-based awards at grant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stock option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 Share, $</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January 1,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September 30,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993,327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140" w:type="dxa"/>
            <w:vAlign w:val="bottom"/>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Exercisable – September 30, 2024</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524,739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27.07</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6.56</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to vest – after September 30, 2024</w:t>
            </w: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468,588</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6.32</w:t>
            </w:r>
          </w:p>
        </w:tc>
        <w:tc>
          <w:tcPr>
            <w:tcW w:w="13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8.22</w:t>
            </w:r>
          </w:p>
        </w:tc>
        <w:tc>
          <w:tcPr>
            <w:tcW w:w="3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413"/>
        </w:trPr>
        <w:tc>
          <w:tcPr>
            <w:tcW w:w="58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810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9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 outstanding and exercisable at September 30, 2024: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6"/>
                <w:szCs w:val="16"/>
                <w:color w:val="auto"/>
              </w:rPr>
            </w:pPr>
          </w:p>
        </w:tc>
      </w:tr>
      <w:tr>
        <w:trPr>
          <w:trHeight w:val="216"/>
        </w:trPr>
        <w:tc>
          <w:tcPr>
            <w:tcW w:w="218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 contractual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contractual</w:t>
            </w:r>
          </w:p>
        </w:tc>
        <w:tc>
          <w:tcPr>
            <w:tcW w:w="1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218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20" w:type="dxa"/>
            <w:vAlign w:val="bottom"/>
          </w:tcPr>
          <w:p>
            <w:pPr>
              <w:spacing w:after="0"/>
              <w:rPr>
                <w:sz w:val="20"/>
                <w:szCs w:val="20"/>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00" w:type="dxa"/>
            <w:vAlign w:val="bottom"/>
          </w:tcPr>
          <w:p>
            <w:pPr>
              <w:spacing w:after="0"/>
              <w:rPr>
                <w:sz w:val="20"/>
                <w:szCs w:val="20"/>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09"/>
        </w:trPr>
        <w:tc>
          <w:tcPr>
            <w:tcW w:w="580" w:type="dxa"/>
            <w:vAlign w:val="bottom"/>
          </w:tcPr>
          <w:p>
            <w:pPr>
              <w:spacing w:after="0"/>
              <w:rPr>
                <w:sz w:val="18"/>
                <w:szCs w:val="18"/>
                <w:color w:val="auto"/>
              </w:rPr>
            </w:pPr>
          </w:p>
        </w:tc>
        <w:tc>
          <w:tcPr>
            <w:tcW w:w="1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$0.7051 - $54.60</w:t>
            </w:r>
          </w:p>
        </w:tc>
        <w:tc>
          <w:tcPr>
            <w:tcW w:w="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952,221</w:t>
            </w:r>
          </w:p>
        </w:tc>
        <w:tc>
          <w:tcPr>
            <w:tcW w:w="12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483,810</w:t>
            </w:r>
          </w:p>
        </w:tc>
        <w:tc>
          <w:tcPr>
            <w:tcW w:w="100" w:type="dxa"/>
            <w:vAlign w:val="bottom"/>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$19.99</w:t>
            </w:r>
          </w:p>
        </w:tc>
        <w:tc>
          <w:tcPr>
            <w:tcW w:w="6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$63.90 - $119.25</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38,947</w:t>
            </w:r>
          </w:p>
        </w:tc>
        <w:tc>
          <w:tcPr>
            <w:tcW w:w="2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97.80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38,770</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97.70</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$186.75 - $382.50</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1,627</w:t>
            </w:r>
          </w:p>
        </w:tc>
        <w:tc>
          <w:tcPr>
            <w:tcW w:w="21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271.15</w:t>
            </w:r>
          </w:p>
        </w:tc>
        <w:tc>
          <w:tcPr>
            <w:tcW w:w="9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1,627</w:t>
            </w:r>
          </w:p>
        </w:tc>
        <w:tc>
          <w:tcPr>
            <w:tcW w:w="2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3.99</w:t>
            </w:r>
          </w:p>
        </w:tc>
        <w:tc>
          <w:tcPr>
            <w:tcW w:w="1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271.15</w:t>
            </w:r>
          </w:p>
        </w:tc>
        <w:tc>
          <w:tcPr>
            <w:tcW w:w="6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$405.00 - $438.75</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263</w:t>
            </w:r>
          </w:p>
        </w:tc>
        <w:tc>
          <w:tcPr>
            <w:tcW w:w="2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405.51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263</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0.71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405.51</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$650.25 - $958.50</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269</w:t>
            </w:r>
          </w:p>
        </w:tc>
        <w:tc>
          <w:tcPr>
            <w:tcW w:w="21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727.38</w:t>
            </w:r>
          </w:p>
        </w:tc>
        <w:tc>
          <w:tcPr>
            <w:tcW w:w="9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269</w:t>
            </w:r>
          </w:p>
        </w:tc>
        <w:tc>
          <w:tcPr>
            <w:tcW w:w="2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3.70</w:t>
            </w:r>
          </w:p>
        </w:tc>
        <w:tc>
          <w:tcPr>
            <w:tcW w:w="1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727.38</w:t>
            </w:r>
          </w:p>
        </w:tc>
        <w:tc>
          <w:tcPr>
            <w:tcW w:w="60" w:type="dxa"/>
            <w:vAlign w:val="bottom"/>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993,327</w:t>
            </w:r>
          </w:p>
        </w:tc>
        <w:tc>
          <w:tcPr>
            <w:tcW w:w="120" w:type="dxa"/>
            <w:vAlign w:val="bottom"/>
          </w:tcPr>
          <w:p>
            <w:pPr>
              <w:spacing w:after="0"/>
              <w:rPr>
                <w:sz w:val="18"/>
                <w:szCs w:val="18"/>
                <w:color w:val="auto"/>
              </w:rPr>
            </w:pPr>
          </w:p>
        </w:tc>
        <w:tc>
          <w:tcPr>
            <w:tcW w:w="2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524,739</w:t>
            </w:r>
          </w:p>
        </w:tc>
        <w:tc>
          <w:tcPr>
            <w:tcW w:w="10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$27.07</w:t>
            </w:r>
          </w:p>
        </w:tc>
        <w:tc>
          <w:tcPr>
            <w:tcW w:w="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$nil and $nil for the three months ended September 30, 2024 and 2023, respectively. The total intrinsic value of options exercised were $nil and $nil for the nine months ended September 30, 2024 and 2023,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$nil and $1.90 per share for the three months ended September 30, 2024 and 2023, respectively. The weighted-average grant date fair value of options granted was $0.705 and $2.82 per share for the nine months ended September 30, 2024 and 2023, respectively. The fair value of options vested during the three months ended September 30, 2024 and 2023 was $255 and $307, respectively. The fair value of options vested during the nine months ended September 30, 2024 and 2023 was $892 and $1,013,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generated a loss and recognized $31 of tax benefit for the three months ended September 30, 2024, and $321 of tax benefit for the three months ended September 30, 2023, respectively. The Company generated a loss and recognized $147 of tax expense for the nine months ended September 30, 2024, and $103 of tax expense for the nine months ended September 30, 2023, respectively. A reconciliation of income tax (benefit) expense is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98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0" w:type="dxa"/>
            <w:vAlign w:val="bottom"/>
          </w:tcPr>
          <w:p>
            <w:pPr>
              <w:spacing w:after="0"/>
              <w:rPr>
                <w:sz w:val="20"/>
                <w:szCs w:val="20"/>
                <w:color w:val="auto"/>
              </w:rPr>
            </w:pPr>
          </w:p>
        </w:tc>
        <w:tc>
          <w:tcPr>
            <w:tcW w:w="28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(9,333)</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(9,277)</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(38,808)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(25,797)</w:t>
            </w:r>
          </w:p>
        </w:tc>
      </w:tr>
      <w:tr>
        <w:trPr>
          <w:trHeight w:val="198"/>
        </w:trPr>
        <w:tc>
          <w:tcPr>
            <w:tcW w:w="20" w:type="dxa"/>
            <w:vAlign w:val="bottom"/>
          </w:tcPr>
          <w:p>
            <w:pPr>
              <w:spacing w:after="0"/>
              <w:rPr>
                <w:sz w:val="17"/>
                <w:szCs w:val="17"/>
                <w:color w:val="auto"/>
              </w:rPr>
            </w:pPr>
          </w:p>
        </w:tc>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Theoretical tax expense at the statutory rate (21% in</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and 2023)</w:t>
            </w:r>
          </w:p>
        </w:tc>
        <w:tc>
          <w:tcPr>
            <w:tcW w:w="8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(1,960)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(8,150)</w:t>
            </w:r>
          </w:p>
        </w:tc>
        <w:tc>
          <w:tcPr>
            <w:tcW w:w="2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(5,417)</w:t>
            </w: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in jurisdictional tax rates</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(965)</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provision (recovery)</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(9,302)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(8,956)</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(38,955)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(25,900)</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is recognized based on the actual loss incurred during the three and nine months ended September 30, 2024 and 2023,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AND GEOGRAPHIC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which is based on the product shipped to location, is summarized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00" w:type="dxa"/>
            <w:vAlign w:val="bottom"/>
          </w:tcPr>
          <w:p>
            <w:pPr>
              <w:spacing w:after="0"/>
              <w:rPr>
                <w:sz w:val="20"/>
                <w:szCs w:val="20"/>
                <w:color w:val="auto"/>
              </w:rPr>
            </w:pPr>
          </w:p>
        </w:tc>
        <w:tc>
          <w:tcPr>
            <w:tcW w:w="28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26,557</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8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49,068</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58,222</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long-lived assets in the amount of $6,028 were located in the United States and $856 were located in foreign locations. As of December 31, 2023, long-lived assets in the amount of $8,705 were located in the United States and $1,063 were located in foreign locations.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by type is a key indicator for providing management with an understanding of the Company’s financial performance, which is organized into four different categories:</w:t>
      </w:r>
    </w:p>
    <w:p>
      <w:pPr>
        <w:spacing w:after="0" w:line="162"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 includes all system sales with typical lease terms of 36 months.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revenue – includes all systems sales with payment terms within 12 months.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 includes skincare, hair and other consumables payable upon receipt.</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includes extended warranty sales.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revenue by type:</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00" w:type="dxa"/>
            <w:vAlign w:val="bottom"/>
          </w:tcPr>
          <w:p>
            <w:pPr>
              <w:spacing w:after="0"/>
              <w:rPr>
                <w:sz w:val="24"/>
                <w:szCs w:val="24"/>
                <w:color w:val="auto"/>
              </w:rPr>
            </w:pPr>
          </w:p>
        </w:tc>
        <w:tc>
          <w:tcPr>
            <w:tcW w:w="28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System revenue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49,068</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58,222</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amounts were recorded at the exchange amount, which is the amount established and agreed to by the related parties. The following are transactions between the Company and parties related through employment.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2018, the Company entered into a Distribution Agreement with Technicalbiomed Co., Ltd. (“TBC”), pursuant to which TBC will distribute the Company’s products in Thailand. A former senior officer of the Company is a 30.0% shareholder of TBC. For the nine months ended September 30, 2024 and 2023, TBC purchased products in the amount of $nil and $322, respectively, under this distribution agreement. These sales are included in products and services revenue. TBC ceased being a related party as of June 2023.</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the Company made several strategic decisions to divest itself of underperforming direct sales offices and sold its share in several subsidiaries, including its 55.0% shareholding in Venus Concept Singapore Pte. Ltd. ("Venus Singapore"). On January 1, 2021, the Company entered into a distribution agreement with Aexel Biomed Pte Ltd. (“Aexel Biomed”), formerly Venus Singapore, pursuant to which Aexel Biomed will continue to distribute the Company’s products in Singapore. A former senior officer of the Company is a 45.0% shareholder of Aexel Biomed. During the nine months ended September 30, 2024 and 2023, Aexel Biomed purchased products in the amount of $nil and $122, respectively, under the distribution agreement. These sales are included in products and services revenue. Aexel Biomed ceased being a related party as of June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Bid-Price Deficiency Extension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11, 2024, the Company received a notice from Listing Qualifications Department of Nasdaq ("Nasdaq") stating that for 32 consecutive business days the Company’s common stock did not maintain a minimum closing bid price of $1.00 per share (“Minimum Bid Price Requirement”) as required for continued listing under Listing Rule 5550(a)(2).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or until October 8, 2024 (the “Initial Compliance Date”), to regain compliance with the Minimum Bid Price Requirement. The Company did not regain compliance with the Bid Price Requirement by the Initial Compliance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17, 2024, Nasdaq notified the Company that it is eligible for an additional 180 calendar day period, or until April 7, 2025, (the “Extended Compliance Date”), to regain compliance with the Bid Price Requirement. If, at any time before the Extended Compliance Date, the bid price for the Company’s common stock closes at $1.00 or more for a minimum of 10 consecutive business days as required under the Compliance Period Rule, the Staff will provide written notification to the Company that it complies with the Bid Price Requirement, unless the Staff exercises its discretion to extend this 10 day period pursuant to Nasdaq Listing Rule 5810(c)(3)(H).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does not regain compliance with the Bid Price Requirement by the Extended Compliance Date, the Staff will provide written notification to the Company that its common stock will be delisted. At that time, the Company may appeal the Staff’s delisting determination to a Nasdaq Listing Qualifications Panel (“Panel”). The Company expects that its common stock would remain listed on the Nasdaq Capital Market pending the Panel’s decision. There can be no assurance that, if the Company does appeal a delisting determination to the Panel, such appeal would be successful.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Consent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31, 2024, the Loan Parties entered into a consent agreement with the Lenders (the “Consent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Consent Agreement granted relief under the MSLP Loan Agreement, such that (i) certain minimum liquidity requirements under the MSLP Loan Agreement are waived through November 30, 2024, and (ii) permit Venus USA to apply the November 8, 2024 cash interest payment due under each Note (as defined in the Consent Agreement) to the respective outstanding principal balance of each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Eighth Bridge Loan Amendment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2024, the Loan Parties entered into an Eighth Bridge Loan Amendment Agreement with the Lenders (the “Eighth Bridge Loan Amendment”). The Eighth Bridge Loan Amendment amended the Loan and Security Agreement to, among other things, extend the maturity date of the Bridge Financing from October 31, 2024 to November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Loan Drawdown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disclosed, on April 23, 2024, the Loan Parties entered into the Loan and Security Agreement among the Bridge Financing Loan Parties, the 2024 Lenders, and Madryn, as administrative agent.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30, 2024, the 2024 Lenders agreed to provide the Bridge Borrower with a subsequent drawdown under the Loan and Security Agreement in the principal amount of $1,000,000 (the “November Drawdown”). The November Drawdown was fully funded on November 1, 2024. The Company expects to use the proceeds of the November Drawdown, after payment of transaction expenses, for general working capital purposes.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United States Private Securities Litigation Reform Act of 1995 that reflect our plans, estimates and beliefs and involve numerous risks and uncertainties, including but not limited to those described in in Part I, Item IA “Risk Factors” of our Annual Report on Form 10-K. Any statements contained in this Quarterly Report on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factors which we currently believe could have a material adverse effect on our business operations and financial performance and condition include, but are not limited to, the following risks and uncertainties:</w:t>
      </w:r>
    </w:p>
    <w:p>
      <w:pPr>
        <w:spacing w:after="0" w:line="162" w:lineRule="exact"/>
        <w:rPr>
          <w:sz w:val="20"/>
          <w:szCs w:val="20"/>
          <w:color w:val="auto"/>
        </w:rPr>
      </w:pPr>
    </w:p>
    <w:p>
      <w:pPr>
        <w:ind w:right="20" w:firstLine="8"/>
        <w:spacing w:after="0" w:line="282" w:lineRule="auto"/>
        <w:tabs>
          <w:tab w:leader="none" w:pos="2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our internal lease programs, which exposes us to the credit risk of our customers over the life of each subscription and/or Venus Prime agreement;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failure to make payments under their subscription or Venus Prime agreements;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secure third party financing due to tightened credit markets and higher interest rates;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obtain, maintain and enforce our intellectual property rights;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governmental regulation and oversight in the countries in which we operate and our ability to comply with the applicable requirements;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systems may cause or contribute to adverse medical events that could harm our reputation,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operations are located in Israel and therefore our business, financial condition and results of operations may be adversely affected by political, economic and military conditions there;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come into, and remain in, compliance with the listing requirements of the Nasdaq Capital Market;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one major contract manufacturer in Israel exposes us to supply disruptions should that facility be subject to a strike, shutdown, fire flood or other natural disaster;</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expertise and retention of management;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and/or obtain credit on favorable terms;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currency fluctuations and currency exchange rates;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disruptions;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and uncertainties, including but not limited to the Russia-Ukraine and Israel-Hamas conflicts.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are urged to consider these factors carefully in evaluating the forward-looking statements and are cautioned not to place undue reliance on these statements. The forward-looking statements are based on information available to us as of the filing date of this Quarterly Report on Form 10-Q.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Quarterly Report on Form 10-Q.</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our financial condition and results of operations and should be read together with the unaudited condensed consolidated financial statements and the notes thereto included elsewhere in this Quarterly Report on Form 10-Q for the quarter ended </w:t>
      </w:r>
      <w:r>
        <w:rPr>
          <w:rFonts w:ascii="Times New Roman" w:cs="Times New Roman" w:eastAsia="Times New Roman" w:hAnsi="Times New Roman"/>
          <w:sz w:val="18"/>
          <w:szCs w:val="18"/>
          <w:color w:val="auto"/>
        </w:rPr>
        <w:t>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our audited consolidated financial statements and notes thereto in our Annual Report on Form 10-K for the year ended </w:t>
      </w:r>
      <w:r>
        <w:rPr>
          <w:rFonts w:ascii="Times New Roman" w:cs="Times New Roman" w:eastAsia="Times New Roman" w:hAnsi="Times New Roman"/>
          <w:sz w:val="18"/>
          <w:szCs w:val="18"/>
          <w:color w:val="auto"/>
        </w:rPr>
        <w:t>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other filings we have made with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medicine, and general practitioners and aesthetic medical spas. In the three and nine months ended September 30, 2024 and 2023, respectively, a substantial majority of our systems delivered in North America were in non-traditional markets. As we grow our ARTAS hair restoration business and expand robotics offerings through the AI.ME™ platform we expect our penetration into the core practices of dermatology and plastic surgery to increase.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had recurring net operating losses and negative cash flows from operations. As of September 30, 2024 and December 31, 2023, we had an accumulated deficit of $300.9 million and $261.9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September 30, 2024 and December 31, 2023, we had cash and cash equivalents of $4.5 million and $5.4 million,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and declines in consumer confidence, and declines in economic growth. All these factors point to uncertainty about economic stability, and the severity and duration of these conditions on our business cannot be predicted.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2024, the Company announced that the Board has authorized the review of the strategic alternatives with a goal of enhancing stockholder value. There is no set timetable for the strategic review process and there can be no assurance that such review will result in any transaction or other alternative or the terms and conditions of any transaction or other alternative.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Viva®, Venus Viva® MD, Venus Legacy®, Venus Concept®, Venus Versa®, Venus Fiore®, Venus Freedom™, Venus Bliss™, Venus Bliss Max™, NeoGraft®, Venus Glow™, ARTAS®, ARTAS iX®, and AI.ME™,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During the year ended December 31, 2022, we sold to Lincoln Park 0.03 million shares of our common stock under the Equity Purchase Agreement, at which point this agreement expired. The net cash proceeds from shares issuance as of December 31, 2022 were $0.3 million. The Equity Purchase Agreement expired on July 1, 2022.</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0.05 million shares of our common stock as a commitment fee in connection with entering into the 2022 LPC Purchase Agreement, with the total value of $0.3 million. Subsequent to execution of the 2022 LPC Purchase Agreement the Company issued 0.43 million shares of common stock to Lincoln Park at an average price of $4.54 per share, for a total value of $1.97 million through December 31, 2022. During the twelve months ended December 31, 2023, the Company issued an additional 0.34 million shares of common stock to Lincoln Park at an average price of $3.23 per share, for a total value of $1.1 million. During the nine months ended September 30, 2024, the Company issued an additional 8,333 shares of common stock to Lincoln Park at an average price of $1.16 per share, for a total value of $10. No shares of our common stock were issued for the three months ended September 30, 2024. For additional information regarding the 2022 LPC Purchase Agreement, see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unaudited condensed consolidated financial statements included elsewhere in this report. The 2022 LPC Purchase Agreement expired on August 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November 18, 2022,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(deficit). The accounting effects of the 2022 Private Placement transaction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the Company entered into the 2023 Multi-Tranche Private Placement Stock Purchase Agreement with the 2023 Investors pursuant to which the Company may issue and sell to the 2023 Investors up to $9.0 million in shares of the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ectPr>
          <w:pgSz w:w="11900" w:h="16838" w:orient="portrait"/>
          <w:cols w:equalWidth="0" w:num="1">
            <w:col w:w="11240"/>
          </w:cols>
          <w:pgMar w:left="320" w:top="121" w:right="339" w:bottom="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used the proceeds of the Placements, after the payment of transaction expenses, for general working capital purposes. The accounting effects of the 2023 Multi-Tranche Private Placement transaction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X Convertible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4, 2023, the Company entered into the 2023 Exchange Agreement with the Madryn Noteholders, pursuant to which the Madryn Noteholders agreed to exchange $26.7 million in aggregate principal amount outstanding under the Notes for (i) $22.8 in aggregate principal amount of new secured convertible notes of the Company and (ii) 248,755 shares of newly-created convertible preferred stock of the Company, par value $0.0001 per share designated as "Series X Convertible Preferred Stock." The transaction is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22, 2024, the Company, entered into the SPA with the 2024 Investors, pursuant to which the Company agreed to issue and sell to the 2024 Investors (i) in a registered direct offering, an aggregate of 817,748 shares of the Company’s common stock, at a price of $1.465 per share and (ii) the "2024 Investor Warrants," at an initial exercise price of $1.34 per share. The transaction is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23, 2024, the Company entered into the Loan and Security Agreement, by and among the Bridge Borrower, the 2024 Guarantors, the 2024 Lenders and Madryn Health Partners, LP, as administrative agent. Pursuant to the Loan and Security Agreement, the 2024 Lenders have agreed to provide the Bridge Borrower with Bridge Financing in the form of a term loan in the original principal amount of $2.2 million and one or more delayed draw term loans of up to an additional principal amount of $2.8 million. On July 26, 2024 and September 11, 2024 additional delayed draws in the amounts of $1 million were made,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May 24, 2024 through September 26, 2024 the Loan Parties entered into Bridge Financing Amendments Two through Seven, which among other things, extended the maturity date to October 31, 2024, increased the delayed draw commitment from $2.8 million to $3.0 million, made interest payments payable-in-kind, deleted the net loss covenant, and granted relief from minimum liquidity requirements. These amendments are discussed in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Exchange Agreements and Series Y Convertible Preferred Stock Issuance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24, 2024, the Company entered into the 2024 Exchange Agreement with the Madryn Noteholders, pursuant to which the Madryn Noteholders agreed to exchange $52.1 million in aggregate principal amount outstanding under the Main Street Priority Loan, dated December 8, 2020, for (i) $17.1 million in aggregate principal amount of new secured convertible notes of the Company and (ii) 576,986 shares of newly-created convertible preferred stock of the Company, par value $0.0001 per share designated as "Series Y Convertible Preferred Stock." As part of the extinguishment of principal, the Company recognized a $10.9 million non-cash loss.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on September 26, 2024, the Company entered into the Second 2024 Exchange Agreement whereby the Company exchanged $17,662 of the balance outstanding under the MSLP Loan Agreement for $2,662 in aggregate principal amount outstanding under the MSLP Loan Agreement and 203,583 shares of Series Y Convertible Preferred Stock. As part of the extinguishment of principal, the Company recognized a $0.5 million non-cash loss.</w:t>
      </w:r>
    </w:p>
    <w:p>
      <w:pPr>
        <w:spacing w:after="0" w:line="174"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color w:val="auto"/>
        </w:rPr>
        <w:t xml:space="preserve">The transactions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660" w:right="20" w:hanging="315"/>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including traditional sales, Venus Prime and legacy subscription-based sales, of systems, inclusive of the main console and applicators/handpieces (referred to as system revenue);</w:t>
      </w:r>
    </w:p>
    <w:p>
      <w:pPr>
        <w:spacing w:after="0" w:line="16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and disposables;</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and</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ectPr>
          <w:pgSz w:w="11900" w:h="16838" w:orient="portrait"/>
          <w:cols w:equalWidth="0" w:num="1">
            <w:col w:w="11240"/>
          </w:cols>
          <w:pgMar w:left="320" w:top="337" w:right="339" w:bottom="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Systems are sold through traditional sales contracts, through our internal financing programs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generate revenue from traditional system sales and from sales under our internal lease programs, which are available to customers in North America and select international markets. Approximately 28% of our aesthetic system revenues were derived from our internal lease programs in the nine months ended September 30, 2024. We currently do not offer the ARTAS iX system under our internal lease programs. For additional details related to our internal lease programs, see </w:t>
      </w:r>
      <w:r>
        <w:rPr>
          <w:rFonts w:ascii="Times New Roman" w:cs="Times New Roman" w:eastAsia="Times New Roman" w:hAnsi="Times New Roman"/>
          <w:sz w:val="18"/>
          <w:szCs w:val="18"/>
          <w:i w:val="1"/>
          <w:iCs w:val="1"/>
          <w:color w:val="auto"/>
        </w:rPr>
        <w:t>Part 1, Item 1. Business</w:t>
      </w:r>
      <w:r>
        <w:rPr>
          <w:rFonts w:ascii="Times New Roman" w:cs="Times New Roman" w:eastAsia="Times New Roman" w:hAnsi="Times New Roman"/>
          <w:sz w:val="18"/>
          <w:szCs w:val="18"/>
          <w:color w:val="auto"/>
        </w:rPr>
        <w:t xml:space="preserve"> as filed in our Form 10-K for the year ended December 31,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launched its new Venus Prime program which is a structured in-house financing program replacing its legacy subscription program for customers in North America. Under our Venus Prime program, select customers can qualify for competitive financing rates and continue to benefit from the payment flexibility afforded by our previous subscription financing program when purchasing our aesthetic medical devices, as well as a seamless technology upgrade program made available to our customers in years 2 and 3 of ownership.</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Like our legacy subscription model, Venus Prime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Venus Prime requires a monthly activation code, which we provide to the customer upon receipt of the monthly payment. These recurring monthly payments provide our customers with enhanced financial transparency and predictability. This structure can provide greater flexibility than traditional equipment leases secured through financing companies. We work closely with our customers to provide business recommendations that improve the quality-of-service outcomes, build patient traffic and improve financial returns for the customer’s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developed and received regulatory clearance for twelve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heavily focused on improving and enhancing our current technologies, products, and services and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United States, we have obtained 510(k) clearance from the FDA for our Venus Viva, Venus Viva MD, Venus Legacy, Venus Versa, Venus Versa Pro, Venus Velocity, Venus Bliss, Venus Bliss Max, Venus Epileve, Venus Fiore, ARTAS, ARTAS iX and AI.ME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operated directly in 12 international markets through our 10 direct offices in the United States, Canada, Japan, Mexico, Spain, Germany, Australia, China, Hong Kong, and Israel.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for the three months ended September 30, 2024, and 2023 were $15.0 million and $17.6 million, respectively. Our revenues for the nine months ended September 30, 2024, and 2023 were $49.1 million and $58.2 million, respectively. We had a net loss attributable to the Company of $9.3 million and $9.1 million in the three months ended September 30, 2024, and 2023, respectively. We had a net loss attributable to the Company of $39.0 million and $26.4 million in the nine months ended September 30, 2024, and 2023, respectively. We had an Adjusted EBITDA loss of $5.9 million and $4.6 million for the three months ended September 30, 2024, and 2023, respectively. We had an Adjusted EBITDA loss of $15.1 million and $14.3 million for the nine months ended September 30, 2024, and 2023,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non-GAAP measure defined as net income (loss) before foreign exchange (gain) loss,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to Adjusted EBITDA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380" w:type="dxa"/>
            <w:vAlign w:val="bottom"/>
            <w:gridSpan w:val="7"/>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9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(9,302)</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(8,956)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(38,955)</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11,355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1,605</w:t>
            </w: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CEWS (1)</w:t>
            </w:r>
          </w:p>
        </w:tc>
        <w:tc>
          <w:tcPr>
            <w:tcW w:w="96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 (2)</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(5,874</w:t>
            </w:r>
            <w:r>
              <w:rPr>
                <w:rFonts w:ascii="Times New Roman" w:cs="Times New Roman" w:eastAsia="Times New Roman" w:hAnsi="Times New Roman"/>
                <w:sz w:val="24"/>
                <w:szCs w:val="24"/>
                <w:color w:val="auto"/>
                <w:vertAlign w:val="subscript"/>
              </w:rPr>
              <w:t>)</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(4,636</w:t>
            </w:r>
            <w:r>
              <w:rPr>
                <w:rFonts w:ascii="Times New Roman" w:cs="Times New Roman" w:eastAsia="Times New Roman" w:hAnsi="Times New Roman"/>
                <w:sz w:val="24"/>
                <w:szCs w:val="24"/>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80"/>
              <w:spacing w:after="0" w:line="210" w:lineRule="exact"/>
              <w:rPr>
                <w:sz w:val="20"/>
                <w:szCs w:val="20"/>
                <w:color w:val="auto"/>
              </w:rPr>
            </w:pPr>
            <w:r>
              <w:rPr>
                <w:rFonts w:ascii="Times New Roman" w:cs="Times New Roman" w:eastAsia="Times New Roman" w:hAnsi="Times New Roman"/>
                <w:sz w:val="14"/>
                <w:szCs w:val="14"/>
                <w:color w:val="auto"/>
              </w:rPr>
              <w:t>(15,134</w:t>
            </w:r>
            <w:r>
              <w:rPr>
                <w:rFonts w:ascii="Times New Roman" w:cs="Times New Roman" w:eastAsia="Times New Roman" w:hAnsi="Times New Roman"/>
                <w:sz w:val="24"/>
                <w:szCs w:val="24"/>
                <w:color w:val="auto"/>
                <w:vertAlign w:val="subscript"/>
              </w:rPr>
              <w:t>)</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55"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the Canada Revenue Agency (“CRA”) initiated an audit of the Canada Emergency Wage Subsidy Claim (“CEWS”) that the Company filed between 2020-2021. The CRA has currently assessed a denial of CEWS claims made by the Company in 2020 and requesting repayment of $418. The Company disputes the CRA assessment and intends to challenge this matter through the Tax Court or Judicial Review.</w:t>
      </w:r>
    </w:p>
    <w:p>
      <w:pPr>
        <w:spacing w:after="0" w:line="2" w:lineRule="exact"/>
        <w:rPr>
          <w:rFonts w:ascii="Times New Roman" w:cs="Times New Roman" w:eastAsia="Times New Roman" w:hAnsi="Times New Roman"/>
          <w:sz w:val="18"/>
          <w:szCs w:val="18"/>
          <w:color w:val="auto"/>
        </w:rPr>
      </w:pPr>
    </w:p>
    <w:p>
      <w:pPr>
        <w:ind w:left="980"/>
        <w:spacing w:after="0" w:line="260" w:lineRule="auto"/>
        <w:tabs>
          <w:tab w:leader="none" w:pos="12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2024 and September 30, 2023 the other adjustments are represented by restructuring activities designed to improve the Company's operations and cost structure.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systems delivered. </w:t>
      </w:r>
      <w:r>
        <w:rPr>
          <w:rFonts w:ascii="Times New Roman" w:cs="Times New Roman" w:eastAsia="Times New Roman" w:hAnsi="Times New Roman"/>
          <w:sz w:val="18"/>
          <w:szCs w:val="18"/>
          <w:color w:val="auto"/>
        </w:rPr>
        <w:t>The majority of our revenue is generated from the delivery of systems, both under traditional sales contracts and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programs. The following table sets forth the number of systems we have delivered in the geographic regions indicated:</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00" w:type="dxa"/>
            <w:vAlign w:val="bottom"/>
          </w:tcPr>
          <w:p>
            <w:pPr>
              <w:spacing w:after="0"/>
              <w:rPr>
                <w:sz w:val="20"/>
                <w:szCs w:val="20"/>
                <w:color w:val="auto"/>
              </w:rPr>
            </w:pPr>
          </w:p>
        </w:tc>
        <w:tc>
          <w:tcPr>
            <w:tcW w:w="2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4180" w:type="dxa"/>
            <w:vAlign w:val="bottom"/>
            <w:gridSpan w:val="2"/>
          </w:tcPr>
          <w:p>
            <w:pPr>
              <w:spacing w:after="0"/>
              <w:rPr>
                <w:sz w:val="18"/>
                <w:szCs w:val="18"/>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systems delivered</w:t>
            </w:r>
          </w:p>
        </w:tc>
        <w:tc>
          <w:tcPr>
            <w:tcW w:w="9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between traditional sales, distributor sales, and sales made under our internal financing programs. </w:t>
      </w:r>
      <w:r>
        <w:rPr>
          <w:rFonts w:ascii="Times New Roman" w:cs="Times New Roman" w:eastAsia="Times New Roman" w:hAnsi="Times New Roman"/>
          <w:sz w:val="18"/>
          <w:szCs w:val="18"/>
          <w:color w:val="auto"/>
        </w:rPr>
        <w:t>We deliver systems through (1) traditional 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sales contracts to customers, (2) our internal lease programs, and (3) system sales through distribution agreements. Unit deliveries under direct system sales contracts and internally financed sales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internally financed sales have similar gross margins, cash collections on sales financed under our internal financing programs generally occur over a three-year period, with approximately 40% to 45% collected in the first year and the balance collected evenly over the remaining two years of the agreement. In the third quarter of 2022 we commenced an initiative to reduce our reliance on system sales sold under our internal financing programs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Sales, Marketing and Operations. </w:t>
      </w:r>
      <w:r>
        <w:rPr>
          <w:rFonts w:ascii="Times New Roman" w:cs="Times New Roman" w:eastAsia="Times New Roman" w:hAnsi="Times New Roman"/>
          <w:sz w:val="18"/>
          <w:szCs w:val="18"/>
          <w:color w:val="auto"/>
        </w:rPr>
        <w:t>In previous years, we made a strategic decision to penetrate the global market by investing in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continue to evaluate our profitability and growth prospects in these countries and have taken and will continue to take steps to exit countries which we do not believe will produce sustainable results. Since June 2020 we have ceased direct sales operations in 14 countries across Europe, Asia Pacific, Latin America and Africa and have increased our investment in, and focus on, the United States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and nine months ended September 30, 2024, and 2023, respectively, we di</w:t>
      </w:r>
      <w:r>
        <w:rPr>
          <w:rFonts w:ascii="Times New Roman" w:cs="Times New Roman" w:eastAsia="Times New Roman" w:hAnsi="Times New Roman"/>
          <w:sz w:val="18"/>
          <w:szCs w:val="18"/>
          <w:color w:val="333333"/>
        </w:rPr>
        <w:t>d not open an</w:t>
      </w:r>
      <w:r>
        <w:rPr>
          <w:rFonts w:ascii="Times New Roman" w:cs="Times New Roman" w:eastAsia="Times New Roman" w:hAnsi="Times New Roman"/>
          <w:sz w:val="18"/>
          <w:szCs w:val="18"/>
          <w:color w:val="auto"/>
        </w:rPr>
        <w:t>y direct sales offices.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Bad Debt Expense. </w:t>
      </w:r>
      <w:r>
        <w:rPr>
          <w:rFonts w:ascii="Times New Roman" w:cs="Times New Roman" w:eastAsia="Times New Roman" w:hAnsi="Times New Roman"/>
          <w:sz w:val="18"/>
          <w:szCs w:val="18"/>
          <w:color w:val="auto"/>
        </w:rPr>
        <w:t>We maintain an allowance for expected credit losses for estimated losses that may primarily arise from customers who purchased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under our internal financing programs who are unable to make the remaining payments required under their agreements. We continue to focus our selling efforts on cash sales and internal financing customers with a stronger credit profile, thereby reducing our exposure to credit losses. We incurred a bad debt expense of $0.4 million and $0.9 million during the three and nine months ended September 30, 2024. This compares to $0.3 million and $1.2 million for the three and nine months ended September 30, 2023. As of September 30, 2024, our allowance for expected credit losses was $4.1 million which represents 16.4% of the gross outstanding accounts receivable as of this date. As of September 30, 2023, our allowance for expected credit losses was $12.8 million which represented 27.3% of the gross outstanding accounts receivable as of this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declines in consumer confidence, and a challenging growth environment. All these factors point to uncertainty about economic stability, and the severity and duration of these conditions on our business cannot be predicted. The bulk of the third quarter revenue decline was due to a significant tightening in credit markets in the U.S. and to a lesser extent international markets due to higher interest rates, impacting our customers' ability and/or desire to secure capital equipment financing. In addition, our international results were negatively affected by an acceleration of our international strategy to wind down underperforming countries as we transitioned to third party distributors. We continue to focus on quality of revenue and despite the revenue decline, our cash used in operations was $4.8 million lower, or 40%, than the same period in 2023. On a positive note, the Federal Reserve Board (Fed), the European Central Bank, the Swiss National Bank and the Bank of Canada all recently reduced interest rates in an effort to reduce the degree of restrictiveness in monetary policy, and signaling future rate cuts over the near term. We remain focused on adapting to the challenges presented by the current macro-economic environment, as well as the opportunities presented by an easing of monetary policy.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Israel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Hamas conflict</w:t>
      </w:r>
      <w:r>
        <w:rPr>
          <w:rFonts w:ascii="Times New Roman" w:cs="Times New Roman" w:eastAsia="Times New Roman" w:hAnsi="Times New Roman"/>
          <w:sz w:val="18"/>
          <w:szCs w:val="18"/>
          <w:color w:val="auto"/>
        </w:rPr>
        <w:t>. Following the October 7, 2023 attack by Hamas on Israeli citizens and the declaration of war that followed, we have taken steps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mitigate exposure to risks related to our Israeli operations, the risks of which are further described in Item 1A. Risk Factors in this Quarterly Report on Form 10-Q. These efforts include but are not limited to, working with our contract manufacturers to accelerate inventory build, contingency planning with respect to alternative manufacturing sites within their network, and relocating larger amounts of finished goods to warehouses in North America to protect our ability to distribute products. Alongside the Company's continuity plan, we maintain daily contact with our employees in Israel and have instituted a wellness program designed to provide access to healthcare practitioners/consultants for short term counselling for colleagues and family members in order to provide assistance during the conflict.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w:t>
      </w:r>
      <w:r>
        <w:rPr>
          <w:rFonts w:ascii="Times New Roman" w:cs="Times New Roman" w:eastAsia="Times New Roman" w:hAnsi="Times New Roman"/>
          <w:sz w:val="18"/>
          <w:szCs w:val="18"/>
          <w:color w:val="auto"/>
        </w:rPr>
        <w:t>We did not experience significant supply issues during the three and nine months ended September 30, 2024 as we continue to actively 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suppliers and third-party manufacturers to mitigate supply issues and build inventory of key component parts. We continued to experience some supply challenges in the third quarter of 2024 due to ongoing and intensified geopolitical disruption in the middle east impacting shipping lanes, deliveries of materials and component parts, impacting production lead times that may impact our ability to manufacture the number of systems required to meet customer demand. In addition, since the second quarter of 2021 we have experienced significant inflationary pressures throughout our supply chain, which we expect to continue throughout the rest of 2024. We continue to mitigate such pressures, where possible, through price increases and margin management.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economic conditions. </w:t>
      </w:r>
      <w:r>
        <w:rPr>
          <w:rFonts w:ascii="Times New Roman" w:cs="Times New Roman" w:eastAsia="Times New Roman" w:hAnsi="Times New Roman"/>
          <w:sz w:val="18"/>
          <w:szCs w:val="18"/>
          <w:color w:val="auto"/>
        </w:rPr>
        <w:t>General global economic downturns and macroeconomic trends, including heightened inflation, capital markets volatility,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and currency rate fluctuations, and economic slowdowns, have resulted and may continue to result in unfavorable conditions that negatively affect demand for our products and exacerbate some of the other risks that affect our business, financial condition and results of operations. Both domestic and international markets experienced significant inflationary pressures in fiscal year 2024. While inflation rates in the U.S., as well as in other countries in which we operate, are showing signs of moderation, the impact of such successive increases on cost structures remains, affecting governments, corporations and small businesses alike. Our customers have also been affected by higher inflation and higher interest rates, impacting their ability to secure third party financing or causing many of them to delay capital purchases due to high interest rates. As noted above, the Federal Reserve in the U.S. and other central banks in various countries have commenced a cycle of interest rate reductions in response to concerns about inflation and stagnant growth.</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markets. </w:t>
      </w:r>
      <w:r>
        <w:rPr>
          <w:rFonts w:ascii="Times New Roman" w:cs="Times New Roman" w:eastAsia="Times New Roman" w:hAnsi="Times New Roman"/>
          <w:sz w:val="18"/>
          <w:szCs w:val="18"/>
          <w:color w:val="auto"/>
        </w:rPr>
        <w:t>We are a global business, having established a commercial presence in more than 60 countries during our history. While the continued post-pandemic recovery remains challenging due to the coexistence of high inflation and high interest rates, we continue to evaluate our direct operations, particularly those outside of North America.</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collections. </w:t>
      </w:r>
      <w:r>
        <w:rPr>
          <w:rFonts w:ascii="Times New Roman" w:cs="Times New Roman" w:eastAsia="Times New Roman" w:hAnsi="Times New Roman"/>
          <w:sz w:val="18"/>
          <w:szCs w:val="18"/>
          <w:color w:val="auto"/>
        </w:rPr>
        <w:t>We remain fully focused on our revised credit screening practices and thereby reducing bad debt expenses.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our allowance for expected credit losses stands at $4.2 million, which represents 12.2% of the gross outstanding accounts receivable as of that date. This represents a decrease of $3.2 million or 43% from our December 31, 2023 allowance for expected credit losses balance of $7.4 million.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fluctuations. </w:t>
      </w:r>
      <w:r>
        <w:rPr>
          <w:rFonts w:ascii="Times New Roman" w:cs="Times New Roman" w:eastAsia="Times New Roman" w:hAnsi="Times New Roman"/>
          <w:sz w:val="18"/>
          <w:szCs w:val="18"/>
          <w:color w:val="auto"/>
        </w:rPr>
        <w:t>We are primarily exposed to foreign exchange risk with respect to revenues generated outside of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denominated in New Israeli Shekels, Euros, Canadian dollars, Australian dollars, Hong Kong dollars, and Mexican pesos. We manage our foreign currency exposures on a consolidated basis, which allows us to net exposures and take advantage of any natural offsets. We do not hedge our entire foreign exchange exposure and are still subject to earnings and stockholders' equity volatility relating to foreign exchange risk. Financial market and currency volatility may limit our ability to cost-effectively hedge these exposures.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(1) sales of systems through our internal financing programs, traditional system sales to customers and distributors, (2) other product revenues from the sale of ARTAS kits, Viva tips, other consumables, marketing supplies, and (3) service revenue from our extended warranty service contracts provided to existing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System 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2024, approximately 23% and 28%, respectively, of our total system revenues were derived from our internal financing programs (Venus Prime and our legacy subscription model). For the three and nine months ended September 30, 2023, approximately 31% and 30%, respectively, of our total system revenues were derived from our internal financing programs. Lease program revenues in the first nine months of 2024 have declined compared to the same period in 2023, which is in line with our strategy to prioritize cash deals over internal financing program deals in order to improve cash generation and preserve liquidity. Our internal financing programs are designed to provide a low barrier to ownership of our systems and includes an up-front fee followed by monthly payments, typically over a 36-month period. The up-front fee serves as a down payment. For accounting purposes, our internal financing programs are considered to be sales-type finance leases, where the present value of all cash flows to be received under the agreement is recognized as revenue upon shipment to the customer and achievement of the required revenue recognition criteria.</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approximately 61% and 59%, respectively, of our total system revenues were derived from traditional sales. For the three and nine months ended September 30, 2023, approximately 61% and 61%, respectively, of our total system revenues were derived from traditional sales. We continue to focus on traditional sales in line with our strategy to prioritize cash deals over internal lease program deals in order to improve cash generation and preserve liquidity.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generally demand higher discounts in connection with traditional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grant rights of return or early termination rights to our customers under either our traditional sales or internal lease programs. These traditional sales are generally made through our sales team in the countries in which the team operates.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2024, approximately 16% and 13%, respectively, of our total system revenues were derived from distributor sales. For the three and nine months ended September 30, 2023, approximately 8% and 9% of our total system revenues were derived from distributor sales. The increase in distributor sales as a percentage of total system revenues is in line with the Company's focus of driving international growth through strong distributor partnerships.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and are accounted for using the sell-in method.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Procedure Based Revenue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Product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generate revenue from our customer base by selling Viva tips, Glide (a cooling/conductive gel which is required for use with many of our systems), marketing supplies and kits, various consumables and disposables, replacement applicators and handpieces, and ARTAS system training.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ancillary revenue from our existing customers by selling additional services including extended warranty service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 as well as clinical training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and administrative costs primarily consist of expenses associated with our executive, accounting and finance, information technology, legal, regulatory affairs, quality assurance and human resource departments, direct office rent/facilities costs, and intellectual property portfolio management. These expenses consist of personnel-related expenses (primarily salaries, benefits, incentive compensation and stock-based compensation), audit fees, legal fees, consultants, travel, insurance, and expected credit losses. During the normal course of operations, we may incur expected credit losses on accounts receivable balances that are deemed to be uncollectible.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costs primarily consist of personnel-related costs (primarily salaries, benefits, incentive compensation, and stock-based compensation), material costs, amortization of intangible assets,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expect our research and development expenses to increase in absolute dollars as we continue to invest in research, clinical studies, and development activities, but to decline as a percentage of revenue as our revenue increases over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expenses consist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8.35% for the MSLP Loan (now owned by Madryn), 13.97% for the Madryn Notes, and 13.60% for the 2024 Notes as of September 30, 2024 and 8.71% for the MSLP Loan and 14.03% for the Notes as of December 31, 2023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exchange loss changes reflect foreign exchange gains or losses related to the change in value of assets and liabilities denominated in currencies other than the U.S. dollar.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Debt Extinguishment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Loss on Debt Extinguishment is due to the May 2024 exchange of $52.1 million in aggregate principal amount outstanding under the MSLP Loan Agreement for $17.1 million in aggregate principal of New Secured Notes and 576,986 shares of Series Y Convertible Preferred Stock. As part of the May 2024 extinguishment of principal, the Company recognized a $10.9 million non-cash loss. Additionally, in September 2024 the Company exchanged $15.0 million in aggregate principal of New Secured Notes for 203,583 shares of Series Y Convertible Preferred Stock. As part of the September 2024 extinguishment of principal, the Company recognized a $0.5 million non-cash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 Expense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 Income tax (benefit) expense is recognized based on the actual taxable income or loss incurred during the three and nine months ended September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in U.S. dollars and as a percentage of revenues for the periods indicated: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00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09"/>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tc>
        <w:tc>
          <w:tcPr>
            <w:tcW w:w="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i w:val="1"/>
                <w:iCs w:val="1"/>
                <w:color w:val="auto"/>
                <w:w w:val="99"/>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38,336</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33,417</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0" w:type="dxa"/>
            <w:vAlign w:val="bottom"/>
            <w:shd w:val="clear" w:color="auto" w:fill="CCEEFF"/>
          </w:tcPr>
          <w:p>
            <w:pPr>
              <w:spacing w:after="0"/>
              <w:rPr>
                <w:sz w:val="5"/>
                <w:szCs w:val="5"/>
                <w:color w:val="auto"/>
              </w:rPr>
            </w:pPr>
          </w:p>
        </w:tc>
        <w:tc>
          <w:tcPr>
            <w:tcW w:w="32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23,319</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(7,157)</w:t>
            </w: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(6,762)</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(20,513)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(9,333)</w:t>
            </w: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(9,277)</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(38,808)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(9,302)</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(8,956)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(38,955)</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(25,900)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3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(9,286)</w:t>
            </w:r>
          </w:p>
        </w:tc>
        <w:tc>
          <w:tcPr>
            <w:tcW w:w="420" w:type="dxa"/>
            <w:vAlign w:val="bottom"/>
          </w:tcPr>
          <w:p>
            <w:pPr>
              <w:spacing w:after="0"/>
              <w:rPr>
                <w:sz w:val="17"/>
                <w:szCs w:val="17"/>
                <w:color w:val="auto"/>
              </w:rPr>
            </w:pPr>
          </w:p>
        </w:tc>
        <w:tc>
          <w:tcPr>
            <w:tcW w:w="11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(9,068)</w:t>
            </w:r>
          </w:p>
        </w:tc>
        <w:tc>
          <w:tcPr>
            <w:tcW w:w="420" w:type="dxa"/>
            <w:vAlign w:val="bottom"/>
          </w:tcPr>
          <w:p>
            <w:pPr>
              <w:spacing w:after="0"/>
              <w:rPr>
                <w:sz w:val="17"/>
                <w:szCs w:val="17"/>
                <w:color w:val="auto"/>
              </w:rPr>
            </w:pPr>
          </w:p>
        </w:tc>
        <w:tc>
          <w:tcPr>
            <w:tcW w:w="11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(39,031)</w:t>
            </w:r>
          </w:p>
        </w:tc>
        <w:tc>
          <w:tcPr>
            <w:tcW w:w="42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(26,134)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 w:type="dxa"/>
            <w:vAlign w:val="bottom"/>
            <w:vMerge w:val="continue"/>
          </w:tcPr>
          <w:p>
            <w:pPr>
              <w:spacing w:after="0"/>
              <w:rPr>
                <w:sz w:val="16"/>
                <w:szCs w:val="16"/>
                <w:color w:val="auto"/>
              </w:rPr>
            </w:pPr>
          </w:p>
        </w:tc>
        <w:tc>
          <w:tcPr>
            <w:tcW w:w="39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(loss) income attributable to non-controlling</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interest</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39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 % of revenue:</w:t>
            </w: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4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(52.7)</w:t>
            </w:r>
          </w:p>
        </w:tc>
        <w:tc>
          <w:tcPr>
            <w:tcW w:w="4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w:t>
            </w:r>
          </w:p>
        </w:tc>
        <w:tc>
          <w:tcPr>
            <w:tcW w:w="4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tables set forth our revenue by region and by product type for the periods indicated: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8"/>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region: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2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2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58,222</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8"/>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product: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Products—Other (1)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2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58,222</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Products-Other include ARTAS procedure kits, Viva tips, Glide and other consumables.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0"/>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(1,684)</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(2,609)</w:t>
            </w:r>
          </w:p>
        </w:tc>
        <w:tc>
          <w:tcPr>
            <w:tcW w:w="3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decreased by $2.6 million, or 14.8%, to $15.0 million for the three months ended September 30, 2024 from $17.6 million for the three months ended September 30, 2023. The decrease in revenue is primarily attributed to the effects of tighter third-party lending practices which negatively impacted capital equipment sales in the U.S. and an acceleration in exiting unprofitable direct markets, partially offset by an improvement in third party international distributor revenues. Despite the challenging credit environment in the U.S. market our focus on quality of revenue continues to have a positive effect on our cash burn rate. Our cash used in operations in the first nine months of 2024 was 40% less than the same period in 2023.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sold an aggregate of 253 systems in the three months ended September 30, 2024 compared to 254 systems in the three months ended September 30, 2023. Despite comparable system unit sales, revenues for the third quarter of 2024 were below 2023 revenues for the same period due to a strong recovery in international distributor sales during the quarter, which are sold at lower average selling prices. The percentage of systems revenue derived from our internal lease programs was approximately 23% and 31% during the three months ended September 30, 2024 and 2023, respectively. The decrease in systems revenues percentage is in line with our strategy to prioritize cash deals over internal financing program deals in order to improve cash generation and preserve liquidity. Specific to the U.S. market, systems revenue derived from our internal lease programs was approximately 24% and 30% during the three months ended September 30, 2024 and 2023, respectively. The Company remains steadfast in ensuring that its in-house financing program accepts only qualified customers in order to minimize future credit losses, often at the expense of topline revenue.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product revenue was $2.7 million in the three months ended September 30, 2024 which remained essentially flat compared to product revenue in the three months ended September 30,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revenue was $0.7 million in the three months ended September 30, 2024,compared to $0.9 million in the three months ended September 30, 2023. The decrease is primarily due to the over all decline in device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 and Gross Profit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goods sold decreased by $0.3 million, or 6.3%, to $5.1 million in the three months ended September 30, 2024, compared to $5.4 million in the three months ended September 30, 2023. Gross profit decreased by $2.3 million, or 18.6%, to $9.9 million in the three months ended September 30, 2024, compared to $12.2 million in the three months ended September 30, 2023. The decrease in gross profit is primarily due to the effects of tighter third party lending practices which negatively impacted capital equipment sales in the U.S., and a decrease in revenue in our international markets driven by the accelerated exit from unprofitable direct markets, partially offset by an improvement in third party international distributor revenues. Gross margin was 66.1% of revenue in the three months ended September 30, 2024, compared to 69.2% of revenue in the three months ended September 30, 2023. The decrease in gross margin is attributable to a decrease in U.S. revenues, partially offset by an improvement in international distributor revenues. Our margins on distributor revenues are slightly less than margins in our direct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ectPr>
          <w:pgSz w:w="11900" w:h="16838" w:orient="portrait"/>
          <w:cols w:equalWidth="0" w:num="1">
            <w:col w:w="11240"/>
          </w:cols>
          <w:pgMar w:left="320" w:top="108" w:right="339" w:bottom="0" w:gutter="0" w:footer="0" w:header="0"/>
        </w:sectPr>
      </w:pPr>
    </w:p>
    <w:bookmarkStart w:id="46" w:name="page47"/>
    <w:bookmarkEnd w:id="46"/>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(1,869)</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decreased by $0.3 million or 3.7% in the three months ended September 30, 2024 compared to the three months ended September 30, 2023. This decrease is largely due to lower revenues and reduced activities as we exited unprofitable direct markets, and the effects of tighter third party lending practices which negatively impacted capital equipment sales in the U.S. As a percentage of total revenues, our selling and marketing expenses increased by 5.1, from 39.2% in the three months ended September 30, 2023 to 44.3% in the three months ended September 30, 2024. As the business environment improves, we expect sales and marketing expenses to increase in absolute terms, but at a rate slightly below our rate of revenue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$1.4 million or 13.7% in the three months ended September 30, 2024 compared to the three months ended September 30, 2023, primarily due to reduced bad debt expense and savings from exiting certain unprofitable direct markets, lower restructuring costs, partially offset by inflationary pressures associated with salaries and other cost elements. As a percentage of total revenues, our general and administrative expenses increased by 0.8%, from 57.4% in the three months ended September 30, 2023, to 58.2% in the three months ended September 30, 2024, primarily due to the decrease in year over year total revenues.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$0.2 million or 12.1% in the three months ended September 30, 2024 compared to the three months ended September 30, 2023. We experienced cost savings through the consolidation of activities between our Israel and United States sites, partially offset by a reinvestment in research and development efforts directed at scaling our robotic technology across other aesthetic platforms. As a percentage of total revenues, our research and development expenses increased by 0.4%, from 10.9% in the three months ended September 30, 2023, to 11.3% in the three months ended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$0.1 million of foreign exchange loss in the three months ended September 30, 2024 and foreign exchange loss of $0.9 million in the three months ended September 30, 2023. It decreased by $0.9 million in the three months ended September 30, 2024 compared to the three months ended September 30, 2023. Changes in foreign exchange are driven mainly by the effect of foreign exchange on accounts receivable balances denominated in currencies other than the U.S. dollar. We do not currently hedge against foreign currency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expenses remained steady at $1.7 million for the three months ended September 30, 2024, compared to $1.6 million in the three months ended September 30,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 Expense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an income tax benefit of $0.03 million in the three months ended September 30, 2024 compared to a $0.3 million income tax benefit in the three months ended September 30, 2023. The tax provision is driven by profitable sales and the actual effective tax rates where the sale took place or losses were incurred. In 2024, we had changes in timing of deductible expenses and tax accrual reversals in specific judications, which resulted in $.03 million of income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(3,708)</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(5,192)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(9,154)</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revenue decreased by $9.2 million, or 15.7%, to $49.1 million for the nine months ended September 30, 2024 from $58.2 million for the nine months ended September 30, 2023. The decrease in revenue is primarily attributed to an acceleration in exiting unprofitable direct markets, and an initiative to reduce our reliance on system sales sold under our lease programs, and the effects of tighter third party lending practices which negatively impacted capital equipment sales in both U.S. and international. These initiatives are designed to improve cash generation and reduce our exposure to defaults and increased bad debt expense given the increasingly challenging economic environment caused by the coexistence of high inflation and high interest rates. Despite the reduction in systems sales sold under our lease programs, our cash used in operations decreased by $4.8 million, or 40% versus the nine months ended September 30, 2023.</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sold an aggregate of 790 systems in the nine months ended September 30, 2024 compared to 909 systems in the nine months ended September 30, 2023. The percentage of systems revenue derived from our internal lease programs was approximately 28% and 24% during the nine months ended September 30, 2024 and 2023. The relative increase in lease revenues is attributable to softness in traditional sales primarily due to tighter third party lending practices that had a greater negative impact on our more expensive ARTAS device sales during this period. We remain committed to limiting lease revenues to approximately 30% of total systems revenues, in line with our strategy to prioritize cash deals in order to improve cash generation and preserve liquidity. Specific to the U.S. market, systems revenue derived from our lease programs was approximately 30% and 24% during the nine months ended September 30, 2024 and 2023,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product revenue decreased by $0.1 million, or 0.9%, to $7.9 million in the nine months ended September 30, 2024 compared to $8.0 million in the nine months ended September 30, 2023. This reduction is in line with the overall revenue decline during the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revenue decreased by $0.2 million, or 7.1%, to $2.4 million in the nine months ended September 30, 2024, compared to $2.6 million in the nine months ended September 30, 2023. The decrease was in line with the overall revenue decline during the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 and Gross Profit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goods sold decreased by $2.4 million, or 13.3%, to $15.7 million in the nine months ended September 30, 2024, compared to $18.1 million in the nine months ended September 30, 2023. Gross profit decreased by $6.7 million, or 16.7%, to $33.4 million in the nine months ended September 30, 2024, compared to $40.1 million in the nine months ended September 30, 2023. The decrease in gross profit is primarily due to a decrease in revenue in our international markets driven by the accelerated exit from unprofitable direct markets as discussed above and the effects of tighter third party lending practices which negatively impacted capital equipment sales in both the U.S. and international markets, partially offset by an improvement in international distributor revenues during the period. Gross margin was 68.1% of revenue in the nine months ended September 30, 2024, compared to 68.9% of revenue in the nine months ended September 30, 2023. The modest decrease is primarily due to an improvement in international distributor revenues during the period, consistent with our strategy to exit certain unprofitable direct markets.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(2,243)</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(1,313)</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(6,849)</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decreased by $2.2 million or 9.6% in the nine months ended September 30, 2024 compared to the nine months ended September 30, 2023. This decrease is largely due to lower revenues and reduced activities as we exited unprofitable direct markets, and the effects of tighter third party lending practices which negatively impacted capital equipment sales in both the U.S. and international. As a percentage of total revenues, our selling and marketing expenses increased by 2.9%, from 40.1% in the nine months ended September 30, 2023 to 43% in the nine months ended September 30, 2024. As the business environment improves, we expect sales and marketing expenses to increase in absolute terms, but at a rate slightly below our rate of revenue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$3.3 million or 10.6% in the nine months ended September 30, 2024 compared to the nine months ended September 30, 2023, primarily due to reduced bad debt expense, savings from exiting certain unprofitable direct markets, lower restructuring costs, partially offset by inflationary pressures associated with salaries and other cost elements. As a percentage of total revenues, our general and administrative expenses increased by 3.2%, from 53.1% in the nine months ended September 30, 2023, to 56.3% in the nine months ended September 30, 2024, primarily due to the decrease in year over year total revenues.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$1.3 million or 20.1% in the nine months ended September 30, 2024 compared to the nine months ended September 30, 2023. We experienced significant cost savings through the consolidation of activities between our Israel and United States sites, partially offset by a reinvestment in research and development efforts directed at scaling our robotic technology across other aesthetic platforms. As a percentage of total revenues, our research and development expenses decreased by 0.6%, from 11.2% in the nine months ended September 30, 2023, to 10.6% in the nine months ended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$1.2 million of foreign exchange loss in the nine months ended September 30, 2024 and foreign exchange loss of $0.4 million in the nine months ended September 30, 2023 a variance of $0.8 million year over year. Changes in foreign exchange are driven mainly by the effects of foreign exchange on accounts receivable balances denominated in currencies other than the U.S. dollar. We do not currently hedge against foreign currency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expenses increased by $1.1 million or 23.4%, to $5.8 million in the nine months ended September 30, 2024, compared to $4.7 million in the nine months ended September 30, 2023, mostly due to an increase in SOFR rates under Madryn New Secured Notes (formerly “MSLP Loan Agreement”) and expense associated with unamortized issuance costs under the MSLP Loan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 Expense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an income tax expense of $0.1 million in the nine months ended September 30, 2024 compared to a $0.1 million income tax expense in the nine months ended September 30, 2023. The tax provision is driven by profitable sales and the actual effective tax rates where the sale took place or losses were incurred. In 2024, we had changes in timing of deductible expenses and taxable income in specific judications, which resulted in $0.1 million of income tax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had $4.5 million and $5.4 million of cash and cash equivalents as of September 30, 2024, and December 31, 2023, respectively. We have funded our operations with cash generated from operating activities, through the sale of equity securities and through debt financing. We had total debt obligations of approximately $34.6 million as of September 30, 2024, including the MSLP Loan of $2.7 million, convertible notes of $26.2 million, and a note payable (bridge financing) of $4.4 million compared to total debt obligations of approximately $74.9 million as of December 31, 2023. Cash used in operating activities during the nine months ended September 30, 2024 was $7.3 million, representing a 39.9% reduction compared to the nine months ended September 30, 2023. Working capital is primarily impacted by the ratio of our internal lease program sales (Venus Prime sales and legacy subscription-based sales) to traditional cash sales. Our recent shift to prioritize traditional cash sales over internal lease program sales is designed to improve liquidity and reduce working capital requirements over time. Our expanding product portfolio may require higher inventory levels to meet demand and to accommodate the increased number of technology platforms offered. We had a split of lease program revenue to traditional sales revenue at a ratio of approximately 32:68 in the nine months ended September 30, 2024, compared to 33:67 in the nine months ended September 30, 2023. We expect the ratio of lease program sales to traditional sales in 2024 and beyond to approximate a 30:70 split. We expect inventory to remain relatively flat in the short term but increase at a lower rate than the rate of revenue growth over the longer term.</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 but do not expect to incur such costs over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Secured Subordinated Convertible Notes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Contemporaneously with the MSLP Loan Agreement, on December 9, 2020, we issued $26.7 million aggregate principal amount of the Notes to the Madryn Noteholders pursuant to the terms of the Exchange Agreement. The Notes accrued interest at a rate of 8.0% per annum from the date of original issuance of the Notes to the third anniversary date of the original issuance and thereafter interest accrued at a rate of 6.0% per annum. In connection with the Exchange Agreement, we also entered into (i) the Madryn Loan and Security Agreement, pursuant to which we agreed to grant Madryn a security interest, in substantially all of our assets, to secure the obligations under the Notes and (ii) the CNB Subordination Agreement. The Notes were convertible at any time into shares of our common stock at an initial conversion price of $48.75 per share, subject to adjustment. For additional information regarding the Notes, Exchange Agreement, Madryn Loan and Security Agreement and CNB Subordination Agreement, see Note 11 “</w:t>
      </w:r>
      <w:r>
        <w:rPr>
          <w:rFonts w:ascii="Times New Roman" w:cs="Times New Roman" w:eastAsia="Times New Roman" w:hAnsi="Times New Roman"/>
          <w:sz w:val="18"/>
          <w:szCs w:val="18"/>
          <w:i w:val="1"/>
          <w:iCs w:val="1"/>
          <w:color w:val="auto"/>
        </w:rPr>
        <w:t>Madryn Long-Term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to our unaudited condensed consolidated financial statements included elsewhere in this report. On October 4, 2023,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the 2023 Exchange Agreement with the Madryn Noteholders, pursuant to which the Madryn Noteholders agreed to exchange $26.7 million in aggregate principal amount outstanding under the Notes for (i) $22.8 million in the New Notes, and (ii) 248,755 shares of Series X Convertible Preferred Stock. The New Notes accrued interest, payable in kind on a quarterly basis, at an annual rate of 90-day Adjusted SOFR + 8.5% and are convertible at any time into shares of our common stock at an initial conversion price of $24 per share, subject to adjustment.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 Street Priority Lending Program 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On October 4, 2023, the Company, Venus USA, Venus Canada, and Venus Ltd. entered into the MSLP Loan Modification, which modified certain terms of the MSLP Loan Agreement. On April 23, 2024, the MSLP Loan was purchased by Madryn for an undisclosed amount from CNB with the consent of the Company. On May 24, 2024, the Lenders agreed to exchange $52.1 million in aggregate principal amount outstanding for $17.1 million in aggregate principal amount of new secured notes and 576,986 shares of newly-created Series Y Convertible Preferred Stock. On September 26, 2024, the Lenders agreed to another exchange of $17.7 million in aggregate principal amount outstanding for $2.7 million in aggregate principal of remaining secured notes and 203,583 shares of Series Y Convertible Preferred Stock. From June 21, 2024 through September 26, 2024, the Company entered into multiple Amendment and Consent Agreements with Madryn to, among other things, modify interest payments to be payable-in-kind, grant relief from the Minimum Deposit Relationship obligations and minimum liquidity requirements, and delete the net</w:t>
      </w:r>
    </w:p>
    <w:p>
      <w:pPr>
        <w:sectPr>
          <w:pgSz w:w="11900" w:h="16838" w:orient="portrait"/>
          <w:cols w:equalWidth="0" w:num="1">
            <w:col w:w="11240"/>
          </w:cols>
          <w:pgMar w:left="320" w:top="121" w:right="339" w:bottom="0" w:gutter="0" w:footer="0" w:header="0"/>
        </w:sectPr>
      </w:pPr>
    </w:p>
    <w:bookmarkStart w:id="50" w:name="page51"/>
    <w:bookmarkEnd w:id="50"/>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loss covenant. See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to our unaudited condensed consolidated financial statements included elsewhere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CNB Loan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had a revolving credit facility with CNB pursuant to which CNB agreed to provide a revolving credit facility to us and certain of our subsidiaries to be used to finance working capital requirements. This revolving credit facility expired on July 24, 2023 and has not been renewed. See Note 12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Facility" </w:t>
      </w:r>
      <w:r>
        <w:rPr>
          <w:rFonts w:ascii="Times New Roman" w:cs="Times New Roman" w:eastAsia="Times New Roman" w:hAnsi="Times New Roman"/>
          <w:sz w:val="18"/>
          <w:szCs w:val="18"/>
          <w:color w:val="auto"/>
        </w:rPr>
        <w:t>to our unaudited condensed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EW Convertible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entered into the Note Purchase Agreement with the EW Investors. Pursuant to the Note Purchase Agreement, the Company issued and sold to the EW Investors $2.0 million aggregate principal value of the 2024 Notes. The 2024 Notes accrue interest at a rate equal to the 90-day adjusted term Secured Overnight Financing Rate (SOFR) plus 8.50% per annum; provided, however, that if there is an Event of Default (as defined below), the then-applicable interest rate will increase by 4.00% per annum. In connection with the Note Purchase Agreement, the Company entered into the EW Security Agreement pursuant to which, the Company granted to the EW Investors a security interest in substantially all of their assets to secure the obligations under the 2024 Notes. The 2024 Notes were convertible at any time into shares of our common stock at an initial conversion price of $1.251 per share, subject to adjustment.</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regarding the 2024 Notes, Note Purchase Agreement, and EW Security Agreement, see Note 13 “</w:t>
      </w:r>
      <w:r>
        <w:rPr>
          <w:rFonts w:ascii="Times New Roman" w:cs="Times New Roman" w:eastAsia="Times New Roman" w:hAnsi="Times New Roman"/>
          <w:sz w:val="18"/>
          <w:szCs w:val="18"/>
          <w:i w:val="1"/>
          <w:iCs w:val="1"/>
          <w:color w:val="auto"/>
        </w:rPr>
        <w:t>EW Convertible Notes</w:t>
      </w:r>
      <w:r>
        <w:rPr>
          <w:rFonts w:ascii="Times New Roman" w:cs="Times New Roman" w:eastAsia="Times New Roman" w:hAnsi="Times New Roman"/>
          <w:sz w:val="18"/>
          <w:szCs w:val="18"/>
          <w:color w:val="auto"/>
        </w:rPr>
        <w:t>” to our unaudited condensed consolidated financial statements included elsewhere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April 23, 2024, the Company entered into the Loan and Security Agreement, by and among the Bridge Borrower, the 2024 Guarantors, the 2024 Lenders and Madryn Health Partners, LP, as administrative agent. Pursuant to the Loan and Security Agreement, the 2024 Lenders have agreed to provide the Bridge Borrower with Bridge Financing in the form of a term loan in the original principal amount of $2.2 million and one or more delayed draw term loans of up to an additional principal amount of $2.8 million. On September 26, 2024, there were two additional drawdowns totaling $2 million under the Seventh Bridge Loan Amendment Agreement, and the Company and Lenders agreed to, among other things, extend the maturity date to October 31, 2024 and increase the delayed draw amount from $2.8 million to $3 million. The transaction is discussed in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$59.6325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Listing Rules). Also, at no time may Lincoln Park (together with its affiliates) beneficially own more than 9.99% of our issued and outstanding common stock. Concurrently with entering into the Equity Purchase Agreement, we also entered into a Registration Rights Agreement with Lincoln Park. The Equity Purchase Agreement expired on July 1, 2022.</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0.05 million shares of our common stock as a commitment fee in connection with entering into the 2022 LPC Purchase Agreement, with the total value of $0.3 million. Through December 31, 2023 we issued an additional 0.78 million shares of common stock to Lincoln Park at an average price of $3.97 per share, for a total proceeds value of $3.1 million since entering into the Purchase Agreement. During the nine months ended September 30, 2024, the Company issued an additional 8,333 shares of common stock to Lincoln Park at an average price of $1.16 per share, for a total value of $10. For additional information regarding the 2022 LPC Purchase Agreement, see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to our unaudited condensed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2022, we consummated the 2022 Private Placement whereby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(deficit). The accounting effects of the 2022 Private Placement transaction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we entered into the 2023 Multi-Tranche Private Placement Stock Purchase Agreement, with the 2023 Investors pursuant to which the Company may issue and sell to the 2023 Investors up to $9.0 million in shares of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 The Company expects to use the proceeds of the Placements, after the payment of transaction expenses, for general working capital purposes. The accounting effects of the 2023 Multi-Tranche Private Placement transactions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unaudited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22, 2024, the Company, entered into the SPA with the 2024 Investors, pursuant to which the Company agreed to issue and sell to the 2024 Investors (i) in a registered direct offering, an aggregate of 817,748 shares of the Company’s common stock, at a price of $1.465 per share and (ii) in a concurrent private placement, warrants to acquire up to an aggregate of 817,748 shares of common stock, at an initial exercise price of $1.34 per share. H.C. Wainwright &amp; Co., LLC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57,242 shares of common stock (the “Placement Agent Warrants”). The Placement Agent Warrants are similar to the 2024 Investor Warrants, except that the initial exercise price of the Placement Agent Warrants is $1.8313 per share. The transaction is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we had capital resources consisting of cash and cash equivalents of $4.5 million. We have financed our operations principally through the issuance and sale of our common stock and preferred stock, debt financing, and payments from customers.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net proceeds from the Madryn Loan and Security Agreement, the Registered Direct Offering, the 2024 Note, the 2023 Multi-Tranche Private Placement, the 2022 Private Placement, the proceeds from issuance of our common stock to Lincoln Park, the proceeds from the MSLP Loan, our strategic cash flow enhancement initiatives, our initiatives to pursue strategic alternatives, together with our existing cash and cash equivalents, will enable us to fund our operating expenses and capital expenditure requirements for at least the next 12 months. We can provide no assurances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pacing w:after="0" w:line="162" w:lineRule="exact"/>
        <w:rPr>
          <w:sz w:val="20"/>
          <w:szCs w:val="20"/>
          <w:color w:val="auto"/>
        </w:rPr>
      </w:pPr>
    </w:p>
    <w:p>
      <w:pPr>
        <w:ind w:left="660" w:hanging="315"/>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efforts to develop system product enhancements or new products, including any clinical trials that may be required to market such enhancements;</w:t>
      </w:r>
    </w:p>
    <w:p>
      <w:pPr>
        <w:spacing w:after="0" w:line="16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restricted by covenants in the MSLP Loan, EW Security Agreement, and the Madryn Loan and Security Agreement. These covenants restrict, among other things, our ability to incur additional indebtedness, which may limit our ability to obtain additional debt financing. In the event that the current macroeconomic headwinds continue to cause or present disruptions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including long-term funding requirements, will depend on many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growing our ongoing commercialization and sales and marketing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maintaining enough inventories of our systems to meet anticipated demand and inventory write-offs related to obsolete products or components;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enhancing the existing functionality and development of new functionalities for our systems;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defending, and enforcing patent claims and other patent related costs, including litigation costs and the results of such litigation;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and the costs associated with defending them or the results of such lawsuits;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business and maintaining subsidiaries and other entities in foreign jurisdictions;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 jurisdictions where our systems are not approved delaying their purchase, and not purchasing our systems, until they are approved or cleared for use in their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attract and retain personnel with the skills required for effective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Cash provided by financing activities</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(7,259)</w:t>
            </w:r>
          </w:p>
        </w:tc>
        <w:tc>
          <w:tcPr>
            <w:tcW w:w="58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(12,085)</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60" w:type="dxa"/>
            <w:vAlign w:val="bottom"/>
          </w:tcPr>
          <w:p>
            <w:pPr>
              <w:spacing w:after="0"/>
              <w:rPr>
                <w:sz w:val="20"/>
                <w:szCs w:val="20"/>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620" w:space="720"/>
            <w:col w:w="3900"/>
          </w:cols>
          <w:pgMar w:left="320" w:top="121" w:right="339" w:bottom="1440" w:gutter="0" w:footer="0" w:header="0"/>
        </w:sectPr>
      </w:pP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2024, cash used in operating activities consisted of a net loss of $39.0 million, partially offset by decreases in net operating assets of $10.9 million and non-cash operating expenses of $20.8 million. The use of cash in net operating assets was attributable to a decrease in accrued expenses and other current liabilities of $1.6 million, a decrease in trade payables of $1.6 million, a decrease in unearned interest income of $0.8 million, and a decrease in long-term operating lease liabilities of $0.8 million. These were offset by a decrease in accounts receivable of $9.9 million, a decrease in inventories of $3.2 million, a decrease in advances to suppliers of $1.1 million, a decrease in other current assets of $0.7 million, and a decrease in operating right-of-use assets of $0.9 million. The non-cash operating expenses consisted of provision for expected credit losses of $0.9 million, a loss on extinguishment of debt of 11.4 million, depreciation and amortization of $2.9 million, stock-based compensation expense of $0.8 million, provision for inventory obsolescence of $1.0 million, and finance expenses and accretion of $4.2 million.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2023, cash used in operating activities consisted of a net loss of $25.9 million, partially offset by decreases in net operating assets of $6.1 million and non-cash operating expenses of $7.7 million. The increase of cash from net operating assets was attributable to a decrease in accrued expenses and other current liabilities of $4.5 million, a decrease in unearned interest income of $1.0 million, a decrease in long-term operating lease liabilities of $1.0 million, and a decrease in trade payables of $0.9 million. These were offset by a decrease in accounts receivable of $11.1 million, a decrease in operating right-of-use assets, net of $1.2 million, and a decrease in other current assets of $1.3 million. The non-cash operating expenses consisted of provision for expected credit losses of $1.3 million, depreciation and amortization of $3.0 million, finance expenses and accretion of $1.3 million, stock-based compensation expense of $1.2 million, and provision for inventory obsolescence of $0.8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nine months ended September 30, 2024, cash used in investing activities consisted of $0.04 million for the purchase of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nine months ended September 30, 2023, cash used in investing activities consisted of $0.1 million for the purchase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2024, cash used in financing activities primarily consisted of net proceeds from the 2024 Registered Direct Offering of shares and warrants of $1.0 million, net proceeds from the 2024 Convertible Notes issued to EW of $1.6 million, and proceeds from the short-term bridge financing by Madryn of $3.9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2023, cash used in financing activities primarily consisted of net proceeds from the issuance of shares of common stock to Lincoln Park of $1.1 million and net proceeds from the 2023 Multi-Tranche Private Placement of $4.5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premises and those of our subsidiaries are leased under various operating lease agreements, which expire on various dates.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had non-cancellable purchase orders placed with our contract manufacturers in the amount of $11.7 million. In addition, as of September 30, 2024, we had $2.3 million of open purchase orders that can be cancelled with 270 days’ notice.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2024, which represent material expected or contractually committed future obligations.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2 to 3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4 to 5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 including interest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37,865</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an additional description of our commitments 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unaudited condensed consolidated financial statements included elsewhere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currently engage in off-balance sheet financing arrangements. In addition, we do not have any interest in entities referred to as variable interest entities, which includes special purpose entities and other structured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the audited consolidated financial statements included in our Annual Report filed on Form 10-K for the year ended December 31, 2023. We believe that the assumptions and estimates associated with revenue recognition, long-term receivables, allowance for expected credit losses, warranty accrual, and stock-based compensation have the most significant impact on our consolidated financial statements, and therefore, we consider these to be our critical accounting policies and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(1) sales of systems through our internal lease programs, in accordance with ASC 842, "Leases" ("ASC 842"), traditional system sales to customers and distributors, (2) other product revenues from the sale of ARTAS procedure kits, marketing supplies and kits, consumables and (3) our extended warranty service contracts provided to existing customers.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revenues on other products and services in accordance with ASC 606, "Revenue from Contracts with Customers"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revenue net of sales tax and shipping and handling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Long-term receivables relate to our internal lease programs revenue or contracts which stipulate payment terms which exceed one year. They are comprised of the unpaid principal balance, net of the allowance for expected credit losses. These receivables have been discounted based on the implicit interest rate in the subscription lease which range between 8% and 10% for the nine months ended September 30, 2024 and 8% and 10% for the nine months ended September 30, 2023. Unearned interest revenue represents the interest only portion of the respective lease program payments and will be recognized in income over the respective payment term as it is earned.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expected credit losses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offer a one year warranty for all our systems against defects.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w:t>
      </w:r>
    </w:p>
    <w:p>
      <w:pPr>
        <w:sectPr>
          <w:pgSz w:w="11900" w:h="16859" w:orient="portrait"/>
          <w:cols w:equalWidth="0" w:num="1">
            <w:col w:w="11240"/>
          </w:cols>
          <w:pgMar w:left="320" w:top="121" w:right="339" w:bottom="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stock-based compensation costs in accordance with the accounting standards for stock-based compensation, which require that all stock based payments to employees be recognized in the unaudited condensed consolidated statements of operations based on their fair values.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 the unaudited condensed consolidated statement of operations as they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2024,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September 30,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three and nine months ended September 30, 2024 that have materially affected, or are reasonably likely to materially affect, our internal controls over financial reporting.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does not include an attestation report of our registered public accounting firm because the Company is not an "accelerated filer" or a "large accelerated filer."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was not a party to any material active or pending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from time to time continue to be involved in various legal proceedings of a character normally incident to the ordinary course of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Our operations and financial results are subject to various risk and uncertainties, including those described below and the risk factors described under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latest Form 10-K for the year ended December 31, 2023,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herein, and the risk factors previously disclosed in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Form 10-K for the year ended December 31, 2023 filed with the SEC and incorporated by reference herein.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Middle East, including the October 2023 attack by Hamas and other terrorist organizations on Israel and Israel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war against them, may adversely affect our operations and limit our ability to manage and market our products, which could lead to a decrease in revenues.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operations are conducted in Israel and a number of our employees, contract manufacturers and consultants, including employees of our service providers, are located in Israel. As such, our business and operations may be directly affected by economic, political, geopolitical and military conditions affecting Israel.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Hamas militants and members of other terrorist organizations infiltrated Israel’s southern border from the Gaza Strip and conducted a series of terror attacks on civilian and military targets. Thereafter, these terrorists launched extensive rocket attacks on the Israeli population and industrial centers located along the Israeli border with the Gaza Strip. Shortly following the attack, Israel’s security cabinet declared war against Hamas. The intensity, duration and impact of Israel’s current war against Hamas and the corresponding geopolitical instability in the region is difficult to predict, as are the war’s economic implications on the Company’s business and operations.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armed conflict. Iran is also believed to have a strong influence over various proxy militias across the Middle East, and among the Syrian government, Hamas and Hezbollah, in addition to its readiness to engage in conflict with Israel directly. These situations may potentially escalate in the future into more violent events which may affect Israel and us. These situations, including conflicts which involved missile strikes against civilian and military targets in various parts of Israel may negatively impact the Company’s operations in Israel.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months, we have seen the level of conflict in the region escalate. Our facilities are within the range of rockets that have been launched from surrounding territories, though none of our operations or those of our manufacturers have been impacted to date. In the event that our facilities in Israel, or the facilities of our vendors in Israel, are damaged as a result of the hostilities or hostilities otherwise disrupt the ongoing operation of our facilities, our ability to deliver products to customers in a timely manner to meet our contractual obligations with customers and vendors could be materially and adversely affected. Any losses or damages incurred by us could have a material adverse effect on our business.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insurance does not cover losses that may occur as a result of an event associated with the security situation in the Middle East or for any resulting disruption in our operations. Although the Israeli government has in the past covered the reinstatement value of direct damages that were caused by terrorist attacks or acts of war, we cannot be assured that this government coverage will be maintained or, if maintained, will be sufficient to compensate us fully for damages incurred and the government may cease providing such coverage or the coverage might not suffice to cover potential damages. Any losses or damages incurred by us could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because of the obligation of Israeli citizens to perform military service.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Israeli security cabinet’s decision to declare war against Hamas, Israeli reservists have been drafted to perform immediate military service. Certain of our employees and consultants in Israel, in addition to employees of our service providers located in Israel, have been called for service in the current war with Hamas as of the date of this Quarterly Report on Form 10-Q, and such persons may be absent for an extended period of time. As a result, our operations may be disrupted by such absences, which may materially and adversely affect our business and results of operations. Additionally, the absence of employees of our Israeli suppliers and contract manufacturers due to their military service in the current war or future wars or other armed conflicts may disrupt their operations, in which event our ability to deliver products to customers may be materially and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credit terms to some qualified customers and distributors. In the event that a customer or distributor defaults on the amounts payable to us, our financial results may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2024 and 2023, approximately 28% of our total system revenues were derived from our internal lease programs (Venus Prime and our legacy subscription-based model). Under our internal lease programs,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Venus Prime or subscription agreement is recognized as revenue upon shipment of the system to the customer. We cannot provide any assurance that the financial position of customers purchasing products and services under a Venus Prime or subscription agreement will not change adversely before we receive all the monthly installment payments due under the contract. In the event that there is a default by any of the customers to whom we have sold systems under our internal lease programs (Venus Prime or our legacy subscription-based model), we may recognize bad debt expenses in our general and administrative expenses. If the extent of such defaults is material, it could negatively affect our results of operations and operating cash flows.</w:t>
      </w:r>
    </w:p>
    <w:p>
      <w:pPr>
        <w:sectPr>
          <w:pgSz w:w="11900" w:h="16838" w:orient="portrait"/>
          <w:cols w:equalWidth="0" w:num="1">
            <w:col w:w="11240"/>
          </w:cols>
          <w:pgMar w:left="320" w:top="121" w:right="339" w:bottom="0" w:gutter="0" w:footer="0" w:header="0"/>
        </w:sectPr>
      </w:pPr>
    </w:p>
    <w:bookmarkStart w:id="58" w:name="page59"/>
    <w:bookmarkEnd w:id="58"/>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In addition to our internal lease programs,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is material, it could negatively affect our future results of operations and cash flows.</w:t>
      </w:r>
    </w:p>
    <w:p>
      <w:pPr>
        <w:spacing w:after="0" w:line="176"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listing on The Nasdaq Capital Market and it may become more difficult to sell our stock in the public market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Minimum Stockholder Equity Requirement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31, 2023, we received a notice (the “Notice”) from Nasdaq stating that our stockholders’ equity as reported in our Quarterly Report on Form 10-Q for the period ended March 31, 2023 was below the minimum $2,500,000 required for continued listing under Nasdaq Listing Rule 5550(b)(1) (“Minimum Equity Requirement”).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Notice had no immediate effect on the listing of our common stock. On July 17, 2023, we submitted to Nasdaq a plan to regain compliance with the Minimum Equity Requirement (the "Plan"). On July 28, 2023, Nasdaq granted us an extension until November 27, 2023 to evidence compliance with the Minimum Equity Requirement, conditioned upon our achievement of certain milestones as set forth in the Plan. On November 28, 2023, the Company received a written notice from the Nasdaq Staff which described its determination that the Company had not regained compliance with the Minimum Equity Requirement within the Plan period. As a result, the Nasdaq Staff advised the Company that its securities will be delisted at the opening of business on December 7, 2023, unless the Company timely requests a hearing before a Nasdaq Hearings Panel (the "Panel”).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5, 2023, the Company timely requested a hearing before the Panel. The hearing was held on March 5, 2024, staying any delisting pending the issuance of the Panel’s decision.</w:t>
      </w:r>
    </w:p>
    <w:p>
      <w:pPr>
        <w:spacing w:after="0" w:line="16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March 20, 2024, the Company received a decision from the Panel granting its request for continued listing on the Nasdaq Capital Market, subject to the Company demonstrating compliance with Nasdaq Listing Rule 5550(b) on or before May 28, 2024, and certain other conditions.</w:t>
      </w:r>
    </w:p>
    <w:p>
      <w:pPr>
        <w:spacing w:after="0" w:line="16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On June 4, 2024, the Company was formally notified by Nasdaq that the Company had regained compliance with the stockholders’ equity Minimum Equity Requirement.</w:t>
      </w:r>
    </w:p>
    <w:p>
      <w:pPr>
        <w:spacing w:after="0" w:line="162"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Company is subject to a “Mandatory Panel Monitor,” as defined in Nasdaq Listing Rule 5815(d)(4)(B), through June 4, 2025. If the Company is found to be noncompliant with the Minimum Equity Requirement within the monitoring period, the Company would not be allowed to provide the Nasdaq Listing Qualifications Staff with a plan to regain compliance with the Minimum Equity Requirement; rather, the Nasdaq Listing Qualifications Staff would be required to issue a delist determination. In such case, the Company would have the opportunity to request a new hearing before the Panel, which request would stay any further action by the Nasdaq Listing Qualifications Staff until the time of the hearing.</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Minimum Bid Price Requirement</w:t>
      </w:r>
    </w:p>
    <w:p>
      <w:pPr>
        <w:spacing w:after="0" w:line="227"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April 11, 2024, the Company received a notice from Nasdaq stating that for 32 consecutive business days the Company’s common stock did not maintain a minimum closing bid price of $1.00 per share as required for continued listing under Listing Rule 5550(a)(2).</w:t>
      </w:r>
    </w:p>
    <w:p>
      <w:pPr>
        <w:spacing w:after="0" w:line="16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or until the Initial Compliance Date, to regain compliance with the Minimum Bid Price Requirement. The Company did not regain compliance with the Bid Price Requirement by the Initial Compliance Date.</w:t>
      </w:r>
    </w:p>
    <w:p>
      <w:pPr>
        <w:spacing w:after="0" w:line="162"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On October 17, 2024, Nasdaq notified the Company that it is eligible for an additional 180 calendar day period, or until the Extended Compliance Date, to regain compliance with the Bid Price Requirement. If, at any time before the Extended Compliance Date, the bid price for the Company’s common stock closes at $1.00 or more for a minimum of 10 consecutive business days as required under the Compliance Period Rule, the Staff will provide written notification to the Company that it complies with the Bid Price Requirement, unless the Staff exercises its discretion to extend this 10 day period pursuant to Nasdaq Listing Rule 5810(c)(3)(H).</w:t>
      </w:r>
    </w:p>
    <w:p>
      <w:pPr>
        <w:spacing w:after="0" w:line="183"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If the Company does not regain compliance with the Bid Price Requirement by the Extended Compliance Date, the Staff will provide written notification to the Company that its common stock will be delisted. At that time, the Company may appeal the Staff’s delisting determination to the Panel. The Company expects that its common stock would remain listed on the Nasdaq Capital Market pending the Panel’s decision. There can be no assurance that, if the Company does appeal a delisting determination to the Panel, such appeal would be successful</w:t>
      </w:r>
    </w:p>
    <w:p>
      <w:pPr>
        <w:spacing w:after="0" w:line="18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If our common stock ultimately is delisted for failure to comply with either the Minimum Equity Requirement or Minimum Bid Price Requirement, our shareholders could face significant adverse consequences, including:</w:t>
      </w:r>
    </w:p>
    <w:p>
      <w:pPr>
        <w:spacing w:after="0" w:line="162" w:lineRule="exact"/>
        <w:rPr>
          <w:sz w:val="20"/>
          <w:szCs w:val="20"/>
          <w:color w:val="auto"/>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or market quotations for our common stock;</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of our common stock;</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shares of our common stock are “penny stock,” which would require brokers trading in our common stock to adhere to more stringent rules and possibly result in a reduced level of trading activity in the secondary trading market for our common stock;</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analysts’ coverage of us; and</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for us to issue additional equity securities or obtain additional equity or debt financing in the future.</w:t>
      </w:r>
    </w:p>
    <w:p>
      <w:pPr>
        <w:sectPr>
          <w:pgSz w:w="11900" w:h="16838" w:orient="portrait"/>
          <w:cols w:equalWidth="0" w:num="1">
            <w:col w:w="11260"/>
          </w:cols>
          <w:pgMar w:left="300" w:top="121" w:right="339" w:bottom="825"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825"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the Company’s Current Reports on Form 8-K filed with the SEC on September 27, 2024 there were no unregistered securities issued and sold during the three months ended September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8"/>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5980" w:type="dxa"/>
            <w:vAlign w:val="bottom"/>
            <w:gridSpan w:val="24"/>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Amended and Restated Certificate of Incorporation of Restoration Robotics, Inc.</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10-17-17</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5980" w:type="dxa"/>
            <w:vAlign w:val="bottom"/>
            <w:gridSpan w:val="24"/>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Certificate of Amendment of Certificate of Incorporation of Restoration Robotics,</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9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Inc.</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5980" w:type="dxa"/>
            <w:vAlign w:val="bottom"/>
            <w:gridSpan w:val="24"/>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Certificate of Amendment of Certificate of Incorporation of Venus Concept Inc.</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5-11-23</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566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Certificate of Amendment to Certificate of Designations of Senior Convertible</w:t>
              </w:r>
            </w:hyperlink>
          </w:p>
        </w:tc>
        <w:tc>
          <w:tcPr>
            <w:tcW w:w="80" w:type="dxa"/>
            <w:vAlign w:val="bottom"/>
            <w:tcBorders>
              <w:top w:val="single" w:sz="8" w:color="0000EE"/>
            </w:tcBorders>
            <w:gridSpan w:val="2"/>
          </w:tcPr>
          <w:p>
            <w:pPr>
              <w:spacing w:after="0"/>
              <w:rPr>
                <w:sz w:val="24"/>
                <w:szCs w:val="24"/>
                <w:color w:val="auto"/>
              </w:rPr>
            </w:pPr>
          </w:p>
        </w:tc>
        <w:tc>
          <w:tcPr>
            <w:tcW w:w="240" w:type="dxa"/>
            <w:vAlign w:val="bottom"/>
            <w:gridSpan w:val="5"/>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6-26-23</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980" w:type="dxa"/>
            <w:vAlign w:val="bottom"/>
            <w:gridSpan w:val="24"/>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Preferred Stock.</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4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Certificate of Designations of Series X Convertible Preferred Stock.</w:t>
              </w:r>
            </w:hyperlink>
          </w:p>
        </w:tc>
        <w:tc>
          <w:tcPr>
            <w:tcW w:w="1080" w:type="dxa"/>
            <w:vAlign w:val="bottom"/>
            <w:gridSpan w:val="15"/>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10-5-23</w:t>
            </w: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48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Certificate of Designations of Series Y Convertible Preferred Stock</w:t>
              </w:r>
            </w:hyperlink>
          </w:p>
        </w:tc>
        <w:tc>
          <w:tcPr>
            <w:tcW w:w="1120" w:type="dxa"/>
            <w:vAlign w:val="bottom"/>
            <w:gridSpan w:val="16"/>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5-28-24</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5980" w:type="dxa"/>
            <w:vAlign w:val="bottom"/>
            <w:gridSpan w:val="24"/>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Second Amended and Restated Bylaws of Venus Concept Inc.</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59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Amendment to Certificate of Designations of Series Y Convertible Preferred Stock</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9-27-24</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8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Form of Investor Warrant</w:t>
              </w:r>
            </w:hyperlink>
          </w:p>
        </w:tc>
        <w:tc>
          <w:tcPr>
            <w:tcW w:w="4140" w:type="dxa"/>
            <w:vAlign w:val="bottom"/>
            <w:gridSpan w:val="20"/>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Form of Placement Agent Warrant</w:t>
              </w:r>
            </w:hyperlink>
          </w:p>
        </w:tc>
        <w:tc>
          <w:tcPr>
            <w:tcW w:w="3500" w:type="dxa"/>
            <w:vAlign w:val="bottom"/>
            <w:gridSpan w:val="18"/>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56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Loan Amendment and Consent Agreement, dated July 8, 2024, by and among</w:t>
              </w:r>
            </w:hyperlink>
          </w:p>
        </w:tc>
        <w:tc>
          <w:tcPr>
            <w:tcW w:w="340" w:type="dxa"/>
            <w:vAlign w:val="bottom"/>
            <w:gridSpan w:val="8"/>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7-12-24</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Venus Concept Inc., Venus Concept Canada Corp., Venus Concept USA Inc.,</w:t>
              </w:r>
            </w:hyperlink>
          </w:p>
        </w:tc>
        <w:tc>
          <w:tcPr>
            <w:tcW w:w="42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Venus Concept Ltd., Madryn Health Partners, LP and Madryn Health Partners</w:t>
              </w:r>
            </w:hyperlink>
          </w:p>
        </w:tc>
        <w:tc>
          <w:tcPr>
            <w:tcW w:w="34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(Cayman Master), LP</w:t>
              </w:r>
            </w:hyperlink>
          </w:p>
        </w:tc>
        <w:tc>
          <w:tcPr>
            <w:tcW w:w="4420" w:type="dxa"/>
            <w:vAlign w:val="bottom"/>
            <w:gridSpan w:val="21"/>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5980" w:type="dxa"/>
            <w:vAlign w:val="bottom"/>
            <w:gridSpan w:val="24"/>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Fourth Amendment to Bridge Loan Agreement, dated July 8, 2024, by and among</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7-12-24</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Venus Concept USA, Inc., Venus Concept Inc., Venus Concept Canada Corp.,</w:t>
              </w:r>
            </w:hyperlink>
          </w:p>
        </w:tc>
        <w:tc>
          <w:tcPr>
            <w:tcW w:w="320" w:type="dxa"/>
            <w:vAlign w:val="bottom"/>
            <w:tcBorders>
              <w:top w:val="single" w:sz="8" w:color="0000EE"/>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Venus Concept Ltd., Madryn Health Partners, LP and Madryn Health Partners</w:t>
              </w:r>
            </w:hyperlink>
          </w:p>
        </w:tc>
        <w:tc>
          <w:tcPr>
            <w:tcW w:w="34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(Cayman Master), LP</w:t>
              </w:r>
            </w:hyperlink>
          </w:p>
        </w:tc>
        <w:tc>
          <w:tcPr>
            <w:tcW w:w="4420" w:type="dxa"/>
            <w:vAlign w:val="bottom"/>
            <w:gridSpan w:val="21"/>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55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Consent Agreement, dated July 29, 2024, by and among Venus Concept Inc.,</w:t>
              </w:r>
            </w:hyperlink>
          </w:p>
        </w:tc>
        <w:tc>
          <w:tcPr>
            <w:tcW w:w="440" w:type="dxa"/>
            <w:vAlign w:val="bottom"/>
            <w:gridSpan w:val="13"/>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8-1-24</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5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Venus Concept Canada Corp., Venus Concept USA Inc., Venus Concept Ltd.,</w:t>
              </w:r>
            </w:hyperlink>
          </w:p>
        </w:tc>
        <w:tc>
          <w:tcPr>
            <w:tcW w:w="40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7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Madryn Health Partners, LP and Madryn Health Partners (Cayman Master), LP</w:t>
              </w:r>
            </w:hyperlink>
          </w:p>
        </w:tc>
        <w:tc>
          <w:tcPr>
            <w:tcW w:w="26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5980" w:type="dxa"/>
            <w:vAlign w:val="bottom"/>
            <w:gridSpan w:val="24"/>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Fifth Amendment to Bridge Loan Agreement, dated July 29, 2024, by and among</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8-1-24</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Venus Concept USA, Inc., Venus Concept Inc., Venus Concept Canada Corp.,</w:t>
              </w:r>
            </w:hyperlink>
          </w:p>
        </w:tc>
        <w:tc>
          <w:tcPr>
            <w:tcW w:w="240" w:type="dxa"/>
            <w:vAlign w:val="bottom"/>
            <w:tcBorders>
              <w:top w:val="single" w:sz="8" w:color="0000EE"/>
            </w:tcBorders>
            <w:gridSpan w:val="6"/>
          </w:tcPr>
          <w:p>
            <w:pPr>
              <w:spacing w:after="0"/>
              <w:rPr>
                <w:sz w:val="17"/>
                <w:szCs w:val="17"/>
                <w:color w:val="auto"/>
              </w:rPr>
            </w:pPr>
          </w:p>
        </w:tc>
        <w:tc>
          <w:tcPr>
            <w:tcW w:w="12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Venus Concept Ltd., Madryn Health Partners, LP and Madryn Health Partners</w:t>
              </w:r>
            </w:hyperlink>
          </w:p>
        </w:tc>
        <w:tc>
          <w:tcPr>
            <w:tcW w:w="34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(Cayman Master), LP</w:t>
              </w:r>
            </w:hyperlink>
          </w:p>
        </w:tc>
        <w:tc>
          <w:tcPr>
            <w:tcW w:w="4420" w:type="dxa"/>
            <w:vAlign w:val="bottom"/>
            <w:gridSpan w:val="21"/>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5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Sixth Amendment to Bridge Loan Agreement, dated August 30, 2024, by and</w:t>
              </w:r>
            </w:hyperlink>
          </w:p>
        </w:tc>
        <w:tc>
          <w:tcPr>
            <w:tcW w:w="380" w:type="dxa"/>
            <w:vAlign w:val="bottom"/>
            <w:gridSpan w:val="10"/>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9-5-24</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among Venus Concept USA, Inc., Venus Concept Inc., Venus Concept Canada</w:t>
              </w:r>
            </w:hyperlink>
          </w:p>
        </w:tc>
        <w:tc>
          <w:tcPr>
            <w:tcW w:w="34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Corp., Venus Concept Ltd., Madryn Health Partners, LP and Madryn Health</w:t>
              </w:r>
            </w:hyperlink>
          </w:p>
        </w:tc>
        <w:tc>
          <w:tcPr>
            <w:tcW w:w="500" w:type="dxa"/>
            <w:vAlign w:val="bottom"/>
            <w:gridSpan w:val="14"/>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Partners (Cayman Master), LP</w:t>
              </w:r>
            </w:hyperlink>
          </w:p>
        </w:tc>
        <w:tc>
          <w:tcPr>
            <w:tcW w:w="3780" w:type="dxa"/>
            <w:vAlign w:val="bottom"/>
            <w:gridSpan w:val="19"/>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58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Consent Agreement, dated August 30, 2024, by and among Venus Concept Inc.,</w:t>
              </w:r>
            </w:hyperlink>
          </w:p>
        </w:tc>
        <w:tc>
          <w:tcPr>
            <w:tcW w:w="180" w:type="dxa"/>
            <w:vAlign w:val="bottom"/>
            <w:gridSpan w:val="4"/>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9-5-24</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5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Venus Concept Canada Corp., Venus Concept USA Inc., Venus Concept Ltd.,</w:t>
              </w:r>
            </w:hyperlink>
          </w:p>
        </w:tc>
        <w:tc>
          <w:tcPr>
            <w:tcW w:w="40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7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Madryn Health Partners, LP and Madryn Health Partners (Cayman Master), LP</w:t>
              </w:r>
            </w:hyperlink>
          </w:p>
        </w:tc>
        <w:tc>
          <w:tcPr>
            <w:tcW w:w="26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5980" w:type="dxa"/>
            <w:vAlign w:val="bottom"/>
            <w:gridSpan w:val="24"/>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Seventh Amendment to Bridge Loan Agreement, dated September 26, 2024, by</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9-27-24</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10.5</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5720" w:type="dxa"/>
            <w:vAlign w:val="bottom"/>
            <w:gridSpan w:val="18"/>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980" w:type="dxa"/>
            <w:vAlign w:val="bottom"/>
            <w:gridSpan w:val="24"/>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and among Venus Concept USA, Inc., Venus Concept Inc., Venus Concept Canada</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9" w:lineRule="exact"/>
        <w:rPr>
          <w:sz w:val="20"/>
          <w:szCs w:val="20"/>
          <w:color w:val="auto"/>
        </w:rPr>
      </w:pPr>
    </w:p>
    <w:p>
      <w:pPr>
        <w:ind w:left="1120"/>
        <w:spacing w:after="0"/>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Corp., Venus Concept Ltd., Madryn Health Partners, LP and Madryn Health</w:t>
        </w:r>
      </w:hyperlink>
    </w:p>
    <w:p>
      <w:pPr>
        <w:spacing w:after="0" w:line="27" w:lineRule="exact"/>
        <w:rPr>
          <w:sz w:val="20"/>
          <w:szCs w:val="20"/>
          <w:color w:val="auto"/>
        </w:rPr>
      </w:pPr>
    </w:p>
    <w:p>
      <w:pPr>
        <w:ind w:left="1120"/>
        <w:spacing w:after="0"/>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Partners (Cayman Master), LP</w:t>
        </w:r>
      </w:hyperlink>
    </w:p>
    <w:p>
      <w:pPr>
        <w:sectPr>
          <w:pgSz w:w="11900" w:h="16838" w:orient="portrait"/>
          <w:cols w:equalWidth="0" w:num="1">
            <w:col w:w="11240"/>
          </w:cols>
          <w:pgMar w:left="320" w:top="121" w:right="339" w:bottom="0" w:gutter="0" w:footer="0" w:header="0"/>
        </w:sectPr>
      </w:pPr>
    </w:p>
    <w:bookmarkStart w:id="61" w:name="page62"/>
    <w:bookmarkEnd w:id="61"/>
    <w:tbl>
      <w:tblPr>
        <w:tblLayout w:type="fixed"/>
        <w:tblInd w:w="352" w:type="dxa"/>
        <w:tblCellMar>
          <w:top w:w="0" w:type="dxa"/>
          <w:left w:w="0" w:type="dxa"/>
          <w:bottom w:w="0" w:type="dxa"/>
          <w:right w:w="0" w:type="dxa"/>
        </w:tblCellMar>
      </w:tblPr>
      <w:tr>
        <w:trPr>
          <w:trHeight w:val="207"/>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10.8</w:t>
            </w:r>
          </w:p>
        </w:tc>
        <w:tc>
          <w:tcPr>
            <w:tcW w:w="57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Exchange Agreement, dated September 26, 2024, by and among Venus Concept</w:t>
              </w:r>
            </w:hyperlink>
          </w:p>
        </w:tc>
        <w:tc>
          <w:tcPr>
            <w:tcW w:w="320" w:type="dxa"/>
            <w:vAlign w:val="bottom"/>
            <w:gridSpan w:val="6"/>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9-27-24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760" w:type="dxa"/>
            <w:vAlign w:val="bottom"/>
          </w:tcPr>
          <w:p>
            <w:pPr>
              <w:spacing w:after="0"/>
              <w:rPr>
                <w:sz w:val="17"/>
                <w:szCs w:val="17"/>
                <w:color w:val="auto"/>
              </w:rPr>
            </w:pPr>
          </w:p>
        </w:tc>
        <w:tc>
          <w:tcPr>
            <w:tcW w:w="57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Inc., Venus Concept USA Inc., Madryn Health Partners, LP and Madryn Health</w:t>
              </w:r>
            </w:hyperlink>
          </w:p>
        </w:tc>
        <w:tc>
          <w:tcPr>
            <w:tcW w:w="34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Partners (Cayman Master), LP</w:t>
              </w:r>
            </w:hyperlink>
          </w:p>
        </w:tc>
        <w:tc>
          <w:tcPr>
            <w:tcW w:w="3880" w:type="dxa"/>
            <w:vAlign w:val="bottom"/>
            <w:gridSpan w:val="14"/>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10.9</w:t>
            </w:r>
          </w:p>
        </w:tc>
        <w:tc>
          <w:tcPr>
            <w:tcW w:w="6080" w:type="dxa"/>
            <w:vAlign w:val="bottom"/>
            <w:gridSpan w:val="15"/>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Amended and Restated Registration Rights Agreement, dated September 26, 2024,</w:t>
              </w:r>
            </w:hyperlink>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9-27-24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96"/>
        </w:trPr>
        <w:tc>
          <w:tcPr>
            <w:tcW w:w="760" w:type="dxa"/>
            <w:vAlign w:val="bottom"/>
          </w:tcPr>
          <w:p>
            <w:pPr>
              <w:spacing w:after="0"/>
              <w:rPr>
                <w:sz w:val="17"/>
                <w:szCs w:val="17"/>
                <w:color w:val="auto"/>
              </w:rPr>
            </w:pPr>
          </w:p>
        </w:tc>
        <w:tc>
          <w:tcPr>
            <w:tcW w:w="59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by and among Venus Concept Inc., Madryn Health Partners, LP and Madryn</w:t>
              </w:r>
            </w:hyperlink>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Health Partners (Cayman Master), LP</w:t>
              </w:r>
            </w:hyperlink>
          </w:p>
        </w:tc>
        <w:tc>
          <w:tcPr>
            <w:tcW w:w="2780" w:type="dxa"/>
            <w:vAlign w:val="bottom"/>
            <w:tcBorders>
              <w:top w:val="single" w:sz="8" w:color="0000EE"/>
            </w:tcBorders>
            <w:gridSpan w:val="2"/>
          </w:tcPr>
          <w:p>
            <w:pPr>
              <w:spacing w:after="0"/>
              <w:rPr>
                <w:sz w:val="17"/>
                <w:szCs w:val="17"/>
                <w:color w:val="auto"/>
              </w:rPr>
            </w:pPr>
          </w:p>
        </w:tc>
        <w:tc>
          <w:tcPr>
            <w:tcW w:w="58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10.10</w:t>
            </w:r>
          </w:p>
        </w:tc>
        <w:tc>
          <w:tcPr>
            <w:tcW w:w="6080" w:type="dxa"/>
            <w:vAlign w:val="bottom"/>
            <w:gridSpan w:val="15"/>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Promissory Note, dated September 26, 2024, of Venus Concept USA Inc.</w:t>
              </w:r>
            </w:hyperlink>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9-27-24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760" w:type="dxa"/>
            <w:vAlign w:val="bottom"/>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10.11</w:t>
            </w:r>
          </w:p>
        </w:tc>
        <w:tc>
          <w:tcPr>
            <w:tcW w:w="6080" w:type="dxa"/>
            <w:vAlign w:val="bottom"/>
            <w:gridSpan w:val="15"/>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Third Loan Amendment, First Subordination Agreement Amendment and Consent</w:t>
              </w:r>
            </w:hyperlink>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9-27-24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196"/>
        </w:trPr>
        <w:tc>
          <w:tcPr>
            <w:tcW w:w="76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Agreement, dated September 26, 2024, by and among Venus Concept Inc., Venus</w:t>
              </w:r>
            </w:hyperlink>
          </w:p>
        </w:tc>
        <w:tc>
          <w:tcPr>
            <w:tcW w:w="80" w:type="dxa"/>
            <w:vAlign w:val="bottom"/>
            <w:tcBorders>
              <w:top w:val="single" w:sz="8" w:color="0000EE"/>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9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Concept USA Inc., Venus Concept Ltd., Madryn Health Partners, LP and Madryn</w:t>
              </w:r>
            </w:hyperlink>
          </w:p>
        </w:tc>
        <w:tc>
          <w:tcPr>
            <w:tcW w:w="1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Health Partners (Cayman Master), LP</w:t>
              </w:r>
            </w:hyperlink>
          </w:p>
        </w:tc>
        <w:tc>
          <w:tcPr>
            <w:tcW w:w="3360" w:type="dxa"/>
            <w:vAlign w:val="bottom"/>
            <w:gridSpan w:val="13"/>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10.12</w:t>
            </w:r>
          </w:p>
        </w:tc>
        <w:tc>
          <w:tcPr>
            <w:tcW w:w="6080" w:type="dxa"/>
            <w:vAlign w:val="bottom"/>
            <w:gridSpan w:val="15"/>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Extension Letter (Transaction Completion Bonus Award)</w:t>
              </w:r>
            </w:hyperlink>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9-30-24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760" w:type="dxa"/>
            <w:vAlign w:val="bottom"/>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10.13</w:t>
            </w:r>
          </w:p>
        </w:tc>
        <w:tc>
          <w:tcPr>
            <w:tcW w:w="58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Consent Agreement, dated October 31, 2024, by and among Venus Concept Inc.,</w:t>
              </w:r>
            </w:hyperlink>
          </w:p>
        </w:tc>
        <w:tc>
          <w:tcPr>
            <w:tcW w:w="260" w:type="dxa"/>
            <w:vAlign w:val="bottom"/>
            <w:gridSpan w:val="5"/>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11-4-24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760" w:type="dxa"/>
            <w:vAlign w:val="bottom"/>
          </w:tcPr>
          <w:p>
            <w:pPr>
              <w:spacing w:after="0"/>
              <w:rPr>
                <w:sz w:val="17"/>
                <w:szCs w:val="17"/>
                <w:color w:val="auto"/>
              </w:rPr>
            </w:pPr>
          </w:p>
        </w:tc>
        <w:tc>
          <w:tcPr>
            <w:tcW w:w="5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Venus Concept Canada Corp., Venus Concept USA Inc., Venus Concept Ltd.,</w:t>
              </w:r>
            </w:hyperlink>
          </w:p>
        </w:tc>
        <w:tc>
          <w:tcPr>
            <w:tcW w:w="50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Madryn Health Partners, LP and Madryn Health Partners (Cayman Master), LP</w:t>
              </w:r>
            </w:hyperlink>
          </w:p>
        </w:tc>
        <w:tc>
          <w:tcPr>
            <w:tcW w:w="36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10.14</w:t>
            </w:r>
          </w:p>
        </w:tc>
        <w:tc>
          <w:tcPr>
            <w:tcW w:w="6080" w:type="dxa"/>
            <w:vAlign w:val="bottom"/>
            <w:gridSpan w:val="15"/>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Eighth Amendment to Bridge Loan Agreement, dated October 31, 2024, by and</w:t>
              </w:r>
            </w:hyperlink>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11-4-24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76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among Venus Concept USA, Inc., Venus Concept Inc., Venus Concept Canada</w:t>
              </w:r>
            </w:hyperlink>
          </w:p>
        </w:tc>
        <w:tc>
          <w:tcPr>
            <w:tcW w:w="100" w:type="dxa"/>
            <w:vAlign w:val="bottom"/>
            <w:tcBorders>
              <w:top w:val="single" w:sz="8" w:color="0000EE"/>
            </w:tcBorders>
            <w:gridSpan w:val="2"/>
          </w:tcPr>
          <w:p>
            <w:pPr>
              <w:spacing w:after="0"/>
              <w:rPr>
                <w:sz w:val="17"/>
                <w:szCs w:val="17"/>
                <w:color w:val="auto"/>
              </w:rPr>
            </w:pPr>
          </w:p>
        </w:tc>
        <w:tc>
          <w:tcPr>
            <w:tcW w:w="34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9" w:lineRule="exact"/>
        <w:rPr>
          <w:sz w:val="20"/>
          <w:szCs w:val="20"/>
          <w:color w:val="auto"/>
        </w:rPr>
      </w:pPr>
    </w:p>
    <w:p>
      <w:pPr>
        <w:ind w:left="1112"/>
        <w:spacing w:after="0"/>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Corp., Venus Concept Ltd., Madryn Health Partners, LP and Madryn Health</w:t>
        </w:r>
      </w:hyperlink>
    </w:p>
    <w:p>
      <w:pPr>
        <w:spacing w:after="0" w:line="27" w:lineRule="exact"/>
        <w:rPr>
          <w:sz w:val="20"/>
          <w:szCs w:val="20"/>
          <w:color w:val="auto"/>
        </w:rPr>
      </w:pPr>
    </w:p>
    <w:p>
      <w:pPr>
        <w:ind w:left="1112"/>
        <w:spacing w:after="0"/>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Partners (Cayman Master), LP</w:t>
        </w:r>
      </w:hyperlink>
    </w:p>
    <w:p>
      <w:pPr>
        <w:sectPr>
          <w:pgSz w:w="11900" w:h="16838" w:orient="portrait"/>
          <w:cols w:equalWidth="0" w:num="1">
            <w:col w:w="11232"/>
          </w:cols>
          <w:pgMar w:left="328" w:top="324" w:right="339" w:bottom="1440" w:gutter="0" w:footer="0" w:header="0"/>
        </w:sectPr>
      </w:pPr>
    </w:p>
    <w:p>
      <w:pPr>
        <w:spacing w:after="0" w:line="194" w:lineRule="exact"/>
        <w:rPr>
          <w:sz w:val="20"/>
          <w:szCs w:val="20"/>
          <w:color w:val="auto"/>
        </w:rPr>
      </w:pPr>
    </w:p>
    <w:tbl>
      <w:tblPr>
        <w:tblLayout w:type="fixed"/>
        <w:tblInd w:w="212" w:type="dxa"/>
        <w:tblCellMar>
          <w:top w:w="0" w:type="dxa"/>
          <w:left w:w="0" w:type="dxa"/>
          <w:bottom w:w="0" w:type="dxa"/>
          <w:right w:w="0" w:type="dxa"/>
        </w:tblCellMar>
      </w:tblPr>
      <w:tr>
        <w:trPr>
          <w:trHeight w:val="207"/>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31.1</w:t>
            </w:r>
          </w:p>
        </w:tc>
        <w:tc>
          <w:tcPr>
            <w:tcW w:w="5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w:t>
            </w:r>
          </w:p>
        </w:tc>
      </w:tr>
      <w:tr>
        <w:trPr>
          <w:trHeight w:val="196"/>
        </w:trPr>
        <w:tc>
          <w:tcPr>
            <w:tcW w:w="900" w:type="dxa"/>
            <w:vAlign w:val="bottom"/>
          </w:tcPr>
          <w:p>
            <w:pPr>
              <w:spacing w:after="0"/>
              <w:rPr>
                <w:sz w:val="17"/>
                <w:szCs w:val="17"/>
                <w:color w:val="auto"/>
              </w:rPr>
            </w:pPr>
          </w:p>
        </w:tc>
        <w:tc>
          <w:tcPr>
            <w:tcW w:w="5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9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31.2</w:t>
            </w:r>
          </w:p>
        </w:tc>
        <w:tc>
          <w:tcPr>
            <w:tcW w:w="5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w:t>
            </w:r>
          </w:p>
        </w:tc>
      </w:tr>
      <w:tr>
        <w:trPr>
          <w:trHeight w:val="196"/>
        </w:trPr>
        <w:tc>
          <w:tcPr>
            <w:tcW w:w="900" w:type="dxa"/>
            <w:vAlign w:val="bottom"/>
          </w:tcPr>
          <w:p>
            <w:pPr>
              <w:spacing w:after="0"/>
              <w:rPr>
                <w:sz w:val="17"/>
                <w:szCs w:val="17"/>
                <w:color w:val="auto"/>
              </w:rPr>
            </w:pPr>
          </w:p>
        </w:tc>
        <w:tc>
          <w:tcPr>
            <w:tcW w:w="5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9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32.1*</w:t>
            </w:r>
          </w:p>
        </w:tc>
        <w:tc>
          <w:tcPr>
            <w:tcW w:w="5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w:t>
            </w:r>
          </w:p>
        </w:tc>
      </w:tr>
      <w:tr>
        <w:trPr>
          <w:trHeight w:val="196"/>
        </w:trPr>
        <w:tc>
          <w:tcPr>
            <w:tcW w:w="900" w:type="dxa"/>
            <w:vAlign w:val="bottom"/>
          </w:tcPr>
          <w:p>
            <w:pPr>
              <w:spacing w:after="0"/>
              <w:rPr>
                <w:sz w:val="17"/>
                <w:szCs w:val="17"/>
                <w:color w:val="auto"/>
              </w:rPr>
            </w:pPr>
          </w:p>
        </w:tc>
        <w:tc>
          <w:tcPr>
            <w:tcW w:w="50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980" w:type="dxa"/>
            <w:vAlign w:val="bottom"/>
            <w:gridSpan w:val="2"/>
          </w:tcPr>
          <w:p>
            <w:pPr>
              <w:spacing w:after="0"/>
              <w:rPr>
                <w:sz w:val="17"/>
                <w:szCs w:val="17"/>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32.2*</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w:t>
            </w:r>
          </w:p>
        </w:tc>
      </w:tr>
      <w:tr>
        <w:trPr>
          <w:trHeight w:val="196"/>
        </w:trPr>
        <w:tc>
          <w:tcPr>
            <w:tcW w:w="90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9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101.INS</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101.SCH</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101.CAL</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101.DEF</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101.LAB</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101.PRE</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112" w:right="3020" w:hanging="514"/>
        <w:spacing w:after="0" w:line="282" w:lineRule="auto"/>
        <w:tabs>
          <w:tab w:leader="none" w:pos="11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ectPr>
          <w:pgSz w:w="11900" w:h="16838" w:orient="portrait"/>
          <w:cols w:equalWidth="0" w:num="2">
            <w:col w:w="10092" w:space="720"/>
            <w:col w:w="420"/>
          </w:cols>
          <w:pgMar w:left="328" w:top="324" w:right="339" w:bottom="1440" w:gutter="0" w:footer="0" w:header="0"/>
          <w:type w:val="continuous"/>
        </w:sectPr>
      </w:pPr>
    </w:p>
    <w:p>
      <w:pPr>
        <w:jc w:val="both"/>
        <w:ind w:left="-8" w:firstLine="8"/>
        <w:spacing w:after="0" w:line="261" w:lineRule="auto"/>
        <w:tabs>
          <w:tab w:leader="none" w:pos="4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and Exhibit 32.2 that accompanies this Quarterly Report on Form 10-Q is not deemed filed with the United States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24"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422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Venus Concept Inc.</w:t>
            </w:r>
          </w:p>
        </w:tc>
        <w:tc>
          <w:tcPr>
            <w:tcW w:w="332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2024</w:t>
            </w:r>
          </w:p>
        </w:tc>
        <w:tc>
          <w:tcPr>
            <w:tcW w:w="422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/s/ Rajiv De Silva</w:t>
            </w:r>
          </w:p>
        </w:tc>
      </w:tr>
      <w:tr>
        <w:trPr>
          <w:trHeight w:val="187"/>
        </w:trPr>
        <w:tc>
          <w:tcPr>
            <w:tcW w:w="37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Rajiv De Silva</w:t>
            </w:r>
          </w:p>
        </w:tc>
      </w:tr>
      <w:tr>
        <w:trPr>
          <w:trHeight w:val="238"/>
        </w:trPr>
        <w:tc>
          <w:tcPr>
            <w:tcW w:w="37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2024</w:t>
            </w:r>
          </w:p>
        </w:tc>
        <w:tc>
          <w:tcPr>
            <w:tcW w:w="422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/s/ Domenic Della Penna</w:t>
            </w:r>
          </w:p>
        </w:tc>
      </w:tr>
      <w:tr>
        <w:trPr>
          <w:trHeight w:val="187"/>
        </w:trPr>
        <w:tc>
          <w:tcPr>
            <w:tcW w:w="37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Domenic Della Penna</w:t>
            </w:r>
          </w:p>
        </w:tc>
      </w:tr>
      <w:tr>
        <w:trPr>
          <w:trHeight w:val="238"/>
        </w:trPr>
        <w:tc>
          <w:tcPr>
            <w:tcW w:w="37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432"/>
        </w:trPr>
        <w:tc>
          <w:tcPr>
            <w:tcW w:w="3700" w:type="dxa"/>
            <w:vAlign w:val="bottom"/>
          </w:tcPr>
          <w:p>
            <w:pPr>
              <w:spacing w:after="0"/>
              <w:rPr>
                <w:sz w:val="24"/>
                <w:szCs w:val="24"/>
                <w:color w:val="auto"/>
              </w:rPr>
            </w:pPr>
          </w:p>
        </w:tc>
        <w:tc>
          <w:tcPr>
            <w:tcW w:w="31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3" w:name="page64"/>
    <w:bookmarkEnd w:id="6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Rajiv De Silva,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Venus Concept Inc.;</w:t>
      </w:r>
    </w:p>
    <w:p>
      <w:pPr>
        <w:spacing w:after="0" w:line="225"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1.Based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3.The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20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360" w:hanging="215"/>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340" w:hanging="20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360" w:hanging="215"/>
        <w:spacing w:after="0" w:line="282"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4.The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20" w:hanging="20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360" w:right="20" w:hanging="215"/>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tabs>
          <w:tab w:leader="none" w:pos="4240" w:val="left"/>
          <w:tab w:leader="none" w:pos="584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0079"/>
          </w:cols>
          <w:pgMar w:left="380" w:top="1012" w:right="1440" w:bottom="1440" w:gutter="0" w:footer="0" w:header="0"/>
        </w:sectPr>
      </w:pPr>
    </w:p>
    <w:bookmarkStart w:id="65" w:name="page66"/>
    <w:bookmarkEnd w:id="6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Della Penna,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quarterly report on Form 10-Q of Venus Concept Inc.;</w:t>
      </w:r>
    </w:p>
    <w:p>
      <w:pPr>
        <w:spacing w:after="0" w:line="225"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20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360" w:hanging="215"/>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340" w:hanging="20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360" w:hanging="215"/>
        <w:spacing w:after="0" w:line="282"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20" w:hanging="20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360" w:right="20" w:hanging="215"/>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tabs>
          <w:tab w:leader="none" w:pos="4240" w:val="left"/>
          <w:tab w:leader="none" w:pos="55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Name: Domenic Della Penna</w:t>
      </w:r>
    </w:p>
    <w:p>
      <w:pPr>
        <w:spacing w:after="0" w:line="34"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0079"/>
          </w:cols>
          <w:pgMar w:left="380" w:top="1012" w:right="1440" w:bottom="1440" w:gutter="0" w:footer="0" w:header="0"/>
        </w:sectPr>
      </w:pPr>
    </w:p>
    <w:bookmarkStart w:id="67" w:name="page68"/>
    <w:bookmarkEnd w:id="6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Rajiv De Silva, the Chief Executive Officer of Venus Concept Inc. (the “Company”), hereby certify, that, to my knowledge:</w:t>
      </w:r>
    </w:p>
    <w:p>
      <w:pPr>
        <w:spacing w:after="0" w:line="162"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1.The Quarterly Report on Form 10-Q for the quarter ended September 30, 2024 (the “Report”) of the Company fully complies with the requirements of Section 13(a) of the Securities Exchange Act of 1934;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tabs>
          <w:tab w:leader="none" w:pos="4240" w:val="left"/>
          <w:tab w:leader="none" w:pos="584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0079"/>
          </w:cols>
          <w:pgMar w:left="380" w:top="1012" w:right="1440" w:bottom="1440" w:gutter="0" w:footer="0" w:header="0"/>
        </w:sectPr>
      </w:pPr>
    </w:p>
    <w:bookmarkStart w:id="69" w:name="page70"/>
    <w:bookmarkEnd w:id="69"/>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Domenic Della Penna, the Chief Financial Officer of Venus Concept Inc. (the “Company”), hereby certify, that, to my knowledge:</w:t>
      </w:r>
    </w:p>
    <w:p>
      <w:pPr>
        <w:spacing w:after="0" w:line="162"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1.The Quarterly Report on Form 10-Q for the quarter ended September 30, 2024 (the “Report”) of the Company fully complies with the requirements of Section 13(a) of the Securities Exchange Act of 1934;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tabs>
          <w:tab w:leader="none" w:pos="4240" w:val="left"/>
          <w:tab w:leader="none" w:pos="55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Name: Domenic Della Penna</w:t>
      </w:r>
    </w:p>
    <w:p>
      <w:pPr>
        <w:spacing w:after="0" w:line="34"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0079"/>
      </w:cols>
      <w:pgMar w:left="380" w:top="12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04"/>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74" Type="http://schemas.openxmlformats.org/officeDocument/2006/relationships/hyperlink" Target="http://www.sec.gov/Archives/edgar/data/0001409269/000119312517311810/d448597dex31.htm" TargetMode="External"/><Relationship Id="rId75" Type="http://schemas.openxmlformats.org/officeDocument/2006/relationships/hyperlink" Target="http://www.sec.gov/Archives/edgar/data/0001409269/000119312519286952/d827576dex31.htm" TargetMode="External"/><Relationship Id="rId76" Type="http://schemas.openxmlformats.org/officeDocument/2006/relationships/hyperlink" Target="http://www.sec.gov/Archives/edgar/data/1409269/000114036123024193/brhc20052761_ex3-1.htm" TargetMode="External"/><Relationship Id="rId77" Type="http://schemas.openxmlformats.org/officeDocument/2006/relationships/hyperlink" Target="http://www.sec.gov/Archives/edgar/data/1409269/000114036123031431/brhc20054780_ex3-1.htm" TargetMode="External"/><Relationship Id="rId78" Type="http://schemas.openxmlformats.org/officeDocument/2006/relationships/hyperlink" Target="http://www.sec.gov/Archives/edgar/data/1409269/000114036123047079/ef20011960_ex3-1.htm" TargetMode="External"/><Relationship Id="rId79" Type="http://schemas.openxmlformats.org/officeDocument/2006/relationships/hyperlink" Target="http://www.sec.gov/Archives/edgar/data/1409269/000114036124027551/ef20030043_ex3-1.htm" TargetMode="External"/><Relationship Id="rId80" Type="http://schemas.openxmlformats.org/officeDocument/2006/relationships/hyperlink" Target="http://www.sec.gov/Archives/edgar/data/0001409269/000119312519286952/d827576dex32.htm" TargetMode="External"/><Relationship Id="rId81" Type="http://schemas.openxmlformats.org/officeDocument/2006/relationships/hyperlink" Target="http://www.sec.gov/ix?doc=/Archives/edgar/data/1409269/000114036124042112/ef20036350_8k.htm" TargetMode="External"/><Relationship Id="rId82" Type="http://schemas.openxmlformats.org/officeDocument/2006/relationships/hyperlink" Target="http://www.sec.gov/Archives/edgar/data/1409269/000114036124009816/ef20022605_ex4-1.htm" TargetMode="External"/><Relationship Id="rId83" Type="http://schemas.openxmlformats.org/officeDocument/2006/relationships/hyperlink" Target="http://www.sec.gov/Archives/edgar/data/1409269/000114036124009816/ef20022605_ex4-2.htm" TargetMode="External"/><Relationship Id="rId84" Type="http://schemas.openxmlformats.org/officeDocument/2006/relationships/hyperlink" Target="http://www.sec.gov/ix?doc=/Archives/edgar/data/1409269/000114036124033054/ef20032310_8k.htm" TargetMode="External"/><Relationship Id="rId85" Type="http://schemas.openxmlformats.org/officeDocument/2006/relationships/hyperlink" Target="http://www.sec.gov/ix?doc=/Archives/edgar/data/1409269/000114036124035327/ef20033406_8k.htm" TargetMode="External"/><Relationship Id="rId86" Type="http://schemas.openxmlformats.org/officeDocument/2006/relationships/hyperlink" Target="http://www.sec.gov/ix?doc=/Archives/edgar/data/1409269/000114036124040234/e20035481_8k.htm" TargetMode="External"/><Relationship Id="rId87" Type="http://schemas.openxmlformats.org/officeDocument/2006/relationships/hyperlink" Target="http://www.sec.gov/ix?doc=/Archives/edgar/data/0001409269/000114036124042369/ef20036477_8k.htm" TargetMode="External"/><Relationship Id="rId88" Type="http://schemas.openxmlformats.org/officeDocument/2006/relationships/hyperlink" Target="http://www.sec.gov/ix?doc=/Archives/edgar/data/1409269/000114036124045115/ef20038110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2024-11-13T06:17:30Z</dcterms:created>
  <dcterms:modified xsi:type="dcterms:W3CDTF">2024-11-13T06:17:30Z</dcterms:modified>
</cp:coreProperties>
</file>