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vero20230630_10q.htm"/>
      <w:bookmarkStart w:id="1" w:name="ksvero20230630_10q"/>
      <w:bookmarkEnd w:id="0"/>
      <w:bookmarkEnd w:id="1"/>
      <w:r>
        <w:rPr/>
        <w:t xml:space="preserve">  </w:t>
      </w:r>
    </w:p>
    <w:p>
      <w:pPr>
        <w:pStyle w:val="TextBody"/>
        <w:bidi w:val="0"/>
        <w:spacing w:before="0" w:after="0"/>
        <w:ind w:left="0" w:right="0" w:hanging="0"/>
        <w:jc w:val="left"/>
        <w:rPr/>
      </w:pPr>
      <w:hyperlink w:anchor="toc">
        <w:r>
          <w:rPr>
            <w:rStyle w:val="InternetLink"/>
            <w:rFonts w:ascii="Times New Roman;Times;serif" w:hAnsi="Times New Roman;Times;serif"/>
            <w:caps w:val="false"/>
            <w:smallCaps w:val="false"/>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10-Q</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 One)</w:t>
      </w:r>
    </w:p>
    <w:tbl>
      <w:tblPr>
        <w:tblW w:w="10105" w:type="dxa"/>
        <w:jc w:val="left"/>
        <w:tblInd w:w="0" w:type="dxa"/>
        <w:tblLayout w:type="fixed"/>
        <w:tblCellMar>
          <w:top w:w="0" w:type="dxa"/>
          <w:left w:w="0" w:type="dxa"/>
          <w:bottom w:w="0" w:type="dxa"/>
          <w:right w:w="0" w:type="dxa"/>
        </w:tblCellMar>
      </w:tblPr>
      <w:tblGrid>
        <w:gridCol w:w="230"/>
        <w:gridCol w:w="98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June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230"/>
        <w:gridCol w:w="986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transition period from ____________ to 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001-38238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48"/>
        </w:rPr>
      </w:pPr>
      <w:r>
        <w:rPr>
          <w:rFonts w:ascii="Times New Roman" w:hAnsi="Times New Roman"/>
          <w:b/>
          <w:caps w:val="false"/>
          <w:smallCaps w:val="false"/>
          <w:sz w:val="48"/>
        </w:rPr>
        <w:t>Venus Concept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HorizontalLine"/>
        <w:pBdr>
          <w:bottom w:val="double" w:sz="2" w:space="0" w:color="808080"/>
        </w:pBdr>
        <w:bidi w:val="0"/>
        <w:spacing w:before="0" w:after="283"/>
        <w:jc w:val="left"/>
        <w:rPr/>
      </w:pPr>
      <w:r>
        <w:rPr/>
      </w:r>
    </w:p>
    <w:tbl>
      <w:tblPr>
        <w:tblW w:w="8239" w:type="dxa"/>
        <w:jc w:val="left"/>
        <w:tblInd w:w="0" w:type="dxa"/>
        <w:tblLayout w:type="fixed"/>
        <w:tblCellMar>
          <w:top w:w="0" w:type="dxa"/>
          <w:left w:w="0" w:type="dxa"/>
          <w:bottom w:w="0" w:type="dxa"/>
          <w:right w:w="0" w:type="dxa"/>
        </w:tblCellMar>
      </w:tblPr>
      <w:tblGrid>
        <w:gridCol w:w="5159"/>
        <w:gridCol w:w="3080"/>
      </w:tblGrid>
      <w:tr>
        <w:trPr/>
        <w:tc>
          <w:tcPr>
            <w:tcW w:w="5159"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30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06-1681204</w:t>
            </w:r>
          </w:p>
        </w:tc>
      </w:tr>
      <w:tr>
        <w:trPr/>
        <w:tc>
          <w:tcPr>
            <w:tcW w:w="5159" w:type="dxa"/>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(State or other jurisdiction of</w:t>
            </w:r>
          </w:p>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incorporation or organization)</w:t>
            </w:r>
          </w:p>
        </w:tc>
        <w:tc>
          <w:tcPr>
            <w:tcW w:w="3080" w:type="dxa"/>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b/>
                <w:caps w:val="false"/>
                <w:smallCaps w:val="false"/>
                <w:sz w:val="16"/>
              </w:rPr>
              <w:t>(I.R.S. Employer</w:t>
            </w:r>
            <w:r>
              <w:rPr>
                <w:rFonts w:ascii="Times New Roman" w:hAnsi="Times New Roman"/>
                <w:caps w:val="false"/>
                <w:smallCaps w:val="false"/>
                <w:sz w:val="16"/>
              </w:rPr>
              <w:br/>
            </w:r>
            <w:r>
              <w:rPr>
                <w:rFonts w:ascii="Times New Roman" w:hAnsi="Times New Roman"/>
                <w:b/>
                <w:caps w:val="false"/>
                <w:smallCaps w:val="false"/>
                <w:sz w:val="16"/>
              </w:rPr>
              <w:t>Identification No.)</w:t>
            </w:r>
          </w:p>
        </w:tc>
      </w:tr>
      <w:tr>
        <w:trPr/>
        <w:tc>
          <w:tcPr>
            <w:tcW w:w="8239"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235 Yorkland Blvd., Suite 900</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Toronto, Ontario M2J 4Y8</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(877) 848-8430</w:t>
            </w:r>
          </w:p>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b/>
                <w:caps w:val="false"/>
                <w:smallCaps w:val="false"/>
                <w:sz w:val="16"/>
              </w:rPr>
              <w:t>(Address including zip code, and telephone number including area code, of registrant</w:t>
            </w:r>
            <w:r>
              <w:rPr>
                <w:rFonts w:ascii="Times New Roman" w:hAnsi="Times New Roman"/>
                <w:caps w:val="false"/>
                <w:smallCaps w:val="false"/>
                <w:sz w:val="16"/>
              </w:rPr>
              <w:t>’</w:t>
            </w:r>
            <w:r>
              <w:rPr>
                <w:rFonts w:ascii="Times New Roman" w:hAnsi="Times New Roman"/>
                <w:b/>
                <w:caps w:val="false"/>
                <w:smallCaps w:val="false"/>
                <w:sz w:val="16"/>
              </w:rPr>
              <w:t>s principal executive offices)</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center"/>
        <w:rPr>
          <w:rFonts w:ascii="Times New Roman" w:hAnsi="Times New Roman"/>
          <w:caps w:val="false"/>
          <w:smallCaps w:val="false"/>
          <w:sz w:val="18"/>
        </w:rPr>
      </w:pPr>
      <w:r>
        <w:rPr>
          <w:rFonts w:ascii="Times New Roman" w:hAnsi="Times New Roman"/>
          <w:b/>
          <w:caps w:val="false"/>
          <w:smallCaps w:val="false"/>
          <w:sz w:val="18"/>
        </w:rPr>
        <w:t>Securities registered pursuant to Section</w:t>
      </w:r>
      <w:r>
        <w:rPr>
          <w:rFonts w:ascii="Times New Roman" w:hAnsi="Times New Roman"/>
          <w:caps w:val="false"/>
          <w:smallCaps w:val="false"/>
          <w:sz w:val="18"/>
        </w:rPr>
        <w:t> </w:t>
      </w:r>
      <w:r>
        <w:rPr>
          <w:rFonts w:ascii="Times New Roman" w:hAnsi="Times New Roman"/>
          <w:b/>
          <w:caps w:val="false"/>
          <w:smallCaps w:val="false"/>
          <w:sz w:val="18"/>
        </w:rPr>
        <w:t>12(b) of the Act:</w:t>
      </w:r>
    </w:p>
    <w:p>
      <w:pPr>
        <w:pStyle w:val="TextBody"/>
        <w:bidi w:val="0"/>
        <w:spacing w:before="0" w:after="0"/>
        <w:ind w:left="0" w:right="0" w:hanging="0"/>
        <w:jc w:val="left"/>
        <w:rPr>
          <w:caps w:val="false"/>
          <w:smallCaps w:val="false"/>
        </w:rPr>
      </w:pPr>
      <w:r>
        <w:rPr>
          <w:caps w:val="false"/>
          <w:smallCaps w:val="false"/>
        </w:rPr>
        <w:t> </w:t>
      </w:r>
    </w:p>
    <w:tbl>
      <w:tblPr>
        <w:tblW w:w="7935" w:type="dxa"/>
        <w:jc w:val="left"/>
        <w:tblInd w:w="0" w:type="dxa"/>
        <w:tblLayout w:type="fixed"/>
        <w:tblCellMar>
          <w:top w:w="0" w:type="dxa"/>
          <w:left w:w="0" w:type="dxa"/>
          <w:bottom w:w="28" w:type="dxa"/>
          <w:right w:w="0" w:type="dxa"/>
        </w:tblCellMar>
      </w:tblPr>
      <w:tblGrid>
        <w:gridCol w:w="3185"/>
        <w:gridCol w:w="60"/>
        <w:gridCol w:w="1280"/>
        <w:gridCol w:w="60"/>
        <w:gridCol w:w="3350"/>
      </w:tblGrid>
      <w:tr>
        <w:trPr/>
        <w:tc>
          <w:tcPr>
            <w:tcW w:w="318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Title of each class</w:t>
            </w:r>
          </w:p>
        </w:tc>
        <w:tc>
          <w:tcPr>
            <w:tcW w:w="60" w:type="dxa"/>
            <w:tcBorders/>
            <w:tcMar>
              <w:bottom w:w="0" w:type="dxa"/>
            </w:tcMar>
            <w:vAlign w:val="center"/>
          </w:tcPr>
          <w:p>
            <w:pPr>
              <w:pStyle w:val="TableContents"/>
              <w:bidi w:val="0"/>
              <w:spacing w:before="0" w:after="283"/>
              <w:jc w:val="left"/>
              <w:rPr/>
            </w:pPr>
            <w:r>
              <w:rPr/>
              <w:t> </w:t>
            </w:r>
          </w:p>
        </w:tc>
        <w:tc>
          <w:tcPr>
            <w:tcW w:w="128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Trading Symbol</w:t>
            </w:r>
          </w:p>
        </w:tc>
        <w:tc>
          <w:tcPr>
            <w:tcW w:w="60" w:type="dxa"/>
            <w:tcBorders/>
            <w:tcMar>
              <w:bottom w:w="0" w:type="dxa"/>
            </w:tcMar>
            <w:vAlign w:val="center"/>
          </w:tcPr>
          <w:p>
            <w:pPr>
              <w:pStyle w:val="TableContents"/>
              <w:bidi w:val="0"/>
              <w:spacing w:before="0" w:after="283"/>
              <w:jc w:val="left"/>
              <w:rPr/>
            </w:pPr>
            <w:r>
              <w:rPr/>
              <w:t> </w:t>
            </w:r>
          </w:p>
        </w:tc>
        <w:tc>
          <w:tcPr>
            <w:tcW w:w="33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Name of each exchange on which registered</w:t>
            </w:r>
          </w:p>
        </w:tc>
      </w:tr>
      <w:tr>
        <w:trPr/>
        <w:tc>
          <w:tcPr>
            <w:tcW w:w="318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Common Stock, $0.0001 par value per share</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VERO</w:t>
            </w:r>
          </w:p>
        </w:tc>
        <w:tc>
          <w:tcPr>
            <w:tcW w:w="60" w:type="dxa"/>
            <w:tcBorders/>
            <w:tcMar>
              <w:bottom w:w="0" w:type="dxa"/>
            </w:tcMar>
            <w:vAlign w:val="center"/>
          </w:tcPr>
          <w:p>
            <w:pPr>
              <w:pStyle w:val="TableContents"/>
              <w:bidi w:val="0"/>
              <w:spacing w:before="0" w:after="283"/>
              <w:jc w:val="left"/>
              <w:rPr/>
            </w:pPr>
            <w:r>
              <w:rPr/>
              <w:t> </w:t>
            </w:r>
          </w:p>
        </w:tc>
        <w:tc>
          <w:tcPr>
            <w:tcW w:w="335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The 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3980" w:type="dxa"/>
        <w:jc w:val="left"/>
        <w:tblInd w:w="0" w:type="dxa"/>
        <w:tblLayout w:type="fixed"/>
        <w:tblCellMar>
          <w:top w:w="0" w:type="dxa"/>
          <w:left w:w="0" w:type="dxa"/>
          <w:bottom w:w="0" w:type="dxa"/>
          <w:right w:w="0" w:type="dxa"/>
        </w:tblCellMar>
      </w:tblPr>
      <w:tblGrid>
        <w:gridCol w:w="1565"/>
        <w:gridCol w:w="230"/>
        <w:gridCol w:w="1955"/>
        <w:gridCol w:w="230"/>
      </w:tblGrid>
      <w:tr>
        <w:trPr/>
        <w:tc>
          <w:tcPr>
            <w:tcW w:w="156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56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Non-accelerated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56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Emerging growth company</w:t>
            </w:r>
          </w:p>
        </w:tc>
        <w:tc>
          <w:tcPr>
            <w:tcW w:w="23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18"/>
        </w:rPr>
      </w:pPr>
      <w:r>
        <w:rPr>
          <w:rFonts w:ascii="Times New Roman" w:hAnsi="Times New Roman"/>
          <w:caps w:val="false"/>
          <w:smallCaps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18"/>
        </w:rPr>
      </w:pPr>
      <w:r>
        <w:rPr>
          <w:rFonts w:ascii="Times New Roman" w:hAnsi="Times New Roman"/>
          <w:caps w:val="false"/>
          <w:smallCaps w:val="false"/>
          <w:sz w:val="18"/>
        </w:rPr>
        <w:t>As of August 9, 2023 the registrant had 5,526,481 shar</w:t>
      </w:r>
      <w:r>
        <w:rPr>
          <w:rFonts w:ascii="Times New Roman" w:hAnsi="Times New Roman"/>
          <w:caps w:val="false"/>
          <w:smallCaps w:val="false"/>
          <w:sz w:val="18"/>
          <w:shd w:fill="FFFFFF" w:val="clear"/>
        </w:rPr>
        <w:t>es</w:t>
      </w:r>
      <w:r>
        <w:rPr>
          <w:rFonts w:ascii="Times New Roman" w:hAnsi="Times New Roman"/>
          <w:caps w:val="false"/>
          <w:smallCaps w:val="false"/>
          <w:sz w:val="18"/>
        </w:rPr>
        <w:t xml:space="preserve"> of common stock, $0.0001 par value per share, outstanding.</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700" w:type="dxa"/>
        <w:jc w:val="left"/>
        <w:tblInd w:w="0" w:type="dxa"/>
        <w:tblLayout w:type="fixed"/>
        <w:tblCellMar>
          <w:top w:w="0" w:type="dxa"/>
          <w:left w:w="0" w:type="dxa"/>
          <w:bottom w:w="0" w:type="dxa"/>
          <w:right w:w="0" w:type="dxa"/>
        </w:tblCellMar>
      </w:tblPr>
      <w:tblGrid>
        <w:gridCol w:w="785"/>
        <w:gridCol w:w="7475"/>
        <w:gridCol w:w="440"/>
      </w:tblGrid>
      <w:tr>
        <w:trPr/>
        <w:tc>
          <w:tcPr>
            <w:tcW w:w="785" w:type="dxa"/>
            <w:tcBorders/>
            <w:vAlign w:val="center"/>
          </w:tcPr>
          <w:p>
            <w:pPr>
              <w:pStyle w:val="TableContents"/>
              <w:bidi w:val="0"/>
              <w:spacing w:before="0" w:after="0"/>
              <w:ind w:left="140" w:right="0" w:hanging="0"/>
              <w:jc w:val="left"/>
              <w:rPr>
                <w:caps w:val="false"/>
                <w:smallCaps w:val="false"/>
              </w:rPr>
            </w:pPr>
            <w:r>
              <w:rPr>
                <w:caps w:val="false"/>
                <w:smallCaps w:val="false"/>
              </w:rPr>
              <w:t> </w:t>
            </w:r>
          </w:p>
        </w:tc>
        <w:tc>
          <w:tcPr>
            <w:tcW w:w="74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7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w:t>
            </w:r>
          </w:p>
        </w:tc>
        <w:tc>
          <w:tcPr>
            <w:tcW w:w="7475" w:type="dxa"/>
            <w:tcBorders/>
            <w:vAlign w:val="center"/>
          </w:tcPr>
          <w:p>
            <w:pPr>
              <w:pStyle w:val="TableContents"/>
              <w:bidi w:val="0"/>
              <w:spacing w:before="0" w:after="0"/>
              <w:ind w:left="0" w:right="0" w:hanging="0"/>
              <w:jc w:val="left"/>
              <w:rPr/>
            </w:pPr>
            <w:hyperlink w:anchor="parti">
              <w:r>
                <w:rPr>
                  <w:rStyle w:val="InternetLink"/>
                  <w:rFonts w:ascii="Times New Roman" w:hAnsi="Times New Roman"/>
                  <w:b/>
                  <w:caps w:val="false"/>
                  <w:smallCaps w:val="false"/>
                  <w:sz w:val="20"/>
                </w:rPr>
                <w:t>Financial Information</w:t>
              </w:r>
            </w:hyperlink>
          </w:p>
        </w:tc>
        <w:tc>
          <w:tcPr>
            <w:tcW w:w="440" w:type="dxa"/>
            <w:tcBorders/>
            <w:vAlign w:val="center"/>
          </w:tcPr>
          <w:p>
            <w:pPr>
              <w:pStyle w:val="TableContents"/>
              <w:bidi w:val="0"/>
              <w:spacing w:before="0" w:after="0"/>
              <w:ind w:left="0" w:right="0" w:hanging="0"/>
              <w:jc w:val="right"/>
              <w:rPr/>
            </w:pPr>
            <w:hyperlink w:anchor="parti">
              <w:r>
                <w:rPr>
                  <w:rStyle w:val="InternetLink"/>
                  <w:rFonts w:ascii="Times New Roman" w:hAnsi="Times New Roman"/>
                  <w:caps w:val="false"/>
                  <w:smallCaps w:val="false"/>
                  <w:sz w:val="20"/>
                </w:rPr>
                <w:t>2</w:t>
              </w:r>
            </w:hyperlink>
          </w:p>
        </w:tc>
      </w:tr>
      <w:tr>
        <w:trPr/>
        <w:tc>
          <w:tcPr>
            <w:tcW w:w="7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w:t>
            </w:r>
          </w:p>
        </w:tc>
        <w:tc>
          <w:tcPr>
            <w:tcW w:w="7475" w:type="dxa"/>
            <w:tcBorders/>
            <w:vAlign w:val="center"/>
          </w:tcPr>
          <w:p>
            <w:pPr>
              <w:pStyle w:val="TableContents"/>
              <w:bidi w:val="0"/>
              <w:spacing w:before="0" w:after="0"/>
              <w:ind w:left="0" w:right="0" w:hanging="0"/>
              <w:jc w:val="left"/>
              <w:rPr/>
            </w:pPr>
            <w:hyperlink w:anchor="item1">
              <w:r>
                <w:rPr>
                  <w:rStyle w:val="InternetLink"/>
                  <w:rFonts w:ascii="Times New Roman" w:hAnsi="Times New Roman"/>
                  <w:b/>
                  <w:caps w:val="false"/>
                  <w:smallCaps w:val="false"/>
                  <w:sz w:val="20"/>
                </w:rPr>
                <w:t>Condensed Consolidated Financial Statements (unaudited)</w:t>
              </w:r>
            </w:hyperlink>
          </w:p>
        </w:tc>
        <w:tc>
          <w:tcPr>
            <w:tcW w:w="440" w:type="dxa"/>
            <w:tcBorders/>
            <w:vAlign w:val="center"/>
          </w:tcPr>
          <w:p>
            <w:pPr>
              <w:pStyle w:val="TableContents"/>
              <w:bidi w:val="0"/>
              <w:spacing w:before="0" w:after="0"/>
              <w:ind w:left="0" w:right="0" w:hanging="0"/>
              <w:jc w:val="right"/>
              <w:rPr/>
            </w:pPr>
            <w:hyperlink w:anchor="item1">
              <w:r>
                <w:rPr>
                  <w:rStyle w:val="InternetLink"/>
                  <w:rFonts w:ascii="Times New Roman" w:hAnsi="Times New Roman"/>
                  <w:caps w:val="false"/>
                  <w:smallCaps w:val="false"/>
                  <w:sz w:val="20"/>
                </w:rPr>
                <w:t>2</w:t>
              </w:r>
            </w:hyperlink>
          </w:p>
        </w:tc>
      </w:tr>
      <w:tr>
        <w:trPr/>
        <w:tc>
          <w:tcPr>
            <w:tcW w:w="785" w:type="dxa"/>
            <w:tcBorders/>
            <w:vAlign w:val="center"/>
          </w:tcPr>
          <w:p>
            <w:pPr>
              <w:pStyle w:val="TableContents"/>
              <w:bidi w:val="0"/>
              <w:spacing w:before="0" w:after="0"/>
              <w:ind w:left="140" w:right="0" w:hanging="0"/>
              <w:jc w:val="left"/>
              <w:rPr>
                <w:caps w:val="false"/>
                <w:smallCaps w:val="false"/>
              </w:rPr>
            </w:pPr>
            <w:r>
              <w:rPr>
                <w:caps w:val="false"/>
                <w:smallCaps w:val="false"/>
              </w:rPr>
              <w:t> </w:t>
            </w:r>
          </w:p>
        </w:tc>
        <w:tc>
          <w:tcPr>
            <w:tcW w:w="7475" w:type="dxa"/>
            <w:tcBorders/>
            <w:vAlign w:val="center"/>
          </w:tcPr>
          <w:p>
            <w:pPr>
              <w:pStyle w:val="TableContents"/>
              <w:bidi w:val="0"/>
              <w:spacing w:before="0" w:after="0"/>
              <w:ind w:left="0" w:right="0" w:hanging="0"/>
              <w:jc w:val="left"/>
              <w:rPr/>
            </w:pPr>
            <w:hyperlink w:anchor="bs">
              <w:r>
                <w:rPr>
                  <w:rStyle w:val="InternetLink"/>
                  <w:rFonts w:ascii="Times New Roman" w:hAnsi="Times New Roman"/>
                  <w:caps w:val="false"/>
                  <w:smallCaps w:val="false"/>
                  <w:sz w:val="20"/>
                </w:rPr>
                <w:t>Condensed Consolidated Balance Sheets</w:t>
              </w:r>
            </w:hyperlink>
          </w:p>
        </w:tc>
        <w:tc>
          <w:tcPr>
            <w:tcW w:w="440" w:type="dxa"/>
            <w:tcBorders/>
            <w:vAlign w:val="center"/>
          </w:tcPr>
          <w:p>
            <w:pPr>
              <w:pStyle w:val="TableContents"/>
              <w:bidi w:val="0"/>
              <w:spacing w:before="0" w:after="0"/>
              <w:ind w:left="0" w:right="0" w:hanging="0"/>
              <w:jc w:val="right"/>
              <w:rPr/>
            </w:pPr>
            <w:hyperlink w:anchor="bs">
              <w:r>
                <w:rPr>
                  <w:rStyle w:val="InternetLink"/>
                  <w:rFonts w:ascii="Times New Roman" w:hAnsi="Times New Roman"/>
                  <w:caps w:val="false"/>
                  <w:smallCaps w:val="false"/>
                  <w:sz w:val="20"/>
                </w:rPr>
                <w:t>2</w:t>
              </w:r>
            </w:hyperlink>
          </w:p>
        </w:tc>
      </w:tr>
      <w:tr>
        <w:trPr/>
        <w:tc>
          <w:tcPr>
            <w:tcW w:w="785" w:type="dxa"/>
            <w:tcBorders/>
            <w:vAlign w:val="center"/>
          </w:tcPr>
          <w:p>
            <w:pPr>
              <w:pStyle w:val="TableContents"/>
              <w:bidi w:val="0"/>
              <w:spacing w:before="0" w:after="0"/>
              <w:ind w:left="140" w:right="0" w:hanging="0"/>
              <w:jc w:val="left"/>
              <w:rPr>
                <w:caps w:val="false"/>
                <w:smallCaps w:val="false"/>
              </w:rPr>
            </w:pPr>
            <w:r>
              <w:rPr>
                <w:caps w:val="false"/>
                <w:smallCaps w:val="false"/>
              </w:rPr>
              <w:t> </w:t>
            </w:r>
          </w:p>
        </w:tc>
        <w:tc>
          <w:tcPr>
            <w:tcW w:w="7475" w:type="dxa"/>
            <w:tcBorders/>
            <w:vAlign w:val="center"/>
          </w:tcPr>
          <w:p>
            <w:pPr>
              <w:pStyle w:val="TableContents"/>
              <w:bidi w:val="0"/>
              <w:spacing w:before="0" w:after="0"/>
              <w:ind w:left="0" w:right="0" w:hanging="0"/>
              <w:jc w:val="left"/>
              <w:rPr/>
            </w:pPr>
            <w:hyperlink w:anchor="ops">
              <w:r>
                <w:rPr>
                  <w:rStyle w:val="InternetLink"/>
                  <w:rFonts w:ascii="Times New Roman" w:hAnsi="Times New Roman"/>
                  <w:caps w:val="false"/>
                  <w:smallCaps w:val="false"/>
                  <w:sz w:val="20"/>
                </w:rPr>
                <w:t>Condensed Consolidated Statements of Operations</w:t>
              </w:r>
            </w:hyperlink>
          </w:p>
        </w:tc>
        <w:tc>
          <w:tcPr>
            <w:tcW w:w="440" w:type="dxa"/>
            <w:tcBorders/>
            <w:vAlign w:val="center"/>
          </w:tcPr>
          <w:p>
            <w:pPr>
              <w:pStyle w:val="TableContents"/>
              <w:bidi w:val="0"/>
              <w:spacing w:before="0" w:after="0"/>
              <w:ind w:left="0" w:right="0" w:hanging="0"/>
              <w:jc w:val="right"/>
              <w:rPr/>
            </w:pPr>
            <w:hyperlink w:anchor="ops">
              <w:r>
                <w:rPr>
                  <w:rStyle w:val="InternetLink"/>
                  <w:rFonts w:ascii="Times New Roman" w:hAnsi="Times New Roman"/>
                  <w:caps w:val="false"/>
                  <w:smallCaps w:val="false"/>
                  <w:sz w:val="20"/>
                </w:rPr>
                <w:t>3</w:t>
              </w:r>
            </w:hyperlink>
          </w:p>
        </w:tc>
      </w:tr>
      <w:tr>
        <w:trPr/>
        <w:tc>
          <w:tcPr>
            <w:tcW w:w="785" w:type="dxa"/>
            <w:tcBorders/>
            <w:vAlign w:val="center"/>
          </w:tcPr>
          <w:p>
            <w:pPr>
              <w:pStyle w:val="TableContents"/>
              <w:bidi w:val="0"/>
              <w:spacing w:before="0" w:after="283"/>
              <w:jc w:val="left"/>
              <w:rPr/>
            </w:pPr>
            <w:r>
              <w:rPr/>
              <w:t> </w:t>
            </w:r>
          </w:p>
        </w:tc>
        <w:tc>
          <w:tcPr>
            <w:tcW w:w="7475" w:type="dxa"/>
            <w:tcBorders/>
            <w:vAlign w:val="center"/>
          </w:tcPr>
          <w:p>
            <w:pPr>
              <w:pStyle w:val="TableContents"/>
              <w:bidi w:val="0"/>
              <w:spacing w:before="0" w:after="0"/>
              <w:ind w:left="0" w:right="0" w:hanging="0"/>
              <w:jc w:val="left"/>
              <w:rPr/>
            </w:pPr>
            <w:hyperlink w:anchor="compincome">
              <w:r>
                <w:rPr>
                  <w:rStyle w:val="InternetLink"/>
                  <w:rFonts w:ascii="Times New Roman" w:hAnsi="Times New Roman"/>
                  <w:caps w:val="false"/>
                  <w:smallCaps w:val="false"/>
                  <w:sz w:val="20"/>
                </w:rPr>
                <w:t>Condensed Consolidated Statements of Comprehensive Loss</w:t>
              </w:r>
            </w:hyperlink>
          </w:p>
        </w:tc>
        <w:tc>
          <w:tcPr>
            <w:tcW w:w="440" w:type="dxa"/>
            <w:tcBorders/>
            <w:vAlign w:val="center"/>
          </w:tcPr>
          <w:p>
            <w:pPr>
              <w:pStyle w:val="TableContents"/>
              <w:bidi w:val="0"/>
              <w:spacing w:before="0" w:after="0"/>
              <w:ind w:left="0" w:right="0" w:hanging="0"/>
              <w:jc w:val="right"/>
              <w:rPr/>
            </w:pPr>
            <w:hyperlink w:anchor="compincome">
              <w:r>
                <w:rPr>
                  <w:rStyle w:val="InternetLink"/>
                  <w:rFonts w:ascii="Times New Roman" w:hAnsi="Times New Roman"/>
                  <w:caps w:val="false"/>
                  <w:smallCaps w:val="false"/>
                  <w:sz w:val="20"/>
                </w:rPr>
                <w:t>4</w:t>
              </w:r>
            </w:hyperlink>
          </w:p>
        </w:tc>
      </w:tr>
      <w:tr>
        <w:trPr/>
        <w:tc>
          <w:tcPr>
            <w:tcW w:w="785" w:type="dxa"/>
            <w:tcBorders/>
            <w:vAlign w:val="center"/>
          </w:tcPr>
          <w:p>
            <w:pPr>
              <w:pStyle w:val="TableContents"/>
              <w:bidi w:val="0"/>
              <w:spacing w:before="0" w:after="0"/>
              <w:ind w:left="140" w:right="0" w:hanging="0"/>
              <w:jc w:val="left"/>
              <w:rPr>
                <w:caps w:val="false"/>
                <w:smallCaps w:val="false"/>
              </w:rPr>
            </w:pPr>
            <w:r>
              <w:rPr>
                <w:caps w:val="false"/>
                <w:smallCaps w:val="false"/>
              </w:rPr>
              <w:t> </w:t>
            </w:r>
          </w:p>
        </w:tc>
        <w:tc>
          <w:tcPr>
            <w:tcW w:w="7475" w:type="dxa"/>
            <w:tcBorders/>
            <w:vAlign w:val="center"/>
          </w:tcPr>
          <w:p>
            <w:pPr>
              <w:pStyle w:val="TableContents"/>
              <w:bidi w:val="0"/>
              <w:spacing w:before="0" w:after="0"/>
              <w:ind w:left="0" w:right="0" w:hanging="0"/>
              <w:jc w:val="both"/>
              <w:rPr/>
            </w:pPr>
            <w:hyperlink w:anchor="equity">
              <w:r>
                <w:rPr>
                  <w:rStyle w:val="InternetLink"/>
                  <w:rFonts w:ascii="Times New Roman" w:hAnsi="Times New Roman"/>
                  <w:caps w:val="false"/>
                  <w:smallCaps w:val="false"/>
                  <w:sz w:val="20"/>
                </w:rPr>
                <w:t>Condensed Consolidated Statements of Stockholders’ Equity</w:t>
              </w:r>
            </w:hyperlink>
          </w:p>
        </w:tc>
        <w:tc>
          <w:tcPr>
            <w:tcW w:w="440" w:type="dxa"/>
            <w:tcBorders/>
            <w:vAlign w:val="center"/>
          </w:tcPr>
          <w:p>
            <w:pPr>
              <w:pStyle w:val="TableContents"/>
              <w:bidi w:val="0"/>
              <w:spacing w:before="0" w:after="0"/>
              <w:ind w:left="0" w:right="0" w:hanging="0"/>
              <w:jc w:val="right"/>
              <w:rPr/>
            </w:pPr>
            <w:hyperlink w:anchor="equity">
              <w:r>
                <w:rPr>
                  <w:rStyle w:val="InternetLink"/>
                  <w:rFonts w:ascii="Times New Roman" w:hAnsi="Times New Roman"/>
                  <w:caps w:val="false"/>
                  <w:smallCaps w:val="false"/>
                  <w:sz w:val="20"/>
                </w:rPr>
                <w:t>5</w:t>
              </w:r>
            </w:hyperlink>
          </w:p>
        </w:tc>
      </w:tr>
      <w:tr>
        <w:trPr/>
        <w:tc>
          <w:tcPr>
            <w:tcW w:w="785" w:type="dxa"/>
            <w:tcBorders/>
            <w:vAlign w:val="center"/>
          </w:tcPr>
          <w:p>
            <w:pPr>
              <w:pStyle w:val="TableContents"/>
              <w:bidi w:val="0"/>
              <w:spacing w:before="0" w:after="0"/>
              <w:ind w:left="140" w:right="0" w:hanging="0"/>
              <w:jc w:val="left"/>
              <w:rPr>
                <w:caps w:val="false"/>
                <w:smallCaps w:val="false"/>
              </w:rPr>
            </w:pPr>
            <w:r>
              <w:rPr>
                <w:caps w:val="false"/>
                <w:smallCaps w:val="false"/>
              </w:rPr>
              <w:t> </w:t>
            </w:r>
          </w:p>
        </w:tc>
        <w:tc>
          <w:tcPr>
            <w:tcW w:w="7475" w:type="dxa"/>
            <w:tcBorders/>
            <w:vAlign w:val="center"/>
          </w:tcPr>
          <w:p>
            <w:pPr>
              <w:pStyle w:val="TableContents"/>
              <w:bidi w:val="0"/>
              <w:spacing w:before="0" w:after="0"/>
              <w:ind w:left="0" w:right="0" w:hanging="0"/>
              <w:jc w:val="left"/>
              <w:rPr/>
            </w:pPr>
            <w:hyperlink w:anchor="cf">
              <w:r>
                <w:rPr>
                  <w:rStyle w:val="InternetLink"/>
                  <w:rFonts w:ascii="Times New Roman" w:hAnsi="Times New Roman"/>
                  <w:caps w:val="false"/>
                  <w:smallCaps w:val="false"/>
                  <w:sz w:val="20"/>
                </w:rPr>
                <w:t>Condensed Consolidated Statements of Cash Flows</w:t>
              </w:r>
            </w:hyperlink>
          </w:p>
        </w:tc>
        <w:tc>
          <w:tcPr>
            <w:tcW w:w="440" w:type="dxa"/>
            <w:tcBorders/>
            <w:vAlign w:val="center"/>
          </w:tcPr>
          <w:p>
            <w:pPr>
              <w:pStyle w:val="TableContents"/>
              <w:bidi w:val="0"/>
              <w:spacing w:before="0" w:after="0"/>
              <w:ind w:left="0" w:right="0" w:hanging="0"/>
              <w:jc w:val="right"/>
              <w:rPr/>
            </w:pPr>
            <w:hyperlink w:anchor="cf">
              <w:r>
                <w:rPr>
                  <w:rStyle w:val="InternetLink"/>
                  <w:rFonts w:ascii="Times New Roman" w:hAnsi="Times New Roman"/>
                  <w:caps w:val="false"/>
                  <w:smallCaps w:val="false"/>
                  <w:sz w:val="20"/>
                </w:rPr>
                <w:t>6</w:t>
              </w:r>
            </w:hyperlink>
          </w:p>
        </w:tc>
      </w:tr>
      <w:tr>
        <w:trPr/>
        <w:tc>
          <w:tcPr>
            <w:tcW w:w="785" w:type="dxa"/>
            <w:tcBorders/>
            <w:vAlign w:val="center"/>
          </w:tcPr>
          <w:p>
            <w:pPr>
              <w:pStyle w:val="TableContents"/>
              <w:bidi w:val="0"/>
              <w:spacing w:before="0" w:after="0"/>
              <w:ind w:left="140" w:right="0" w:hanging="0"/>
              <w:jc w:val="left"/>
              <w:rPr>
                <w:caps w:val="false"/>
                <w:smallCaps w:val="false"/>
              </w:rPr>
            </w:pPr>
            <w:r>
              <w:rPr>
                <w:caps w:val="false"/>
                <w:smallCaps w:val="false"/>
              </w:rPr>
              <w:t> </w:t>
            </w:r>
          </w:p>
        </w:tc>
        <w:tc>
          <w:tcPr>
            <w:tcW w:w="7475" w:type="dxa"/>
            <w:tcBorders/>
            <w:vAlign w:val="center"/>
          </w:tcPr>
          <w:p>
            <w:pPr>
              <w:pStyle w:val="TableContents"/>
              <w:bidi w:val="0"/>
              <w:spacing w:before="0" w:after="0"/>
              <w:ind w:left="0" w:right="0" w:hanging="0"/>
              <w:jc w:val="left"/>
              <w:rPr/>
            </w:pPr>
            <w:hyperlink w:anchor="notes">
              <w:r>
                <w:rPr>
                  <w:rStyle w:val="InternetLink"/>
                  <w:rFonts w:ascii="Times New Roman" w:hAnsi="Times New Roman"/>
                  <w:caps w:val="false"/>
                  <w:smallCaps w:val="false"/>
                  <w:sz w:val="20"/>
                </w:rPr>
                <w:t>Notes to the Condensed Consolidated Financial Statements</w:t>
              </w:r>
            </w:hyperlink>
          </w:p>
        </w:tc>
        <w:tc>
          <w:tcPr>
            <w:tcW w:w="440" w:type="dxa"/>
            <w:tcBorders/>
            <w:vAlign w:val="center"/>
          </w:tcPr>
          <w:p>
            <w:pPr>
              <w:pStyle w:val="TableContents"/>
              <w:bidi w:val="0"/>
              <w:spacing w:before="0" w:after="0"/>
              <w:ind w:left="0" w:right="0" w:hanging="0"/>
              <w:jc w:val="right"/>
              <w:rPr/>
            </w:pPr>
            <w:hyperlink w:anchor="notes">
              <w:r>
                <w:rPr>
                  <w:rStyle w:val="InternetLink"/>
                  <w:rFonts w:ascii="Times New Roman" w:hAnsi="Times New Roman"/>
                  <w:caps w:val="false"/>
                  <w:smallCaps w:val="false"/>
                  <w:sz w:val="20"/>
                </w:rPr>
                <w:t>7</w:t>
              </w:r>
            </w:hyperlink>
          </w:p>
        </w:tc>
      </w:tr>
      <w:tr>
        <w:trPr/>
        <w:tc>
          <w:tcPr>
            <w:tcW w:w="7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2.</w:t>
            </w:r>
          </w:p>
        </w:tc>
        <w:tc>
          <w:tcPr>
            <w:tcW w:w="7475" w:type="dxa"/>
            <w:tcBorders/>
            <w:vAlign w:val="center"/>
          </w:tcPr>
          <w:p>
            <w:pPr>
              <w:pStyle w:val="TableContents"/>
              <w:bidi w:val="0"/>
              <w:spacing w:before="0" w:after="0"/>
              <w:ind w:left="0" w:right="0" w:hanging="0"/>
              <w:jc w:val="left"/>
              <w:rPr/>
            </w:pPr>
            <w:hyperlink w:anchor="item2">
              <w:r>
                <w:rPr>
                  <w:rStyle w:val="InternetLink"/>
                  <w:rFonts w:ascii="Times New Roman" w:hAnsi="Times New Roman"/>
                  <w:b/>
                  <w:caps w:val="false"/>
                  <w:smallCaps w:val="false"/>
                  <w:sz w:val="20"/>
                </w:rPr>
                <w:t>Management</w:t>
              </w:r>
            </w:hyperlink>
            <w:hyperlink w:anchor="item2">
              <w:r>
                <w:rPr>
                  <w:rStyle w:val="InternetLink"/>
                  <w:rFonts w:ascii="Times New Roman" w:hAnsi="Times New Roman"/>
                  <w:caps w:val="false"/>
                  <w:smallCaps w:val="false"/>
                  <w:sz w:val="20"/>
                </w:rPr>
                <w:t>’</w:t>
              </w:r>
            </w:hyperlink>
            <w:hyperlink w:anchor="item2">
              <w:r>
                <w:rPr>
                  <w:rStyle w:val="InternetLink"/>
                  <w:rFonts w:ascii="Times New Roman" w:hAnsi="Times New Roman"/>
                  <w:b/>
                  <w:caps w:val="false"/>
                  <w:smallCaps w:val="false"/>
                  <w:sz w:val="20"/>
                </w:rPr>
                <w:t>s Discussion and Analysis of Financial Condition and Results of Operations</w:t>
              </w:r>
            </w:hyperlink>
          </w:p>
        </w:tc>
        <w:tc>
          <w:tcPr>
            <w:tcW w:w="440" w:type="dxa"/>
            <w:tcBorders/>
            <w:vAlign w:val="center"/>
          </w:tcPr>
          <w:p>
            <w:pPr>
              <w:pStyle w:val="TableContents"/>
              <w:bidi w:val="0"/>
              <w:spacing w:before="0" w:after="0"/>
              <w:ind w:left="0" w:right="0" w:hanging="0"/>
              <w:jc w:val="right"/>
              <w:rPr/>
            </w:pPr>
            <w:hyperlink w:anchor="item2">
              <w:r>
                <w:rPr>
                  <w:rStyle w:val="InternetLink"/>
                  <w:rFonts w:ascii="Times New Roman" w:hAnsi="Times New Roman"/>
                  <w:caps w:val="false"/>
                  <w:smallCaps w:val="false"/>
                  <w:sz w:val="20"/>
                </w:rPr>
                <w:t>25</w:t>
              </w:r>
            </w:hyperlink>
          </w:p>
        </w:tc>
      </w:tr>
      <w:tr>
        <w:trPr/>
        <w:tc>
          <w:tcPr>
            <w:tcW w:w="7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3.</w:t>
            </w:r>
          </w:p>
        </w:tc>
        <w:tc>
          <w:tcPr>
            <w:tcW w:w="7475" w:type="dxa"/>
            <w:tcBorders/>
            <w:vAlign w:val="center"/>
          </w:tcPr>
          <w:p>
            <w:pPr>
              <w:pStyle w:val="TableContents"/>
              <w:bidi w:val="0"/>
              <w:spacing w:before="0" w:after="0"/>
              <w:ind w:left="0" w:right="0" w:hanging="0"/>
              <w:jc w:val="left"/>
              <w:rPr/>
            </w:pPr>
            <w:hyperlink w:anchor="item3">
              <w:r>
                <w:rPr>
                  <w:rStyle w:val="InternetLink"/>
                  <w:rFonts w:ascii="Times New Roman" w:hAnsi="Times New Roman"/>
                  <w:b/>
                  <w:caps w:val="false"/>
                  <w:smallCaps w:val="false"/>
                  <w:sz w:val="20"/>
                </w:rPr>
                <w:t>Quantitative and Qualitative Disclosures About Market Risk</w:t>
              </w:r>
            </w:hyperlink>
          </w:p>
        </w:tc>
        <w:tc>
          <w:tcPr>
            <w:tcW w:w="440" w:type="dxa"/>
            <w:tcBorders/>
            <w:vAlign w:val="center"/>
          </w:tcPr>
          <w:p>
            <w:pPr>
              <w:pStyle w:val="TableContents"/>
              <w:bidi w:val="0"/>
              <w:spacing w:before="0" w:after="0"/>
              <w:ind w:left="0" w:right="0" w:hanging="0"/>
              <w:jc w:val="right"/>
              <w:rPr/>
            </w:pPr>
            <w:hyperlink w:anchor="item3">
              <w:r>
                <w:rPr>
                  <w:rStyle w:val="InternetLink"/>
                  <w:rFonts w:ascii="Times New Roman" w:hAnsi="Times New Roman"/>
                  <w:caps w:val="false"/>
                  <w:smallCaps w:val="false"/>
                  <w:sz w:val="20"/>
                </w:rPr>
                <w:t>45</w:t>
              </w:r>
            </w:hyperlink>
          </w:p>
        </w:tc>
      </w:tr>
      <w:tr>
        <w:trPr/>
        <w:tc>
          <w:tcPr>
            <w:tcW w:w="7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4.</w:t>
            </w:r>
          </w:p>
        </w:tc>
        <w:tc>
          <w:tcPr>
            <w:tcW w:w="7475" w:type="dxa"/>
            <w:tcBorders/>
            <w:vAlign w:val="center"/>
          </w:tcPr>
          <w:p>
            <w:pPr>
              <w:pStyle w:val="TableContents"/>
              <w:bidi w:val="0"/>
              <w:spacing w:before="0" w:after="0"/>
              <w:ind w:left="0" w:right="0" w:hanging="0"/>
              <w:jc w:val="left"/>
              <w:rPr/>
            </w:pPr>
            <w:hyperlink w:anchor="item4">
              <w:r>
                <w:rPr>
                  <w:rStyle w:val="InternetLink"/>
                  <w:rFonts w:ascii="Times New Roman" w:hAnsi="Times New Roman"/>
                  <w:b/>
                  <w:caps w:val="false"/>
                  <w:smallCaps w:val="false"/>
                  <w:sz w:val="20"/>
                </w:rPr>
                <w:t>Controls and Procedures</w:t>
              </w:r>
            </w:hyperlink>
          </w:p>
        </w:tc>
        <w:tc>
          <w:tcPr>
            <w:tcW w:w="440" w:type="dxa"/>
            <w:tcBorders/>
            <w:vAlign w:val="center"/>
          </w:tcPr>
          <w:p>
            <w:pPr>
              <w:pStyle w:val="TableContents"/>
              <w:bidi w:val="0"/>
              <w:spacing w:before="0" w:after="0"/>
              <w:ind w:left="0" w:right="0" w:hanging="0"/>
              <w:jc w:val="right"/>
              <w:rPr/>
            </w:pPr>
            <w:hyperlink w:anchor="item4">
              <w:r>
                <w:rPr>
                  <w:rStyle w:val="InternetLink"/>
                  <w:rFonts w:ascii="Times New Roman" w:hAnsi="Times New Roman"/>
                  <w:caps w:val="false"/>
                  <w:smallCaps w:val="false"/>
                  <w:sz w:val="20"/>
                </w:rPr>
                <w:t>45</w:t>
              </w:r>
            </w:hyperlink>
          </w:p>
        </w:tc>
      </w:tr>
      <w:tr>
        <w:trPr/>
        <w:tc>
          <w:tcPr>
            <w:tcW w:w="7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II.</w:t>
            </w:r>
          </w:p>
        </w:tc>
        <w:tc>
          <w:tcPr>
            <w:tcW w:w="7475" w:type="dxa"/>
            <w:tcBorders/>
            <w:vAlign w:val="center"/>
          </w:tcPr>
          <w:p>
            <w:pPr>
              <w:pStyle w:val="TableContents"/>
              <w:bidi w:val="0"/>
              <w:spacing w:before="0" w:after="0"/>
              <w:ind w:left="0" w:right="0" w:hanging="0"/>
              <w:jc w:val="left"/>
              <w:rPr/>
            </w:pPr>
            <w:hyperlink w:anchor="part2">
              <w:r>
                <w:rPr>
                  <w:rStyle w:val="InternetLink"/>
                  <w:rFonts w:ascii="Times New Roman" w:hAnsi="Times New Roman"/>
                  <w:b/>
                  <w:caps w:val="false"/>
                  <w:smallCaps w:val="false"/>
                  <w:sz w:val="20"/>
                </w:rPr>
                <w:t>Other Information</w:t>
              </w:r>
            </w:hyperlink>
          </w:p>
        </w:tc>
        <w:tc>
          <w:tcPr>
            <w:tcW w:w="440" w:type="dxa"/>
            <w:tcBorders/>
            <w:vAlign w:val="center"/>
          </w:tcPr>
          <w:p>
            <w:pPr>
              <w:pStyle w:val="TableContents"/>
              <w:bidi w:val="0"/>
              <w:spacing w:before="0" w:after="0"/>
              <w:ind w:left="0" w:right="0" w:hanging="0"/>
              <w:jc w:val="right"/>
              <w:rPr/>
            </w:pPr>
            <w:hyperlink w:anchor="part2">
              <w:r>
                <w:rPr>
                  <w:rStyle w:val="InternetLink"/>
                  <w:rFonts w:ascii="Times New Roman" w:hAnsi="Times New Roman"/>
                  <w:caps w:val="false"/>
                  <w:smallCaps w:val="false"/>
                  <w:sz w:val="20"/>
                </w:rPr>
                <w:t>46</w:t>
              </w:r>
            </w:hyperlink>
          </w:p>
        </w:tc>
      </w:tr>
      <w:tr>
        <w:trPr/>
        <w:tc>
          <w:tcPr>
            <w:tcW w:w="7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w:t>
            </w:r>
          </w:p>
        </w:tc>
        <w:tc>
          <w:tcPr>
            <w:tcW w:w="7475" w:type="dxa"/>
            <w:tcBorders/>
            <w:vAlign w:val="center"/>
          </w:tcPr>
          <w:p>
            <w:pPr>
              <w:pStyle w:val="TableContents"/>
              <w:bidi w:val="0"/>
              <w:spacing w:before="0" w:after="0"/>
              <w:ind w:left="0" w:right="0" w:hanging="0"/>
              <w:jc w:val="left"/>
              <w:rPr/>
            </w:pPr>
            <w:hyperlink w:anchor="legal">
              <w:r>
                <w:rPr>
                  <w:rStyle w:val="InternetLink"/>
                  <w:rFonts w:ascii="Times New Roman" w:hAnsi="Times New Roman"/>
                  <w:b/>
                  <w:caps w:val="false"/>
                  <w:smallCaps w:val="false"/>
                  <w:sz w:val="20"/>
                </w:rPr>
                <w:t>Legal Proceedings</w:t>
              </w:r>
            </w:hyperlink>
          </w:p>
        </w:tc>
        <w:tc>
          <w:tcPr>
            <w:tcW w:w="440" w:type="dxa"/>
            <w:tcBorders/>
            <w:vAlign w:val="center"/>
          </w:tcPr>
          <w:p>
            <w:pPr>
              <w:pStyle w:val="TableContents"/>
              <w:bidi w:val="0"/>
              <w:spacing w:before="0" w:after="0"/>
              <w:ind w:left="0" w:right="0" w:hanging="0"/>
              <w:jc w:val="right"/>
              <w:rPr/>
            </w:pPr>
            <w:hyperlink w:anchor="legal">
              <w:r>
                <w:rPr>
                  <w:rStyle w:val="InternetLink"/>
                  <w:rFonts w:ascii="Times New Roman" w:hAnsi="Times New Roman"/>
                  <w:caps w:val="false"/>
                  <w:smallCaps w:val="false"/>
                  <w:sz w:val="20"/>
                </w:rPr>
                <w:t>46</w:t>
              </w:r>
            </w:hyperlink>
          </w:p>
        </w:tc>
      </w:tr>
      <w:tr>
        <w:trPr/>
        <w:tc>
          <w:tcPr>
            <w:tcW w:w="7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1A.</w:t>
            </w:r>
          </w:p>
        </w:tc>
        <w:tc>
          <w:tcPr>
            <w:tcW w:w="7475" w:type="dxa"/>
            <w:tcBorders/>
            <w:vAlign w:val="center"/>
          </w:tcPr>
          <w:p>
            <w:pPr>
              <w:pStyle w:val="TableContents"/>
              <w:bidi w:val="0"/>
              <w:spacing w:before="0" w:after="0"/>
              <w:ind w:left="0" w:right="0" w:hanging="0"/>
              <w:jc w:val="left"/>
              <w:rPr/>
            </w:pPr>
            <w:hyperlink w:anchor="risk">
              <w:r>
                <w:rPr>
                  <w:rStyle w:val="InternetLink"/>
                  <w:rFonts w:ascii="Times New Roman" w:hAnsi="Times New Roman"/>
                  <w:b/>
                  <w:caps w:val="false"/>
                  <w:smallCaps w:val="false"/>
                  <w:sz w:val="20"/>
                </w:rPr>
                <w:t>Risk Factors</w:t>
              </w:r>
            </w:hyperlink>
          </w:p>
        </w:tc>
        <w:tc>
          <w:tcPr>
            <w:tcW w:w="440" w:type="dxa"/>
            <w:tcBorders/>
            <w:vAlign w:val="center"/>
          </w:tcPr>
          <w:p>
            <w:pPr>
              <w:pStyle w:val="TableContents"/>
              <w:bidi w:val="0"/>
              <w:spacing w:before="0" w:after="0"/>
              <w:ind w:left="0" w:right="0" w:hanging="0"/>
              <w:jc w:val="right"/>
              <w:rPr/>
            </w:pPr>
            <w:hyperlink w:anchor="risk">
              <w:r>
                <w:rPr>
                  <w:rStyle w:val="InternetLink"/>
                  <w:rFonts w:ascii="Times New Roman" w:hAnsi="Times New Roman"/>
                  <w:caps w:val="false"/>
                  <w:smallCaps w:val="false"/>
                  <w:sz w:val="20"/>
                </w:rPr>
                <w:t>46</w:t>
              </w:r>
            </w:hyperlink>
          </w:p>
        </w:tc>
      </w:tr>
      <w:tr>
        <w:trPr/>
        <w:tc>
          <w:tcPr>
            <w:tcW w:w="7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2.</w:t>
            </w:r>
          </w:p>
        </w:tc>
        <w:tc>
          <w:tcPr>
            <w:tcW w:w="7475" w:type="dxa"/>
            <w:tcBorders/>
            <w:vAlign w:val="center"/>
          </w:tcPr>
          <w:p>
            <w:pPr>
              <w:pStyle w:val="TableContents"/>
              <w:bidi w:val="0"/>
              <w:spacing w:before="0" w:after="0"/>
              <w:ind w:left="0" w:right="0" w:hanging="0"/>
              <w:jc w:val="left"/>
              <w:rPr/>
            </w:pPr>
            <w:hyperlink w:anchor="unreg">
              <w:r>
                <w:rPr>
                  <w:rStyle w:val="InternetLink"/>
                  <w:rFonts w:ascii="Times New Roman" w:hAnsi="Times New Roman"/>
                  <w:b/>
                  <w:caps w:val="false"/>
                  <w:smallCaps w:val="false"/>
                  <w:sz w:val="20"/>
                </w:rPr>
                <w:t>Unregistered Sales of Equity Securities and Use of Proceeds</w:t>
              </w:r>
            </w:hyperlink>
          </w:p>
        </w:tc>
        <w:tc>
          <w:tcPr>
            <w:tcW w:w="440" w:type="dxa"/>
            <w:tcBorders/>
            <w:vAlign w:val="center"/>
          </w:tcPr>
          <w:p>
            <w:pPr>
              <w:pStyle w:val="TableContents"/>
              <w:bidi w:val="0"/>
              <w:spacing w:before="0" w:after="0"/>
              <w:ind w:left="0" w:right="0" w:hanging="0"/>
              <w:jc w:val="right"/>
              <w:rPr/>
            </w:pPr>
            <w:hyperlink w:anchor="unreg">
              <w:r>
                <w:rPr>
                  <w:rStyle w:val="InternetLink"/>
                  <w:rFonts w:ascii="Times New Roman" w:hAnsi="Times New Roman"/>
                  <w:caps w:val="false"/>
                  <w:smallCaps w:val="false"/>
                  <w:sz w:val="20"/>
                </w:rPr>
                <w:t>47</w:t>
              </w:r>
            </w:hyperlink>
          </w:p>
        </w:tc>
      </w:tr>
      <w:tr>
        <w:trPr/>
        <w:tc>
          <w:tcPr>
            <w:tcW w:w="7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3.</w:t>
            </w:r>
          </w:p>
        </w:tc>
        <w:tc>
          <w:tcPr>
            <w:tcW w:w="7475" w:type="dxa"/>
            <w:tcBorders/>
            <w:vAlign w:val="center"/>
          </w:tcPr>
          <w:p>
            <w:pPr>
              <w:pStyle w:val="TableContents"/>
              <w:bidi w:val="0"/>
              <w:spacing w:before="0" w:after="0"/>
              <w:ind w:left="0" w:right="0" w:hanging="0"/>
              <w:jc w:val="left"/>
              <w:rPr/>
            </w:pPr>
            <w:hyperlink w:anchor="defaults">
              <w:r>
                <w:rPr>
                  <w:rStyle w:val="InternetLink"/>
                  <w:rFonts w:ascii="Times New Roman" w:hAnsi="Times New Roman"/>
                  <w:b/>
                  <w:caps w:val="false"/>
                  <w:smallCaps w:val="false"/>
                  <w:sz w:val="20"/>
                </w:rPr>
                <w:t>Defaults Upon Senior Securities</w:t>
              </w:r>
            </w:hyperlink>
          </w:p>
        </w:tc>
        <w:tc>
          <w:tcPr>
            <w:tcW w:w="440" w:type="dxa"/>
            <w:tcBorders/>
            <w:vAlign w:val="center"/>
          </w:tcPr>
          <w:p>
            <w:pPr>
              <w:pStyle w:val="TableContents"/>
              <w:bidi w:val="0"/>
              <w:spacing w:before="0" w:after="0"/>
              <w:ind w:left="0" w:right="0" w:hanging="0"/>
              <w:jc w:val="right"/>
              <w:rPr/>
            </w:pPr>
            <w:hyperlink w:anchor="defaults">
              <w:r>
                <w:rPr>
                  <w:rStyle w:val="InternetLink"/>
                  <w:rFonts w:ascii="Times New Roman" w:hAnsi="Times New Roman"/>
                  <w:caps w:val="false"/>
                  <w:smallCaps w:val="false"/>
                  <w:sz w:val="20"/>
                </w:rPr>
                <w:t>48</w:t>
              </w:r>
            </w:hyperlink>
          </w:p>
        </w:tc>
      </w:tr>
      <w:tr>
        <w:trPr/>
        <w:tc>
          <w:tcPr>
            <w:tcW w:w="7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4.</w:t>
            </w:r>
          </w:p>
        </w:tc>
        <w:tc>
          <w:tcPr>
            <w:tcW w:w="7475" w:type="dxa"/>
            <w:tcBorders/>
            <w:vAlign w:val="center"/>
          </w:tcPr>
          <w:p>
            <w:pPr>
              <w:pStyle w:val="TableContents"/>
              <w:bidi w:val="0"/>
              <w:spacing w:before="0" w:after="0"/>
              <w:ind w:left="0" w:right="0" w:hanging="0"/>
              <w:jc w:val="left"/>
              <w:rPr/>
            </w:pPr>
            <w:hyperlink w:anchor="mine">
              <w:r>
                <w:rPr>
                  <w:rStyle w:val="InternetLink"/>
                  <w:rFonts w:ascii="Times New Roman" w:hAnsi="Times New Roman"/>
                  <w:b/>
                  <w:caps w:val="false"/>
                  <w:smallCaps w:val="false"/>
                  <w:sz w:val="20"/>
                </w:rPr>
                <w:t>Mine Safety Disclosures</w:t>
              </w:r>
            </w:hyperlink>
          </w:p>
        </w:tc>
        <w:tc>
          <w:tcPr>
            <w:tcW w:w="440" w:type="dxa"/>
            <w:tcBorders/>
            <w:vAlign w:val="center"/>
          </w:tcPr>
          <w:p>
            <w:pPr>
              <w:pStyle w:val="TableContents"/>
              <w:bidi w:val="0"/>
              <w:spacing w:before="0" w:after="0"/>
              <w:ind w:left="0" w:right="0" w:hanging="0"/>
              <w:jc w:val="right"/>
              <w:rPr/>
            </w:pPr>
            <w:hyperlink w:anchor="mine">
              <w:r>
                <w:rPr>
                  <w:rStyle w:val="InternetLink"/>
                  <w:rFonts w:ascii="Times New Roman" w:hAnsi="Times New Roman"/>
                  <w:caps w:val="false"/>
                  <w:smallCaps w:val="false"/>
                  <w:sz w:val="20"/>
                </w:rPr>
                <w:t>48</w:t>
              </w:r>
            </w:hyperlink>
          </w:p>
        </w:tc>
      </w:tr>
      <w:tr>
        <w:trPr/>
        <w:tc>
          <w:tcPr>
            <w:tcW w:w="7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5.</w:t>
            </w:r>
          </w:p>
        </w:tc>
        <w:tc>
          <w:tcPr>
            <w:tcW w:w="7475" w:type="dxa"/>
            <w:tcBorders/>
            <w:vAlign w:val="center"/>
          </w:tcPr>
          <w:p>
            <w:pPr>
              <w:pStyle w:val="TableContents"/>
              <w:bidi w:val="0"/>
              <w:spacing w:before="0" w:after="0"/>
              <w:ind w:left="0" w:right="0" w:hanging="0"/>
              <w:jc w:val="left"/>
              <w:rPr/>
            </w:pPr>
            <w:hyperlink w:anchor="other">
              <w:r>
                <w:rPr>
                  <w:rStyle w:val="InternetLink"/>
                  <w:rFonts w:ascii="Times New Roman" w:hAnsi="Times New Roman"/>
                  <w:b/>
                  <w:caps w:val="false"/>
                  <w:smallCaps w:val="false"/>
                  <w:sz w:val="20"/>
                </w:rPr>
                <w:t>Other Information</w:t>
              </w:r>
            </w:hyperlink>
          </w:p>
        </w:tc>
        <w:tc>
          <w:tcPr>
            <w:tcW w:w="440" w:type="dxa"/>
            <w:tcBorders/>
            <w:vAlign w:val="center"/>
          </w:tcPr>
          <w:p>
            <w:pPr>
              <w:pStyle w:val="TableContents"/>
              <w:bidi w:val="0"/>
              <w:spacing w:before="0" w:after="0"/>
              <w:ind w:left="0" w:right="0" w:hanging="0"/>
              <w:jc w:val="right"/>
              <w:rPr/>
            </w:pPr>
            <w:hyperlink w:anchor="other">
              <w:r>
                <w:rPr>
                  <w:rStyle w:val="InternetLink"/>
                  <w:rFonts w:ascii="Times New Roman" w:hAnsi="Times New Roman"/>
                  <w:caps w:val="false"/>
                  <w:smallCaps w:val="false"/>
                  <w:sz w:val="20"/>
                </w:rPr>
                <w:t>48</w:t>
              </w:r>
            </w:hyperlink>
          </w:p>
        </w:tc>
      </w:tr>
      <w:tr>
        <w:trPr/>
        <w:tc>
          <w:tcPr>
            <w:tcW w:w="7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6.</w:t>
            </w:r>
          </w:p>
        </w:tc>
        <w:tc>
          <w:tcPr>
            <w:tcW w:w="7475" w:type="dxa"/>
            <w:tcBorders/>
            <w:vAlign w:val="center"/>
          </w:tcPr>
          <w:p>
            <w:pPr>
              <w:pStyle w:val="TableContents"/>
              <w:bidi w:val="0"/>
              <w:spacing w:before="0" w:after="0"/>
              <w:ind w:left="0" w:right="0" w:hanging="0"/>
              <w:jc w:val="left"/>
              <w:rPr/>
            </w:pPr>
            <w:hyperlink w:anchor="exhibits">
              <w:r>
                <w:rPr>
                  <w:rStyle w:val="InternetLink"/>
                  <w:rFonts w:ascii="Times New Roman" w:hAnsi="Times New Roman"/>
                  <w:b/>
                  <w:caps w:val="false"/>
                  <w:smallCaps w:val="false"/>
                  <w:sz w:val="20"/>
                </w:rPr>
                <w:t>Exhibits</w:t>
              </w:r>
            </w:hyperlink>
          </w:p>
        </w:tc>
        <w:tc>
          <w:tcPr>
            <w:tcW w:w="440" w:type="dxa"/>
            <w:tcBorders/>
            <w:vAlign w:val="center"/>
          </w:tcPr>
          <w:p>
            <w:pPr>
              <w:pStyle w:val="TableContents"/>
              <w:bidi w:val="0"/>
              <w:spacing w:before="0" w:after="0"/>
              <w:ind w:left="0" w:right="0" w:hanging="0"/>
              <w:jc w:val="right"/>
              <w:rPr/>
            </w:pPr>
            <w:hyperlink w:anchor="exhibits">
              <w:r>
                <w:rPr>
                  <w:rStyle w:val="InternetLink"/>
                  <w:rFonts w:ascii="Times New Roman" w:hAnsi="Times New Roman"/>
                  <w:caps w:val="false"/>
                  <w:smallCaps w:val="false"/>
                  <w:sz w:val="20"/>
                </w:rPr>
                <w:t>48</w:t>
              </w:r>
            </w:hyperlink>
          </w:p>
        </w:tc>
      </w:tr>
      <w:tr>
        <w:trPr/>
        <w:tc>
          <w:tcPr>
            <w:tcW w:w="8260" w:type="dxa"/>
            <w:gridSpan w:val="2"/>
            <w:tcBorders/>
            <w:vAlign w:val="center"/>
          </w:tcPr>
          <w:p>
            <w:pPr>
              <w:pStyle w:val="TableContents"/>
              <w:bidi w:val="0"/>
              <w:spacing w:before="0" w:after="0"/>
              <w:ind w:left="0" w:right="0" w:hanging="0"/>
              <w:jc w:val="left"/>
              <w:rPr/>
            </w:pPr>
            <w:hyperlink w:anchor="sigs">
              <w:r>
                <w:rPr>
                  <w:rStyle w:val="InternetLink"/>
                  <w:rFonts w:ascii="Times New Roman" w:hAnsi="Times New Roman"/>
                  <w:b/>
                  <w:caps w:val="false"/>
                  <w:smallCaps w:val="false"/>
                  <w:sz w:val="20"/>
                </w:rPr>
                <w:t>Signatures</w:t>
              </w:r>
            </w:hyperlink>
          </w:p>
        </w:tc>
        <w:tc>
          <w:tcPr>
            <w:tcW w:w="440" w:type="dxa"/>
            <w:tcBorders/>
            <w:vAlign w:val="center"/>
          </w:tcPr>
          <w:p>
            <w:pPr>
              <w:pStyle w:val="TableContents"/>
              <w:bidi w:val="0"/>
              <w:spacing w:before="0" w:after="0"/>
              <w:ind w:left="0" w:right="0" w:hanging="0"/>
              <w:jc w:val="right"/>
              <w:rPr/>
            </w:pPr>
            <w:hyperlink w:anchor="sigs">
              <w:r>
                <w:rPr>
                  <w:rStyle w:val="InternetLink"/>
                  <w:rFonts w:ascii="Times New Roman" w:hAnsi="Times New Roman"/>
                  <w:caps w:val="false"/>
                  <w:smallCaps w:val="false"/>
                  <w:sz w:val="20"/>
                </w:rPr>
                <w:t>49</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i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3" w:name="parti"/>
      <w:bookmarkEnd w:id="3"/>
      <w:r>
        <w:rPr>
          <w:rFonts w:ascii="Times New Roman" w:hAnsi="Times New Roman"/>
          <w:b/>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4" w:name="item1"/>
      <w:bookmarkEnd w:id="4"/>
      <w:r>
        <w:rPr>
          <w:rFonts w:ascii="Times New Roman" w:hAnsi="Times New Roman"/>
          <w:b/>
          <w:caps w:val="false"/>
          <w:smallCaps w:val="false"/>
          <w:sz w:val="20"/>
        </w:rPr>
        <w:t>ITEM 1.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5" w:name="bs"/>
      <w:bookmarkEnd w:id="5"/>
      <w:r>
        <w:rPr>
          <w:rFonts w:ascii="Times New Roman" w:hAnsi="Times New Roman"/>
          <w:b/>
          <w:caps w:val="false"/>
          <w:smallCaps w:val="false"/>
          <w:sz w:val="20"/>
        </w:rPr>
        <w:t>VENUS CONCEPT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(Unaudited)</w:t>
      </w:r>
    </w:p>
    <w:p>
      <w:pPr>
        <w:pStyle w:val="TextBody"/>
        <w:bidi w:val="0"/>
        <w:spacing w:before="0" w:after="0"/>
        <w:ind w:left="0" w:right="0" w:hanging="0"/>
        <w:jc w:val="center"/>
        <w:rPr>
          <w:rFonts w:ascii="Times New Roman" w:hAnsi="Times New Roman"/>
          <w:b/>
          <w:i/>
          <w:caps w:val="false"/>
          <w:smallCaps w:val="false"/>
          <w:position w:val="-2"/>
          <w:sz w:val="16"/>
          <w:sz w:val="20"/>
        </w:rPr>
      </w:pPr>
      <w:r>
        <w:rPr>
          <w:rFonts w:ascii="Times New Roman" w:hAnsi="Times New Roman"/>
          <w:b/>
          <w:i/>
          <w:caps w:val="false"/>
          <w:smallCaps w:val="false"/>
          <w:position w:val="-2"/>
          <w:sz w:val="16"/>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60"/>
        <w:gridCol w:w="60"/>
        <w:gridCol w:w="125"/>
        <w:gridCol w:w="755"/>
        <w:gridCol w:w="80"/>
        <w:gridCol w:w="60"/>
        <w:gridCol w:w="139"/>
        <w:gridCol w:w="844"/>
        <w:gridCol w:w="82"/>
      </w:tblGrid>
      <w:tr>
        <w:trPr/>
        <w:tc>
          <w:tcPr>
            <w:tcW w:w="8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3"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2" w:type="dxa"/>
            <w:tcBorders/>
            <w:shd w:fill="FFFFFF" w:val="clear"/>
            <w:vAlign w:val="center"/>
          </w:tcPr>
          <w:p>
            <w:pPr>
              <w:pStyle w:val="TableContents"/>
              <w:bidi w:val="0"/>
              <w:spacing w:before="0" w:after="283"/>
              <w:jc w:val="left"/>
              <w:rPr/>
            </w:pPr>
            <w:r>
              <w:rPr/>
              <w:t> </w:t>
            </w:r>
          </w:p>
        </w:tc>
      </w:tr>
      <w:tr>
        <w:trPr/>
        <w:tc>
          <w:tcPr>
            <w:tcW w:w="8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2" w:type="dxa"/>
            <w:tcBorders/>
            <w:shd w:fill="FFFFFF" w:val="clear"/>
            <w:vAlign w:val="center"/>
          </w:tcPr>
          <w:p>
            <w:pPr>
              <w:pStyle w:val="TableContents"/>
              <w:bidi w:val="0"/>
              <w:spacing w:before="0" w:after="283"/>
              <w:jc w:val="left"/>
              <w:rPr/>
            </w:pPr>
            <w:r>
              <w:rPr/>
              <w:t> </w:t>
            </w:r>
          </w:p>
        </w:tc>
      </w:tr>
      <w:tr>
        <w:trPr/>
        <w:tc>
          <w:tcPr>
            <w:tcW w:w="806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0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0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6,122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4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11,569</w:t>
            </w:r>
          </w:p>
        </w:tc>
        <w:tc>
          <w:tcPr>
            <w:tcW w:w="82" w:type="dxa"/>
            <w:tcBorders/>
            <w:shd w:fill="CCEEFF" w:val="clear"/>
            <w:vAlign w:val="center"/>
          </w:tcPr>
          <w:p>
            <w:pPr>
              <w:pStyle w:val="TableContents"/>
              <w:bidi w:val="0"/>
              <w:spacing w:before="0" w:after="283"/>
              <w:jc w:val="left"/>
              <w:rPr/>
            </w:pPr>
            <w:r>
              <w:rPr/>
              <w:t> </w:t>
            </w:r>
          </w:p>
        </w:tc>
      </w:tr>
      <w:tr>
        <w:trPr/>
        <w:tc>
          <w:tcPr>
            <w:tcW w:w="80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receivable, net of allowance of $13,233 and $13,619 as of June 30, 2023, and December 31, 2022,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37,520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37,262</w:t>
            </w:r>
          </w:p>
        </w:tc>
        <w:tc>
          <w:tcPr>
            <w:tcW w:w="82" w:type="dxa"/>
            <w:tcBorders/>
            <w:shd w:fill="FFFFFF" w:val="clear"/>
            <w:vAlign w:val="center"/>
          </w:tcPr>
          <w:p>
            <w:pPr>
              <w:pStyle w:val="TableContents"/>
              <w:bidi w:val="0"/>
              <w:spacing w:before="0" w:after="283"/>
              <w:jc w:val="left"/>
              <w:rPr/>
            </w:pPr>
            <w:r>
              <w:rPr/>
              <w:t> </w:t>
            </w:r>
          </w:p>
        </w:tc>
      </w:tr>
      <w:tr>
        <w:trPr/>
        <w:tc>
          <w:tcPr>
            <w:tcW w:w="80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Inventories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22,936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23,906</w:t>
            </w:r>
          </w:p>
        </w:tc>
        <w:tc>
          <w:tcPr>
            <w:tcW w:w="82" w:type="dxa"/>
            <w:tcBorders/>
            <w:shd w:fill="CCEEFF" w:val="clear"/>
            <w:vAlign w:val="center"/>
          </w:tcPr>
          <w:p>
            <w:pPr>
              <w:pStyle w:val="TableContents"/>
              <w:bidi w:val="0"/>
              <w:spacing w:before="0" w:after="283"/>
              <w:jc w:val="left"/>
              <w:rPr/>
            </w:pPr>
            <w:r>
              <w:rPr/>
              <w:t> </w:t>
            </w:r>
          </w:p>
        </w:tc>
      </w:tr>
      <w:tr>
        <w:trPr/>
        <w:tc>
          <w:tcPr>
            <w:tcW w:w="80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Prepaid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1,688</w:t>
            </w:r>
          </w:p>
        </w:tc>
        <w:tc>
          <w:tcPr>
            <w:tcW w:w="82" w:type="dxa"/>
            <w:tcBorders/>
            <w:shd w:fill="FFFFFF" w:val="clear"/>
            <w:vAlign w:val="center"/>
          </w:tcPr>
          <w:p>
            <w:pPr>
              <w:pStyle w:val="TableContents"/>
              <w:bidi w:val="0"/>
              <w:spacing w:before="0" w:after="283"/>
              <w:jc w:val="left"/>
              <w:rPr/>
            </w:pPr>
            <w:r>
              <w:rPr/>
              <w:t> </w:t>
            </w:r>
          </w:p>
        </w:tc>
      </w:tr>
      <w:tr>
        <w:trPr/>
        <w:tc>
          <w:tcPr>
            <w:tcW w:w="80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Advances to suppliers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5,749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5,881</w:t>
            </w:r>
          </w:p>
        </w:tc>
        <w:tc>
          <w:tcPr>
            <w:tcW w:w="82" w:type="dxa"/>
            <w:tcBorders/>
            <w:shd w:fill="CCEEFF" w:val="clear"/>
            <w:vAlign w:val="center"/>
          </w:tcPr>
          <w:p>
            <w:pPr>
              <w:pStyle w:val="TableContents"/>
              <w:bidi w:val="0"/>
              <w:spacing w:before="0" w:after="283"/>
              <w:jc w:val="left"/>
              <w:rPr/>
            </w:pPr>
            <w:r>
              <w:rPr/>
              <w:t> </w:t>
            </w:r>
          </w:p>
        </w:tc>
      </w:tr>
      <w:tr>
        <w:trPr/>
        <w:tc>
          <w:tcPr>
            <w:tcW w:w="80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3,702</w:t>
            </w:r>
          </w:p>
        </w:tc>
        <w:tc>
          <w:tcPr>
            <w:tcW w:w="82" w:type="dxa"/>
            <w:tcBorders/>
            <w:shd w:fill="FFFFFF" w:val="clear"/>
            <w:vAlign w:val="center"/>
          </w:tcPr>
          <w:p>
            <w:pPr>
              <w:pStyle w:val="TableContents"/>
              <w:bidi w:val="0"/>
              <w:spacing w:before="0" w:after="283"/>
              <w:jc w:val="left"/>
              <w:rPr/>
            </w:pPr>
            <w:r>
              <w:rPr/>
              <w:t> </w:t>
            </w:r>
          </w:p>
        </w:tc>
      </w:tr>
      <w:tr>
        <w:trPr/>
        <w:tc>
          <w:tcPr>
            <w:tcW w:w="806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pPr>
            <w:r>
              <w:rPr/>
              <w:t> </w:t>
            </w:r>
          </w:p>
        </w:tc>
        <w:tc>
          <w:tcPr>
            <w:tcW w:w="755"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75,792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pPr>
            <w:r>
              <w:rPr/>
              <w:t> </w:t>
            </w:r>
          </w:p>
        </w:tc>
        <w:tc>
          <w:tcPr>
            <w:tcW w:w="844"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84,008</w:t>
            </w:r>
          </w:p>
        </w:tc>
        <w:tc>
          <w:tcPr>
            <w:tcW w:w="82" w:type="dxa"/>
            <w:tcBorders/>
            <w:shd w:fill="CCEEFF" w:val="clear"/>
            <w:vAlign w:val="center"/>
          </w:tcPr>
          <w:p>
            <w:pPr>
              <w:pStyle w:val="TableContents"/>
              <w:bidi w:val="0"/>
              <w:spacing w:before="0" w:after="283"/>
              <w:jc w:val="left"/>
              <w:rPr/>
            </w:pPr>
            <w:r>
              <w:rPr/>
              <w:t> </w:t>
            </w:r>
          </w:p>
        </w:tc>
      </w:tr>
      <w:tr>
        <w:trPr/>
        <w:tc>
          <w:tcPr>
            <w:tcW w:w="80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LONG-TERM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0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Long-term receivables,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12,082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20,044</w:t>
            </w:r>
          </w:p>
        </w:tc>
        <w:tc>
          <w:tcPr>
            <w:tcW w:w="82" w:type="dxa"/>
            <w:tcBorders/>
            <w:shd w:fill="CCEEFF" w:val="clear"/>
            <w:vAlign w:val="center"/>
          </w:tcPr>
          <w:p>
            <w:pPr>
              <w:pStyle w:val="TableContents"/>
              <w:bidi w:val="0"/>
              <w:spacing w:before="0" w:after="283"/>
              <w:jc w:val="left"/>
              <w:rPr/>
            </w:pPr>
            <w:r>
              <w:rPr/>
              <w:t> </w:t>
            </w:r>
          </w:p>
        </w:tc>
      </w:tr>
      <w:tr>
        <w:trPr/>
        <w:tc>
          <w:tcPr>
            <w:tcW w:w="80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Deferred tax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947</w:t>
            </w:r>
          </w:p>
        </w:tc>
        <w:tc>
          <w:tcPr>
            <w:tcW w:w="82" w:type="dxa"/>
            <w:tcBorders/>
            <w:shd w:fill="FFFFFF" w:val="clear"/>
            <w:vAlign w:val="center"/>
          </w:tcPr>
          <w:p>
            <w:pPr>
              <w:pStyle w:val="TableContents"/>
              <w:bidi w:val="0"/>
              <w:spacing w:before="0" w:after="283"/>
              <w:jc w:val="left"/>
              <w:rPr/>
            </w:pPr>
            <w:r>
              <w:rPr/>
              <w:t> </w:t>
            </w:r>
          </w:p>
        </w:tc>
      </w:tr>
      <w:tr>
        <w:trPr/>
        <w:tc>
          <w:tcPr>
            <w:tcW w:w="80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Severance pay funds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741</w:t>
            </w:r>
          </w:p>
        </w:tc>
        <w:tc>
          <w:tcPr>
            <w:tcW w:w="82" w:type="dxa"/>
            <w:tcBorders/>
            <w:shd w:fill="CCEEFF" w:val="clear"/>
            <w:vAlign w:val="center"/>
          </w:tcPr>
          <w:p>
            <w:pPr>
              <w:pStyle w:val="TableContents"/>
              <w:bidi w:val="0"/>
              <w:spacing w:before="0" w:after="283"/>
              <w:jc w:val="left"/>
              <w:rPr/>
            </w:pPr>
            <w:r>
              <w:rPr/>
              <w:t> </w:t>
            </w:r>
          </w:p>
        </w:tc>
      </w:tr>
      <w:tr>
        <w:trPr/>
        <w:tc>
          <w:tcPr>
            <w:tcW w:w="80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1,857</w:t>
            </w:r>
          </w:p>
        </w:tc>
        <w:tc>
          <w:tcPr>
            <w:tcW w:w="82" w:type="dxa"/>
            <w:tcBorders/>
            <w:shd w:fill="FFFFFF" w:val="clear"/>
            <w:vAlign w:val="center"/>
          </w:tcPr>
          <w:p>
            <w:pPr>
              <w:pStyle w:val="TableContents"/>
              <w:bidi w:val="0"/>
              <w:spacing w:before="0" w:after="283"/>
              <w:jc w:val="left"/>
              <w:rPr/>
            </w:pPr>
            <w:r>
              <w:rPr/>
              <w:t> </w:t>
            </w:r>
          </w:p>
        </w:tc>
      </w:tr>
      <w:tr>
        <w:trPr/>
        <w:tc>
          <w:tcPr>
            <w:tcW w:w="80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right-of-use assets,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4,983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5,862</w:t>
            </w:r>
          </w:p>
        </w:tc>
        <w:tc>
          <w:tcPr>
            <w:tcW w:w="82" w:type="dxa"/>
            <w:tcBorders/>
            <w:shd w:fill="CCEEFF" w:val="clear"/>
            <w:vAlign w:val="center"/>
          </w:tcPr>
          <w:p>
            <w:pPr>
              <w:pStyle w:val="TableContents"/>
              <w:bidi w:val="0"/>
              <w:spacing w:before="0" w:after="283"/>
              <w:jc w:val="left"/>
              <w:rPr/>
            </w:pPr>
            <w:r>
              <w:rPr/>
              <w:t> </w:t>
            </w:r>
          </w:p>
        </w:tc>
      </w:tr>
      <w:tr>
        <w:trPr/>
        <w:tc>
          <w:tcPr>
            <w:tcW w:w="80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Intangible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10,197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4"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11,919</w:t>
            </w:r>
          </w:p>
        </w:tc>
        <w:tc>
          <w:tcPr>
            <w:tcW w:w="82" w:type="dxa"/>
            <w:tcBorders/>
            <w:shd w:fill="FFFFFF" w:val="clear"/>
            <w:vAlign w:val="center"/>
          </w:tcPr>
          <w:p>
            <w:pPr>
              <w:pStyle w:val="TableContents"/>
              <w:bidi w:val="0"/>
              <w:spacing w:before="0" w:after="283"/>
              <w:jc w:val="left"/>
              <w:rPr/>
            </w:pPr>
            <w:r>
              <w:rPr/>
              <w:t> </w:t>
            </w:r>
          </w:p>
        </w:tc>
      </w:tr>
      <w:tr>
        <w:trPr/>
        <w:tc>
          <w:tcPr>
            <w:tcW w:w="806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long-term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30,364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41,370</w:t>
            </w:r>
          </w:p>
        </w:tc>
        <w:tc>
          <w:tcPr>
            <w:tcW w:w="82" w:type="dxa"/>
            <w:tcBorders/>
            <w:shd w:fill="CCEEFF" w:val="clear"/>
            <w:vAlign w:val="center"/>
          </w:tcPr>
          <w:p>
            <w:pPr>
              <w:pStyle w:val="TableContents"/>
              <w:bidi w:val="0"/>
              <w:spacing w:before="0" w:after="283"/>
              <w:jc w:val="left"/>
              <w:rPr/>
            </w:pPr>
            <w:r>
              <w:rPr/>
              <w:t> </w:t>
            </w:r>
          </w:p>
        </w:tc>
      </w:tr>
      <w:tr>
        <w:trPr/>
        <w:tc>
          <w:tcPr>
            <w:tcW w:w="80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106,156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125,378</w:t>
            </w:r>
          </w:p>
        </w:tc>
        <w:tc>
          <w:tcPr>
            <w:tcW w:w="82" w:type="dxa"/>
            <w:tcBorders/>
            <w:shd w:fill="FFFFFF" w:val="clear"/>
            <w:vAlign w:val="center"/>
          </w:tcPr>
          <w:p>
            <w:pPr>
              <w:pStyle w:val="TableContents"/>
              <w:bidi w:val="0"/>
              <w:spacing w:before="0" w:after="283"/>
              <w:jc w:val="left"/>
              <w:rPr/>
            </w:pPr>
            <w:r>
              <w:rPr/>
              <w:t> </w:t>
            </w:r>
          </w:p>
        </w:tc>
      </w:tr>
      <w:tr>
        <w:trPr/>
        <w:tc>
          <w:tcPr>
            <w:tcW w:w="806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0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0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Trade payables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8,293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4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8,033</w:t>
            </w:r>
          </w:p>
        </w:tc>
        <w:tc>
          <w:tcPr>
            <w:tcW w:w="82" w:type="dxa"/>
            <w:tcBorders/>
            <w:shd w:fill="CCEEFF" w:val="clear"/>
            <w:vAlign w:val="center"/>
          </w:tcPr>
          <w:p>
            <w:pPr>
              <w:pStyle w:val="TableContents"/>
              <w:bidi w:val="0"/>
              <w:spacing w:before="0" w:after="283"/>
              <w:jc w:val="left"/>
              <w:rPr/>
            </w:pPr>
            <w:r>
              <w:rPr/>
              <w:t> </w:t>
            </w:r>
          </w:p>
        </w:tc>
      </w:tr>
      <w:tr>
        <w:trPr/>
        <w:tc>
          <w:tcPr>
            <w:tcW w:w="80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13,063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16,667</w:t>
            </w:r>
          </w:p>
        </w:tc>
        <w:tc>
          <w:tcPr>
            <w:tcW w:w="82" w:type="dxa"/>
            <w:tcBorders/>
            <w:shd w:fill="FFFFFF" w:val="clear"/>
            <w:vAlign w:val="center"/>
          </w:tcPr>
          <w:p>
            <w:pPr>
              <w:pStyle w:val="TableContents"/>
              <w:bidi w:val="0"/>
              <w:spacing w:before="0" w:after="283"/>
              <w:jc w:val="left"/>
              <w:rPr/>
            </w:pPr>
            <w:r>
              <w:rPr/>
              <w:t> </w:t>
            </w:r>
          </w:p>
        </w:tc>
      </w:tr>
      <w:tr>
        <w:trPr/>
        <w:tc>
          <w:tcPr>
            <w:tcW w:w="80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 portion of long-term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7,735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7,735</w:t>
            </w:r>
          </w:p>
        </w:tc>
        <w:tc>
          <w:tcPr>
            <w:tcW w:w="82" w:type="dxa"/>
            <w:tcBorders/>
            <w:shd w:fill="CCEEFF" w:val="clear"/>
            <w:vAlign w:val="center"/>
          </w:tcPr>
          <w:p>
            <w:pPr>
              <w:pStyle w:val="TableContents"/>
              <w:bidi w:val="0"/>
              <w:spacing w:before="0" w:after="283"/>
              <w:jc w:val="left"/>
              <w:rPr/>
            </w:pPr>
            <w:r>
              <w:rPr/>
              <w:t> </w:t>
            </w:r>
          </w:p>
        </w:tc>
      </w:tr>
      <w:tr>
        <w:trPr/>
        <w:tc>
          <w:tcPr>
            <w:tcW w:w="80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taxes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117</w:t>
            </w:r>
          </w:p>
        </w:tc>
        <w:tc>
          <w:tcPr>
            <w:tcW w:w="82" w:type="dxa"/>
            <w:tcBorders/>
            <w:shd w:fill="FFFFFF" w:val="clear"/>
            <w:vAlign w:val="center"/>
          </w:tcPr>
          <w:p>
            <w:pPr>
              <w:pStyle w:val="TableContents"/>
              <w:bidi w:val="0"/>
              <w:spacing w:before="0" w:after="283"/>
              <w:jc w:val="left"/>
              <w:rPr/>
            </w:pPr>
            <w:r>
              <w:rPr/>
              <w:t> </w:t>
            </w:r>
          </w:p>
        </w:tc>
      </w:tr>
      <w:tr>
        <w:trPr/>
        <w:tc>
          <w:tcPr>
            <w:tcW w:w="80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Unearned interest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2,397</w:t>
            </w:r>
          </w:p>
        </w:tc>
        <w:tc>
          <w:tcPr>
            <w:tcW w:w="82" w:type="dxa"/>
            <w:tcBorders/>
            <w:shd w:fill="CCEEFF" w:val="clear"/>
            <w:vAlign w:val="center"/>
          </w:tcPr>
          <w:p>
            <w:pPr>
              <w:pStyle w:val="TableContents"/>
              <w:bidi w:val="0"/>
              <w:spacing w:before="0" w:after="283"/>
              <w:jc w:val="left"/>
              <w:rPr/>
            </w:pPr>
            <w:r>
              <w:rPr/>
              <w:t> </w:t>
            </w:r>
          </w:p>
        </w:tc>
      </w:tr>
      <w:tr>
        <w:trPr/>
        <w:tc>
          <w:tcPr>
            <w:tcW w:w="80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Warranty accrual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1,074</w:t>
            </w:r>
          </w:p>
        </w:tc>
        <w:tc>
          <w:tcPr>
            <w:tcW w:w="82" w:type="dxa"/>
            <w:tcBorders/>
            <w:shd w:fill="FFFFFF" w:val="clear"/>
            <w:vAlign w:val="center"/>
          </w:tcPr>
          <w:p>
            <w:pPr>
              <w:pStyle w:val="TableContents"/>
              <w:bidi w:val="0"/>
              <w:spacing w:before="0" w:after="283"/>
              <w:jc w:val="left"/>
              <w:rPr/>
            </w:pPr>
            <w:r>
              <w:rPr/>
              <w:t> </w:t>
            </w:r>
          </w:p>
        </w:tc>
      </w:tr>
      <w:tr>
        <w:trPr/>
        <w:tc>
          <w:tcPr>
            <w:tcW w:w="80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Deferred 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1,765</w:t>
            </w:r>
          </w:p>
        </w:tc>
        <w:tc>
          <w:tcPr>
            <w:tcW w:w="82" w:type="dxa"/>
            <w:tcBorders/>
            <w:shd w:fill="CCEEFF" w:val="clear"/>
            <w:vAlign w:val="center"/>
          </w:tcPr>
          <w:p>
            <w:pPr>
              <w:pStyle w:val="TableContents"/>
              <w:bidi w:val="0"/>
              <w:spacing w:before="0" w:after="283"/>
              <w:jc w:val="left"/>
              <w:rPr/>
            </w:pPr>
            <w:r>
              <w:rPr/>
              <w:t> </w:t>
            </w:r>
          </w:p>
        </w:tc>
      </w:tr>
      <w:tr>
        <w:trPr/>
        <w:tc>
          <w:tcPr>
            <w:tcW w:w="80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4"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1,807</w:t>
            </w:r>
          </w:p>
        </w:tc>
        <w:tc>
          <w:tcPr>
            <w:tcW w:w="82" w:type="dxa"/>
            <w:tcBorders/>
            <w:shd w:fill="FFFFFF" w:val="clear"/>
            <w:vAlign w:val="center"/>
          </w:tcPr>
          <w:p>
            <w:pPr>
              <w:pStyle w:val="TableContents"/>
              <w:bidi w:val="0"/>
              <w:spacing w:before="0" w:after="283"/>
              <w:jc w:val="left"/>
              <w:rPr/>
            </w:pPr>
            <w:r>
              <w:rPr/>
              <w:t> </w:t>
            </w:r>
          </w:p>
        </w:tc>
      </w:tr>
      <w:tr>
        <w:trPr/>
        <w:tc>
          <w:tcPr>
            <w:tcW w:w="806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34,941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39,595</w:t>
            </w:r>
          </w:p>
        </w:tc>
        <w:tc>
          <w:tcPr>
            <w:tcW w:w="82" w:type="dxa"/>
            <w:tcBorders/>
            <w:shd w:fill="CCEEFF" w:val="clear"/>
            <w:vAlign w:val="center"/>
          </w:tcPr>
          <w:p>
            <w:pPr>
              <w:pStyle w:val="TableContents"/>
              <w:bidi w:val="0"/>
              <w:spacing w:before="0" w:after="283"/>
              <w:jc w:val="left"/>
              <w:rPr/>
            </w:pPr>
            <w:r>
              <w:rPr/>
              <w:t> </w:t>
            </w:r>
          </w:p>
        </w:tc>
      </w:tr>
      <w:tr>
        <w:trPr/>
        <w:tc>
          <w:tcPr>
            <w:tcW w:w="80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LONG-TERM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0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Long-term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70,683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70,003</w:t>
            </w:r>
          </w:p>
        </w:tc>
        <w:tc>
          <w:tcPr>
            <w:tcW w:w="82" w:type="dxa"/>
            <w:tcBorders/>
            <w:shd w:fill="CCEEFF" w:val="clear"/>
            <w:vAlign w:val="center"/>
          </w:tcPr>
          <w:p>
            <w:pPr>
              <w:pStyle w:val="TableContents"/>
              <w:bidi w:val="0"/>
              <w:spacing w:before="0" w:after="283"/>
              <w:jc w:val="left"/>
              <w:rPr/>
            </w:pPr>
            <w:r>
              <w:rPr/>
              <w:t> </w:t>
            </w:r>
          </w:p>
        </w:tc>
      </w:tr>
      <w:tr>
        <w:trPr/>
        <w:tc>
          <w:tcPr>
            <w:tcW w:w="80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tax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374</w:t>
            </w:r>
          </w:p>
        </w:tc>
        <w:tc>
          <w:tcPr>
            <w:tcW w:w="82" w:type="dxa"/>
            <w:tcBorders/>
            <w:shd w:fill="FFFFFF" w:val="clear"/>
            <w:vAlign w:val="center"/>
          </w:tcPr>
          <w:p>
            <w:pPr>
              <w:pStyle w:val="TableContents"/>
              <w:bidi w:val="0"/>
              <w:spacing w:before="0" w:after="283"/>
              <w:jc w:val="left"/>
              <w:rPr/>
            </w:pPr>
            <w:r>
              <w:rPr/>
              <w:t> </w:t>
            </w:r>
          </w:p>
        </w:tc>
      </w:tr>
      <w:tr>
        <w:trPr/>
        <w:tc>
          <w:tcPr>
            <w:tcW w:w="80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Deferred tax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80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severance pay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867</w:t>
            </w:r>
          </w:p>
        </w:tc>
        <w:tc>
          <w:tcPr>
            <w:tcW w:w="82" w:type="dxa"/>
            <w:tcBorders/>
            <w:shd w:fill="FFFFFF" w:val="clear"/>
            <w:vAlign w:val="center"/>
          </w:tcPr>
          <w:p>
            <w:pPr>
              <w:pStyle w:val="TableContents"/>
              <w:bidi w:val="0"/>
              <w:spacing w:before="0" w:after="283"/>
              <w:jc w:val="left"/>
              <w:rPr/>
            </w:pPr>
            <w:r>
              <w:rPr/>
              <w:t> </w:t>
            </w:r>
          </w:p>
        </w:tc>
      </w:tr>
      <w:tr>
        <w:trPr/>
        <w:tc>
          <w:tcPr>
            <w:tcW w:w="80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Unearned interest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957</w:t>
            </w:r>
          </w:p>
        </w:tc>
        <w:tc>
          <w:tcPr>
            <w:tcW w:w="82" w:type="dxa"/>
            <w:tcBorders/>
            <w:shd w:fill="CCEEFF" w:val="clear"/>
            <w:vAlign w:val="center"/>
          </w:tcPr>
          <w:p>
            <w:pPr>
              <w:pStyle w:val="TableContents"/>
              <w:bidi w:val="0"/>
              <w:spacing w:before="0" w:after="283"/>
              <w:jc w:val="left"/>
              <w:rPr/>
            </w:pPr>
            <w:r>
              <w:rPr/>
              <w:t> </w:t>
            </w:r>
          </w:p>
        </w:tc>
      </w:tr>
      <w:tr>
        <w:trPr/>
        <w:tc>
          <w:tcPr>
            <w:tcW w:w="80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Warranty accrual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408</w:t>
            </w:r>
          </w:p>
        </w:tc>
        <w:tc>
          <w:tcPr>
            <w:tcW w:w="82" w:type="dxa"/>
            <w:tcBorders/>
            <w:shd w:fill="FFFFFF" w:val="clear"/>
            <w:vAlign w:val="center"/>
          </w:tcPr>
          <w:p>
            <w:pPr>
              <w:pStyle w:val="TableContents"/>
              <w:bidi w:val="0"/>
              <w:spacing w:before="0" w:after="283"/>
              <w:jc w:val="left"/>
              <w:rPr/>
            </w:pPr>
            <w:r>
              <w:rPr/>
              <w:t> </w:t>
            </w:r>
          </w:p>
        </w:tc>
      </w:tr>
      <w:tr>
        <w:trPr/>
        <w:tc>
          <w:tcPr>
            <w:tcW w:w="80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3,666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4,221</w:t>
            </w:r>
          </w:p>
        </w:tc>
        <w:tc>
          <w:tcPr>
            <w:tcW w:w="82" w:type="dxa"/>
            <w:tcBorders/>
            <w:shd w:fill="CCEEFF" w:val="clear"/>
            <w:vAlign w:val="center"/>
          </w:tcPr>
          <w:p>
            <w:pPr>
              <w:pStyle w:val="TableContents"/>
              <w:bidi w:val="0"/>
              <w:spacing w:before="0" w:after="283"/>
              <w:jc w:val="left"/>
              <w:rPr/>
            </w:pPr>
            <w:r>
              <w:rPr/>
              <w:t> </w:t>
            </w:r>
          </w:p>
        </w:tc>
      </w:tr>
      <w:tr>
        <w:trPr/>
        <w:tc>
          <w:tcPr>
            <w:tcW w:w="80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long-term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4"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215</w:t>
            </w:r>
          </w:p>
        </w:tc>
        <w:tc>
          <w:tcPr>
            <w:tcW w:w="82" w:type="dxa"/>
            <w:tcBorders/>
            <w:shd w:fill="FFFFFF" w:val="clear"/>
            <w:vAlign w:val="center"/>
          </w:tcPr>
          <w:p>
            <w:pPr>
              <w:pStyle w:val="TableContents"/>
              <w:bidi w:val="0"/>
              <w:spacing w:before="0" w:after="283"/>
              <w:jc w:val="left"/>
              <w:rPr/>
            </w:pPr>
            <w:r>
              <w:rPr/>
              <w:t> </w:t>
            </w:r>
          </w:p>
        </w:tc>
      </w:tr>
      <w:tr>
        <w:trPr/>
        <w:tc>
          <w:tcPr>
            <w:tcW w:w="806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long-term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76,757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77,045</w:t>
            </w:r>
          </w:p>
        </w:tc>
        <w:tc>
          <w:tcPr>
            <w:tcW w:w="82" w:type="dxa"/>
            <w:tcBorders/>
            <w:shd w:fill="CCEEFF" w:val="clear"/>
            <w:vAlign w:val="center"/>
          </w:tcPr>
          <w:p>
            <w:pPr>
              <w:pStyle w:val="TableContents"/>
              <w:bidi w:val="0"/>
              <w:spacing w:before="0" w:after="283"/>
              <w:jc w:val="left"/>
              <w:rPr/>
            </w:pPr>
            <w:r>
              <w:rPr/>
              <w:t> </w:t>
            </w:r>
          </w:p>
        </w:tc>
      </w:tr>
      <w:tr>
        <w:trPr/>
        <w:tc>
          <w:tcPr>
            <w:tcW w:w="80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111,698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116,640</w:t>
            </w:r>
          </w:p>
        </w:tc>
        <w:tc>
          <w:tcPr>
            <w:tcW w:w="82" w:type="dxa"/>
            <w:tcBorders/>
            <w:shd w:fill="FFFFFF" w:val="clear"/>
            <w:vAlign w:val="center"/>
          </w:tcPr>
          <w:p>
            <w:pPr>
              <w:pStyle w:val="TableContents"/>
              <w:bidi w:val="0"/>
              <w:spacing w:before="0" w:after="283"/>
              <w:jc w:val="left"/>
              <w:rPr/>
            </w:pPr>
            <w:r>
              <w:rPr/>
              <w:t> </w:t>
            </w:r>
          </w:p>
        </w:tc>
      </w:tr>
      <w:tr>
        <w:trPr/>
        <w:tc>
          <w:tcPr>
            <w:tcW w:w="80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Commitments and Contingencies (Note 9)</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0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EQUITY (Note 14):</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0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Common Stock, $0.0001 par value: 300,000,000 shares authorized as of June 30, 2023 and December 31, 2022; 5,526,481 and 5,161,374 issued and outstanding as of June 30, 2023, and December 31, 2022,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29</w:t>
            </w:r>
          </w:p>
        </w:tc>
        <w:tc>
          <w:tcPr>
            <w:tcW w:w="82" w:type="dxa"/>
            <w:tcBorders/>
            <w:shd w:fill="CCEEFF" w:val="clear"/>
            <w:vAlign w:val="center"/>
          </w:tcPr>
          <w:p>
            <w:pPr>
              <w:pStyle w:val="TableContents"/>
              <w:bidi w:val="0"/>
              <w:spacing w:before="0" w:after="283"/>
              <w:jc w:val="left"/>
              <w:rPr/>
            </w:pPr>
            <w:r>
              <w:rPr/>
              <w:t> </w:t>
            </w:r>
          </w:p>
        </w:tc>
      </w:tr>
      <w:tr>
        <w:trPr/>
        <w:tc>
          <w:tcPr>
            <w:tcW w:w="80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235,467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232,169</w:t>
            </w:r>
          </w:p>
        </w:tc>
        <w:tc>
          <w:tcPr>
            <w:tcW w:w="82" w:type="dxa"/>
            <w:tcBorders/>
            <w:shd w:fill="FFFFFF" w:val="clear"/>
            <w:vAlign w:val="center"/>
          </w:tcPr>
          <w:p>
            <w:pPr>
              <w:pStyle w:val="TableContents"/>
              <w:bidi w:val="0"/>
              <w:spacing w:before="0" w:after="283"/>
              <w:jc w:val="left"/>
              <w:rPr/>
            </w:pPr>
            <w:r>
              <w:rPr/>
              <w:t> </w:t>
            </w:r>
          </w:p>
        </w:tc>
      </w:tr>
      <w:tr>
        <w:trPr/>
        <w:tc>
          <w:tcPr>
            <w:tcW w:w="80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Accumulated deficit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(241,719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4"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(224,105</w:t>
            </w:r>
          </w:p>
        </w:tc>
        <w:tc>
          <w:tcPr>
            <w:tcW w:w="8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80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(6,222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8,093</w:t>
            </w:r>
          </w:p>
        </w:tc>
        <w:tc>
          <w:tcPr>
            <w:tcW w:w="82" w:type="dxa"/>
            <w:tcBorders/>
            <w:shd w:fill="FFFFFF" w:val="clear"/>
            <w:vAlign w:val="center"/>
          </w:tcPr>
          <w:p>
            <w:pPr>
              <w:pStyle w:val="TableContents"/>
              <w:bidi w:val="0"/>
              <w:spacing w:before="0" w:after="283"/>
              <w:jc w:val="left"/>
              <w:rPr/>
            </w:pPr>
            <w:r>
              <w:rPr/>
              <w:t> </w:t>
            </w:r>
          </w:p>
        </w:tc>
      </w:tr>
      <w:tr>
        <w:trPr/>
        <w:tc>
          <w:tcPr>
            <w:tcW w:w="80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Non-controlling interests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645</w:t>
            </w:r>
          </w:p>
        </w:tc>
        <w:tc>
          <w:tcPr>
            <w:tcW w:w="82" w:type="dxa"/>
            <w:tcBorders/>
            <w:shd w:fill="CCEEFF" w:val="clear"/>
            <w:vAlign w:val="center"/>
          </w:tcPr>
          <w:p>
            <w:pPr>
              <w:pStyle w:val="TableContents"/>
              <w:bidi w:val="0"/>
              <w:spacing w:before="0" w:after="283"/>
              <w:jc w:val="left"/>
              <w:rPr/>
            </w:pPr>
            <w:r>
              <w:rPr/>
              <w:t> </w:t>
            </w:r>
          </w:p>
        </w:tc>
      </w:tr>
      <w:tr>
        <w:trPr/>
        <w:tc>
          <w:tcPr>
            <w:tcW w:w="8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(5,542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8,738</w:t>
            </w:r>
          </w:p>
        </w:tc>
        <w:tc>
          <w:tcPr>
            <w:tcW w:w="82" w:type="dxa"/>
            <w:tcBorders/>
            <w:shd w:fill="FFFFFF" w:val="clear"/>
            <w:vAlign w:val="center"/>
          </w:tcPr>
          <w:p>
            <w:pPr>
              <w:pStyle w:val="TableContents"/>
              <w:bidi w:val="0"/>
              <w:spacing w:before="0" w:after="283"/>
              <w:jc w:val="left"/>
              <w:rPr/>
            </w:pPr>
            <w:r>
              <w:rPr/>
              <w:t> </w:t>
            </w:r>
          </w:p>
        </w:tc>
      </w:tr>
      <w:tr>
        <w:trPr/>
        <w:tc>
          <w:tcPr>
            <w:tcW w:w="80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106,156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125,378</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these unaudited condensed consolidated financial statements.</w:t>
      </w:r>
    </w:p>
    <w:p>
      <w:pPr>
        <w:pStyle w:val="TextBody"/>
        <w:bidi w:val="0"/>
        <w:spacing w:before="0" w:after="283"/>
        <w:jc w:val="left"/>
        <w:rPr/>
      </w:pPr>
      <w:r>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6" w:name="ops"/>
      <w:bookmarkEnd w:id="6"/>
      <w:r>
        <w:rPr>
          <w:rFonts w:ascii="Times New Roman" w:hAnsi="Times New Roman"/>
          <w:b/>
          <w:caps w:val="false"/>
          <w:smallCaps w:val="false"/>
          <w:sz w:val="20"/>
        </w:rPr>
        <w:t>VENUS CONCEPT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(Unaudited)</w:t>
      </w:r>
    </w:p>
    <w:p>
      <w:pPr>
        <w:pStyle w:val="TextBody"/>
        <w:bidi w:val="0"/>
        <w:spacing w:before="0" w:after="0"/>
        <w:ind w:left="0" w:right="0" w:hanging="0"/>
        <w:jc w:val="center"/>
        <w:rPr>
          <w:rFonts w:ascii="Times New Roman" w:hAnsi="Times New Roman"/>
          <w:b/>
          <w:i/>
          <w:caps w:val="false"/>
          <w:smallCaps w:val="false"/>
          <w:position w:val="-2"/>
          <w:sz w:val="16"/>
          <w:sz w:val="20"/>
        </w:rPr>
      </w:pPr>
      <w:r>
        <w:rPr>
          <w:rFonts w:ascii="Times New Roman" w:hAnsi="Times New Roman"/>
          <w:b/>
          <w:i/>
          <w:caps w:val="false"/>
          <w:smallCaps w:val="false"/>
          <w:position w:val="-2"/>
          <w:sz w:val="16"/>
          <w:sz w:val="20"/>
        </w:rPr>
        <w:t>(in thousands, except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79"/>
        <w:gridCol w:w="60"/>
        <w:gridCol w:w="189"/>
        <w:gridCol w:w="895"/>
        <w:gridCol w:w="121"/>
        <w:gridCol w:w="90"/>
        <w:gridCol w:w="189"/>
        <w:gridCol w:w="986"/>
        <w:gridCol w:w="80"/>
        <w:gridCol w:w="60"/>
        <w:gridCol w:w="168"/>
        <w:gridCol w:w="874"/>
        <w:gridCol w:w="106"/>
        <w:gridCol w:w="80"/>
        <w:gridCol w:w="168"/>
        <w:gridCol w:w="874"/>
        <w:gridCol w:w="86"/>
      </w:tblGrid>
      <w:tr>
        <w:trPr/>
        <w:tc>
          <w:tcPr>
            <w:tcW w:w="51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86" w:type="dxa"/>
            <w:tcBorders/>
            <w:shd w:fill="FFFFFF" w:val="clear"/>
            <w:vAlign w:val="center"/>
          </w:tcPr>
          <w:p>
            <w:pPr>
              <w:pStyle w:val="TableContents"/>
              <w:bidi w:val="0"/>
              <w:spacing w:before="0" w:after="283"/>
              <w:jc w:val="left"/>
              <w:rPr/>
            </w:pPr>
            <w:r>
              <w:rPr/>
              <w:t> </w:t>
            </w:r>
          </w:p>
        </w:tc>
      </w:tr>
      <w:tr>
        <w:trPr/>
        <w:tc>
          <w:tcPr>
            <w:tcW w:w="51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11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10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6" w:type="dxa"/>
            <w:tcBorders/>
            <w:shd w:fill="FFFFFF" w:val="clear"/>
            <w:vAlign w:val="center"/>
          </w:tcPr>
          <w:p>
            <w:pPr>
              <w:pStyle w:val="TableContents"/>
              <w:bidi w:val="0"/>
              <w:spacing w:before="0" w:after="283"/>
              <w:jc w:val="left"/>
              <w:rPr/>
            </w:pPr>
            <w:r>
              <w:rPr/>
              <w:t> </w:t>
            </w:r>
          </w:p>
        </w:tc>
      </w:tr>
      <w:tr>
        <w:trPr/>
        <w:tc>
          <w:tcPr>
            <w:tcW w:w="5179"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5179"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Leases</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4,311</w:t>
            </w:r>
          </w:p>
        </w:tc>
        <w:tc>
          <w:tcPr>
            <w:tcW w:w="1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10,072</w:t>
            </w:r>
          </w:p>
        </w:tc>
        <w:tc>
          <w:tcPr>
            <w:tcW w:w="1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16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22,297</w:t>
            </w:r>
          </w:p>
        </w:tc>
        <w:tc>
          <w:tcPr>
            <w:tcW w:w="86" w:type="dxa"/>
            <w:tcBorders/>
            <w:shd w:fill="FFFFFF" w:val="clear"/>
            <w:vAlign w:val="center"/>
          </w:tcPr>
          <w:p>
            <w:pPr>
              <w:pStyle w:val="TableContents"/>
              <w:bidi w:val="0"/>
              <w:spacing w:before="0" w:after="283"/>
              <w:jc w:val="left"/>
              <w:rPr/>
            </w:pPr>
            <w:r>
              <w:rPr/>
              <w:t> </w:t>
            </w:r>
          </w:p>
        </w:tc>
      </w:tr>
      <w:tr>
        <w:trPr/>
        <w:tc>
          <w:tcPr>
            <w:tcW w:w="5179"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Products and services</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15,764</w:t>
            </w:r>
          </w:p>
        </w:tc>
        <w:tc>
          <w:tcPr>
            <w:tcW w:w="12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30,534</w:t>
            </w:r>
          </w:p>
        </w:tc>
        <w:tc>
          <w:tcPr>
            <w:tcW w:w="1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31,375</w:t>
            </w:r>
          </w:p>
        </w:tc>
        <w:tc>
          <w:tcPr>
            <w:tcW w:w="86" w:type="dxa"/>
            <w:tcBorders/>
            <w:shd w:fill="CCEEFF" w:val="clear"/>
            <w:vAlign w:val="center"/>
          </w:tcPr>
          <w:p>
            <w:pPr>
              <w:pStyle w:val="TableContents"/>
              <w:bidi w:val="0"/>
              <w:spacing w:before="0" w:after="283"/>
              <w:jc w:val="left"/>
              <w:rPr/>
            </w:pPr>
            <w:r>
              <w:rPr/>
              <w:t> </w:t>
            </w:r>
          </w:p>
        </w:tc>
      </w:tr>
      <w:tr>
        <w:trPr/>
        <w:tc>
          <w:tcPr>
            <w:tcW w:w="51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20,075</w:t>
            </w:r>
          </w:p>
        </w:tc>
        <w:tc>
          <w:tcPr>
            <w:tcW w:w="1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27,266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40,606</w:t>
            </w:r>
          </w:p>
        </w:tc>
        <w:tc>
          <w:tcPr>
            <w:tcW w:w="1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53,672</w:t>
            </w:r>
          </w:p>
        </w:tc>
        <w:tc>
          <w:tcPr>
            <w:tcW w:w="86" w:type="dxa"/>
            <w:tcBorders/>
            <w:shd w:fill="FFFFFF" w:val="clear"/>
            <w:vAlign w:val="center"/>
          </w:tcPr>
          <w:p>
            <w:pPr>
              <w:pStyle w:val="TableContents"/>
              <w:bidi w:val="0"/>
              <w:spacing w:before="0" w:after="283"/>
              <w:jc w:val="left"/>
              <w:rPr/>
            </w:pPr>
            <w:r>
              <w:rPr/>
              <w:t> </w:t>
            </w:r>
          </w:p>
        </w:tc>
      </w:tr>
      <w:tr>
        <w:trPr/>
        <w:tc>
          <w:tcPr>
            <w:tcW w:w="517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goods sold:</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5179"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Leases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721</w:t>
            </w:r>
          </w:p>
        </w:tc>
        <w:tc>
          <w:tcPr>
            <w:tcW w:w="1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2,450</w:t>
            </w:r>
          </w:p>
        </w:tc>
        <w:tc>
          <w:tcPr>
            <w:tcW w:w="1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5,461</w:t>
            </w:r>
          </w:p>
        </w:tc>
        <w:tc>
          <w:tcPr>
            <w:tcW w:w="86" w:type="dxa"/>
            <w:tcBorders/>
            <w:shd w:fill="FFFFFF" w:val="clear"/>
            <w:vAlign w:val="center"/>
          </w:tcPr>
          <w:p>
            <w:pPr>
              <w:pStyle w:val="TableContents"/>
              <w:bidi w:val="0"/>
              <w:spacing w:before="0" w:after="283"/>
              <w:jc w:val="left"/>
              <w:rPr/>
            </w:pPr>
            <w:r>
              <w:rPr/>
              <w:t> </w:t>
            </w:r>
          </w:p>
        </w:tc>
      </w:tr>
      <w:tr>
        <w:trPr/>
        <w:tc>
          <w:tcPr>
            <w:tcW w:w="5179"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Products and services</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5,134</w:t>
            </w:r>
          </w:p>
        </w:tc>
        <w:tc>
          <w:tcPr>
            <w:tcW w:w="12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10,237</w:t>
            </w:r>
          </w:p>
        </w:tc>
        <w:tc>
          <w:tcPr>
            <w:tcW w:w="1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11,402</w:t>
            </w:r>
          </w:p>
        </w:tc>
        <w:tc>
          <w:tcPr>
            <w:tcW w:w="86" w:type="dxa"/>
            <w:tcBorders/>
            <w:shd w:fill="CCEEFF" w:val="clear"/>
            <w:vAlign w:val="center"/>
          </w:tcPr>
          <w:p>
            <w:pPr>
              <w:pStyle w:val="TableContents"/>
              <w:bidi w:val="0"/>
              <w:spacing w:before="0" w:after="283"/>
              <w:jc w:val="left"/>
              <w:rPr/>
            </w:pPr>
            <w:r>
              <w:rPr/>
              <w:t> </w:t>
            </w:r>
          </w:p>
        </w:tc>
      </w:tr>
      <w:tr>
        <w:trPr/>
        <w:tc>
          <w:tcPr>
            <w:tcW w:w="51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5,855</w:t>
            </w:r>
          </w:p>
        </w:tc>
        <w:tc>
          <w:tcPr>
            <w:tcW w:w="1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12,687</w:t>
            </w:r>
          </w:p>
        </w:tc>
        <w:tc>
          <w:tcPr>
            <w:tcW w:w="1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16,863</w:t>
            </w:r>
          </w:p>
        </w:tc>
        <w:tc>
          <w:tcPr>
            <w:tcW w:w="86" w:type="dxa"/>
            <w:tcBorders/>
            <w:shd w:fill="FFFFFF" w:val="clear"/>
            <w:vAlign w:val="center"/>
          </w:tcPr>
          <w:p>
            <w:pPr>
              <w:pStyle w:val="TableContents"/>
              <w:bidi w:val="0"/>
              <w:spacing w:before="0" w:after="283"/>
              <w:jc w:val="left"/>
              <w:rPr/>
            </w:pPr>
            <w:r>
              <w:rPr/>
              <w:t> </w:t>
            </w:r>
          </w:p>
        </w:tc>
      </w:tr>
      <w:tr>
        <w:trPr/>
        <w:tc>
          <w:tcPr>
            <w:tcW w:w="517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14,220</w:t>
            </w:r>
          </w:p>
        </w:tc>
        <w:tc>
          <w:tcPr>
            <w:tcW w:w="12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19,046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27,919</w:t>
            </w:r>
          </w:p>
        </w:tc>
        <w:tc>
          <w:tcPr>
            <w:tcW w:w="1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36,809</w:t>
            </w:r>
          </w:p>
        </w:tc>
        <w:tc>
          <w:tcPr>
            <w:tcW w:w="86" w:type="dxa"/>
            <w:tcBorders/>
            <w:shd w:fill="CCEEFF" w:val="clear"/>
            <w:vAlign w:val="center"/>
          </w:tcPr>
          <w:p>
            <w:pPr>
              <w:pStyle w:val="TableContents"/>
              <w:bidi w:val="0"/>
              <w:spacing w:before="0" w:after="283"/>
              <w:jc w:val="left"/>
              <w:rPr/>
            </w:pPr>
            <w:r>
              <w:rPr/>
              <w:t> </w:t>
            </w:r>
          </w:p>
        </w:tc>
      </w:tr>
      <w:tr>
        <w:trPr/>
        <w:tc>
          <w:tcPr>
            <w:tcW w:w="517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5179"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Selling and marketing</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8,380</w:t>
            </w:r>
          </w:p>
        </w:tc>
        <w:tc>
          <w:tcPr>
            <w:tcW w:w="12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8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16,412</w:t>
            </w:r>
          </w:p>
        </w:tc>
        <w:tc>
          <w:tcPr>
            <w:tcW w:w="1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8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21,607</w:t>
            </w:r>
          </w:p>
        </w:tc>
        <w:tc>
          <w:tcPr>
            <w:tcW w:w="86" w:type="dxa"/>
            <w:tcBorders/>
            <w:shd w:fill="CCEEFF" w:val="clear"/>
            <w:vAlign w:val="center"/>
          </w:tcPr>
          <w:p>
            <w:pPr>
              <w:pStyle w:val="TableContents"/>
              <w:bidi w:val="0"/>
              <w:spacing w:before="0" w:after="283"/>
              <w:jc w:val="left"/>
              <w:rPr/>
            </w:pPr>
            <w:r>
              <w:rPr/>
              <w:t> </w:t>
            </w:r>
          </w:p>
        </w:tc>
      </w:tr>
      <w:tr>
        <w:trPr/>
        <w:tc>
          <w:tcPr>
            <w:tcW w:w="5179"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9,633</w:t>
            </w:r>
          </w:p>
        </w:tc>
        <w:tc>
          <w:tcPr>
            <w:tcW w:w="1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20,818</w:t>
            </w:r>
          </w:p>
        </w:tc>
        <w:tc>
          <w:tcPr>
            <w:tcW w:w="1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24,409</w:t>
            </w:r>
          </w:p>
        </w:tc>
        <w:tc>
          <w:tcPr>
            <w:tcW w:w="86" w:type="dxa"/>
            <w:tcBorders/>
            <w:shd w:fill="FFFFFF" w:val="clear"/>
            <w:vAlign w:val="center"/>
          </w:tcPr>
          <w:p>
            <w:pPr>
              <w:pStyle w:val="TableContents"/>
              <w:bidi w:val="0"/>
              <w:spacing w:before="0" w:after="283"/>
              <w:jc w:val="left"/>
              <w:rPr/>
            </w:pPr>
            <w:r>
              <w:rPr/>
              <w:t> </w:t>
            </w:r>
          </w:p>
        </w:tc>
      </w:tr>
      <w:tr>
        <w:trPr/>
        <w:tc>
          <w:tcPr>
            <w:tcW w:w="5179"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1,965</w:t>
            </w:r>
          </w:p>
        </w:tc>
        <w:tc>
          <w:tcPr>
            <w:tcW w:w="12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4,602</w:t>
            </w:r>
          </w:p>
        </w:tc>
        <w:tc>
          <w:tcPr>
            <w:tcW w:w="1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5,355</w:t>
            </w:r>
          </w:p>
        </w:tc>
        <w:tc>
          <w:tcPr>
            <w:tcW w:w="86" w:type="dxa"/>
            <w:tcBorders/>
            <w:shd w:fill="CCEEFF" w:val="clear"/>
            <w:vAlign w:val="center"/>
          </w:tcPr>
          <w:p>
            <w:pPr>
              <w:pStyle w:val="TableContents"/>
              <w:bidi w:val="0"/>
              <w:spacing w:before="0" w:after="283"/>
              <w:jc w:val="left"/>
              <w:rPr/>
            </w:pPr>
            <w:r>
              <w:rPr/>
              <w:t> </w:t>
            </w:r>
          </w:p>
        </w:tc>
      </w:tr>
      <w:tr>
        <w:trPr/>
        <w:tc>
          <w:tcPr>
            <w:tcW w:w="517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19,978</w:t>
            </w:r>
          </w:p>
        </w:tc>
        <w:tc>
          <w:tcPr>
            <w:tcW w:w="1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26,172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41,832</w:t>
            </w:r>
          </w:p>
        </w:tc>
        <w:tc>
          <w:tcPr>
            <w:tcW w:w="1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51,371</w:t>
            </w:r>
          </w:p>
        </w:tc>
        <w:tc>
          <w:tcPr>
            <w:tcW w:w="86" w:type="dxa"/>
            <w:tcBorders/>
            <w:shd w:fill="FFFFFF" w:val="clear"/>
            <w:vAlign w:val="center"/>
          </w:tcPr>
          <w:p>
            <w:pPr>
              <w:pStyle w:val="TableContents"/>
              <w:bidi w:val="0"/>
              <w:spacing w:before="0" w:after="283"/>
              <w:jc w:val="left"/>
              <w:rPr/>
            </w:pPr>
            <w:r>
              <w:rPr/>
              <w:t> </w:t>
            </w:r>
          </w:p>
        </w:tc>
      </w:tr>
      <w:tr>
        <w:trPr/>
        <w:tc>
          <w:tcPr>
            <w:tcW w:w="517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(5,758</w:t>
            </w:r>
          </w:p>
        </w:tc>
        <w:tc>
          <w:tcPr>
            <w:tcW w:w="12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(7,126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(13,913</w:t>
            </w:r>
          </w:p>
        </w:tc>
        <w:tc>
          <w:tcPr>
            <w:tcW w:w="10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(14,562</w:t>
            </w:r>
          </w:p>
        </w:tc>
        <w:tc>
          <w:tcPr>
            <w:tcW w:w="8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17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expenses: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5179"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Foreign exchange loss (gain)</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w:t>
            </w:r>
          </w:p>
        </w:tc>
        <w:tc>
          <w:tcPr>
            <w:tcW w:w="12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8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(530</w:t>
            </w:r>
          </w:p>
        </w:tc>
        <w:tc>
          <w:tcPr>
            <w:tcW w:w="10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8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2,375</w:t>
            </w:r>
          </w:p>
        </w:tc>
        <w:tc>
          <w:tcPr>
            <w:tcW w:w="86" w:type="dxa"/>
            <w:tcBorders/>
            <w:shd w:fill="CCEEFF" w:val="clear"/>
            <w:vAlign w:val="center"/>
          </w:tcPr>
          <w:p>
            <w:pPr>
              <w:pStyle w:val="TableContents"/>
              <w:bidi w:val="0"/>
              <w:spacing w:before="0" w:after="283"/>
              <w:jc w:val="left"/>
              <w:rPr/>
            </w:pPr>
            <w:r>
              <w:rPr/>
              <w:t> </w:t>
            </w:r>
          </w:p>
        </w:tc>
      </w:tr>
      <w:tr>
        <w:trPr/>
        <w:tc>
          <w:tcPr>
            <w:tcW w:w="5179"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Finance expenses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1,553</w:t>
            </w:r>
          </w:p>
        </w:tc>
        <w:tc>
          <w:tcPr>
            <w:tcW w:w="1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3,061</w:t>
            </w:r>
          </w:p>
        </w:tc>
        <w:tc>
          <w:tcPr>
            <w:tcW w:w="1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1,957</w:t>
            </w:r>
          </w:p>
        </w:tc>
        <w:tc>
          <w:tcPr>
            <w:tcW w:w="86" w:type="dxa"/>
            <w:tcBorders/>
            <w:shd w:fill="FFFFFF" w:val="clear"/>
            <w:vAlign w:val="center"/>
          </w:tcPr>
          <w:p>
            <w:pPr>
              <w:pStyle w:val="TableContents"/>
              <w:bidi w:val="0"/>
              <w:spacing w:before="0" w:after="283"/>
              <w:jc w:val="left"/>
              <w:rPr/>
            </w:pPr>
            <w:r>
              <w:rPr/>
              <w:t> </w:t>
            </w:r>
          </w:p>
        </w:tc>
      </w:tr>
      <w:tr>
        <w:trPr/>
        <w:tc>
          <w:tcPr>
            <w:tcW w:w="5179"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(Gain) loss on disposal of subsidiaries</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12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w:t>
            </w:r>
          </w:p>
        </w:tc>
        <w:tc>
          <w:tcPr>
            <w:tcW w:w="1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6" w:type="dxa"/>
            <w:tcBorders/>
            <w:shd w:fill="CCEEFF" w:val="clear"/>
            <w:vAlign w:val="center"/>
          </w:tcPr>
          <w:p>
            <w:pPr>
              <w:pStyle w:val="TableContents"/>
              <w:bidi w:val="0"/>
              <w:spacing w:before="0" w:after="283"/>
              <w:jc w:val="left"/>
              <w:rPr/>
            </w:pPr>
            <w:r>
              <w:rPr/>
              <w:t> </w:t>
            </w:r>
          </w:p>
        </w:tc>
      </w:tr>
      <w:tr>
        <w:trPr/>
        <w:tc>
          <w:tcPr>
            <w:tcW w:w="517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before income taxes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(7,132</w:t>
            </w:r>
          </w:p>
        </w:tc>
        <w:tc>
          <w:tcPr>
            <w:tcW w:w="12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(10,530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(16,520</w:t>
            </w:r>
          </w:p>
        </w:tc>
        <w:tc>
          <w:tcPr>
            <w:tcW w:w="10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(18,894</w:t>
            </w:r>
          </w:p>
        </w:tc>
        <w:tc>
          <w:tcPr>
            <w:tcW w:w="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17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(benefit) expense</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w:t>
            </w:r>
          </w:p>
        </w:tc>
        <w:tc>
          <w:tcPr>
            <w:tcW w:w="12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424</w:t>
            </w:r>
          </w:p>
        </w:tc>
        <w:tc>
          <w:tcPr>
            <w:tcW w:w="1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w:t>
            </w:r>
          </w:p>
        </w:tc>
        <w:tc>
          <w:tcPr>
            <w:tcW w:w="86" w:type="dxa"/>
            <w:tcBorders/>
            <w:shd w:fill="CCEEFF" w:val="clear"/>
            <w:vAlign w:val="center"/>
          </w:tcPr>
          <w:p>
            <w:pPr>
              <w:pStyle w:val="TableContents"/>
              <w:bidi w:val="0"/>
              <w:spacing w:before="0" w:after="283"/>
              <w:jc w:val="left"/>
              <w:rPr/>
            </w:pPr>
            <w:r>
              <w:rPr/>
              <w:t> </w:t>
            </w:r>
          </w:p>
        </w:tc>
      </w:tr>
      <w:tr>
        <w:trPr/>
        <w:tc>
          <w:tcPr>
            <w:tcW w:w="517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(7,321</w:t>
            </w:r>
          </w:p>
        </w:tc>
        <w:tc>
          <w:tcPr>
            <w:tcW w:w="12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0" w:type="dxa"/>
            <w:tcBorders/>
            <w:shd w:fill="FFFFFF" w:val="cle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(10,512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(16,944</w:t>
            </w:r>
          </w:p>
        </w:tc>
        <w:tc>
          <w:tcPr>
            <w:tcW w:w="10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(19,148</w:t>
            </w:r>
          </w:p>
        </w:tc>
        <w:tc>
          <w:tcPr>
            <w:tcW w:w="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17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attributable to stockholders of the Company</w:t>
            </w:r>
          </w:p>
        </w:tc>
        <w:tc>
          <w:tcPr>
            <w:tcW w:w="60" w:type="dxa"/>
            <w:tcBorders/>
            <w:shd w:fill="CCEEFF" w:val="clear"/>
            <w:vAlign w:val="center"/>
          </w:tcPr>
          <w:p>
            <w:pPr>
              <w:pStyle w:val="TableContents"/>
              <w:bidi w:val="0"/>
              <w:spacing w:before="0" w:after="283"/>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(7,409</w:t>
            </w:r>
          </w:p>
        </w:tc>
        <w:tc>
          <w:tcPr>
            <w:tcW w:w="12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(10,559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(17,066</w:t>
            </w:r>
          </w:p>
        </w:tc>
        <w:tc>
          <w:tcPr>
            <w:tcW w:w="10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(19,178</w:t>
            </w:r>
          </w:p>
        </w:tc>
        <w:tc>
          <w:tcPr>
            <w:tcW w:w="8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17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income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w:t>
            </w:r>
          </w:p>
        </w:tc>
        <w:tc>
          <w:tcPr>
            <w:tcW w:w="1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w:t>
            </w:r>
          </w:p>
        </w:tc>
        <w:tc>
          <w:tcPr>
            <w:tcW w:w="1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p>
        </w:tc>
        <w:tc>
          <w:tcPr>
            <w:tcW w:w="86" w:type="dxa"/>
            <w:tcBorders/>
            <w:shd w:fill="FFFFFF" w:val="clear"/>
            <w:vAlign w:val="center"/>
          </w:tcPr>
          <w:p>
            <w:pPr>
              <w:pStyle w:val="TableContents"/>
              <w:bidi w:val="0"/>
              <w:spacing w:before="0" w:after="283"/>
              <w:jc w:val="left"/>
              <w:rPr/>
            </w:pPr>
            <w:r>
              <w:rPr/>
              <w:t> </w:t>
            </w:r>
          </w:p>
        </w:tc>
      </w:tr>
      <w:tr>
        <w:trPr/>
        <w:tc>
          <w:tcPr>
            <w:tcW w:w="51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517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per share:</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r>
      <w:tr>
        <w:trPr/>
        <w:tc>
          <w:tcPr>
            <w:tcW w:w="517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Basic</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95"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(1.35</w:t>
            </w:r>
          </w:p>
        </w:tc>
        <w:tc>
          <w:tcPr>
            <w:tcW w:w="12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86"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74"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(3.19</w:t>
            </w:r>
          </w:p>
        </w:tc>
        <w:tc>
          <w:tcPr>
            <w:tcW w:w="10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74"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(4.49</w:t>
            </w:r>
          </w:p>
        </w:tc>
        <w:tc>
          <w:tcPr>
            <w:tcW w:w="8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517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95"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(1.35</w:t>
            </w:r>
          </w:p>
        </w:tc>
        <w:tc>
          <w:tcPr>
            <w:tcW w:w="12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0" w:type="dxa"/>
            <w:tcBorders/>
            <w:shd w:fill="FFFF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86"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74"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(3.19</w:t>
            </w:r>
          </w:p>
        </w:tc>
        <w:tc>
          <w:tcPr>
            <w:tcW w:w="10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74"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(4.49</w:t>
            </w:r>
          </w:p>
        </w:tc>
        <w:tc>
          <w:tcPr>
            <w:tcW w:w="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17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Weighted-average number of shares used in per share calculation:</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517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FFFFFF" w:val="cle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5,471</w:t>
            </w:r>
          </w:p>
        </w:tc>
        <w:tc>
          <w:tcPr>
            <w:tcW w:w="1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5,355</w:t>
            </w:r>
          </w:p>
        </w:tc>
        <w:tc>
          <w:tcPr>
            <w:tcW w:w="1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4,271</w:t>
            </w:r>
          </w:p>
        </w:tc>
        <w:tc>
          <w:tcPr>
            <w:tcW w:w="86" w:type="dxa"/>
            <w:tcBorders/>
            <w:shd w:fill="FFFFFF" w:val="clear"/>
            <w:vAlign w:val="center"/>
          </w:tcPr>
          <w:p>
            <w:pPr>
              <w:pStyle w:val="TableContents"/>
              <w:bidi w:val="0"/>
              <w:spacing w:before="0" w:after="283"/>
              <w:jc w:val="left"/>
              <w:rPr/>
            </w:pPr>
            <w:r>
              <w:rPr/>
              <w:t> </w:t>
            </w:r>
          </w:p>
        </w:tc>
      </w:tr>
      <w:tr>
        <w:trPr/>
        <w:tc>
          <w:tcPr>
            <w:tcW w:w="517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CCEEFF" w:val="clear"/>
            <w:vAlign w:val="center"/>
          </w:tcPr>
          <w:p>
            <w:pPr>
              <w:pStyle w:val="TableContents"/>
              <w:bidi w:val="0"/>
              <w:spacing w:before="0" w:after="283"/>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5,471</w:t>
            </w:r>
          </w:p>
        </w:tc>
        <w:tc>
          <w:tcPr>
            <w:tcW w:w="12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5,355</w:t>
            </w:r>
          </w:p>
        </w:tc>
        <w:tc>
          <w:tcPr>
            <w:tcW w:w="1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4,271</w:t>
            </w:r>
          </w:p>
        </w:tc>
        <w:tc>
          <w:tcPr>
            <w:tcW w:w="8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7" w:name="compincome"/>
      <w:bookmarkEnd w:id="7"/>
      <w:r>
        <w:rPr>
          <w:rFonts w:ascii="Times New Roman" w:hAnsi="Times New Roman"/>
          <w:b/>
          <w:caps w:val="false"/>
          <w:smallCaps w:val="false"/>
          <w:sz w:val="20"/>
        </w:rPr>
        <w:t>VENUS CONCEPT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Condensed Consolidated Statements of Comprehensive Loss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(Unaudited)</w:t>
      </w:r>
    </w:p>
    <w:p>
      <w:pPr>
        <w:pStyle w:val="TextBody"/>
        <w:bidi w:val="0"/>
        <w:spacing w:before="0" w:after="0"/>
        <w:ind w:left="0" w:right="0" w:hanging="0"/>
        <w:jc w:val="center"/>
        <w:rPr>
          <w:rFonts w:ascii="Times New Roman" w:hAnsi="Times New Roman"/>
          <w:b/>
          <w:i/>
          <w:caps w:val="false"/>
          <w:smallCaps w:val="false"/>
          <w:position w:val="-2"/>
          <w:sz w:val="16"/>
          <w:sz w:val="20"/>
        </w:rPr>
      </w:pPr>
      <w:r>
        <w:rPr>
          <w:rFonts w:ascii="Times New Roman" w:hAnsi="Times New Roman"/>
          <w:b/>
          <w:i/>
          <w:caps w:val="false"/>
          <w:smallCaps w:val="false"/>
          <w:position w:val="-2"/>
          <w:sz w:val="16"/>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9109" w:type="dxa"/>
        <w:jc w:val="left"/>
        <w:tblInd w:w="0" w:type="dxa"/>
        <w:tblLayout w:type="fixed"/>
        <w:tblCellMar>
          <w:top w:w="0" w:type="dxa"/>
          <w:left w:w="0" w:type="dxa"/>
          <w:bottom w:w="0" w:type="dxa"/>
          <w:right w:w="0" w:type="dxa"/>
        </w:tblCellMar>
      </w:tblPr>
      <w:tblGrid>
        <w:gridCol w:w="4025"/>
        <w:gridCol w:w="60"/>
        <w:gridCol w:w="197"/>
        <w:gridCol w:w="863"/>
        <w:gridCol w:w="126"/>
        <w:gridCol w:w="95"/>
        <w:gridCol w:w="197"/>
        <w:gridCol w:w="1029"/>
        <w:gridCol w:w="80"/>
        <w:gridCol w:w="60"/>
        <w:gridCol w:w="170"/>
        <w:gridCol w:w="884"/>
        <w:gridCol w:w="108"/>
        <w:gridCol w:w="81"/>
        <w:gridCol w:w="170"/>
        <w:gridCol w:w="884"/>
        <w:gridCol w:w="80"/>
      </w:tblGrid>
      <w:tr>
        <w:trPr/>
        <w:tc>
          <w:tcPr>
            <w:tcW w:w="4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07" w:type="dxa"/>
            <w:gridSpan w:val="6"/>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8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2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(7,321</w:t>
            </w:r>
          </w:p>
        </w:tc>
        <w:tc>
          <w:tcPr>
            <w:tcW w:w="12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(10,512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(16,944</w:t>
            </w:r>
          </w:p>
        </w:tc>
        <w:tc>
          <w:tcPr>
            <w:tcW w:w="10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CCEE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(19,148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attributable to stockholders of the Company</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86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(7,409</w:t>
            </w:r>
          </w:p>
        </w:tc>
        <w:tc>
          <w:tcPr>
            <w:tcW w:w="1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10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(10,559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(17,066</w:t>
            </w:r>
          </w:p>
        </w:tc>
        <w:tc>
          <w:tcPr>
            <w:tcW w:w="10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(19,178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p>
        </w:tc>
        <w:tc>
          <w:tcPr>
            <w:tcW w:w="8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Comprehensive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(7,321</w:t>
            </w:r>
          </w:p>
        </w:tc>
        <w:tc>
          <w:tcPr>
            <w:tcW w:w="1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(10,512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(16,944</w:t>
            </w:r>
          </w:p>
        </w:tc>
        <w:tc>
          <w:tcPr>
            <w:tcW w:w="10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(19,148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8" w:name="equity"/>
      <w:bookmarkEnd w:id="8"/>
      <w:r>
        <w:rPr>
          <w:rFonts w:ascii="Times New Roman" w:hAnsi="Times New Roman"/>
          <w:b/>
          <w:caps w:val="false"/>
          <w:smallCaps w:val="false"/>
          <w:sz w:val="20"/>
        </w:rPr>
        <w:t>VENUS CONCEPT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(Unaudited)</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(in thousands, except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90"/>
        <w:gridCol w:w="60"/>
        <w:gridCol w:w="76"/>
        <w:gridCol w:w="943"/>
        <w:gridCol w:w="60"/>
        <w:gridCol w:w="60"/>
        <w:gridCol w:w="130"/>
        <w:gridCol w:w="1330"/>
        <w:gridCol w:w="60"/>
        <w:gridCol w:w="60"/>
        <w:gridCol w:w="60"/>
        <w:gridCol w:w="740"/>
        <w:gridCol w:w="60"/>
        <w:gridCol w:w="60"/>
        <w:gridCol w:w="170"/>
        <w:gridCol w:w="405"/>
        <w:gridCol w:w="60"/>
        <w:gridCol w:w="60"/>
        <w:gridCol w:w="132"/>
        <w:gridCol w:w="728"/>
        <w:gridCol w:w="60"/>
        <w:gridCol w:w="60"/>
        <w:gridCol w:w="132"/>
        <w:gridCol w:w="803"/>
        <w:gridCol w:w="80"/>
        <w:gridCol w:w="60"/>
        <w:gridCol w:w="261"/>
        <w:gridCol w:w="429"/>
        <w:gridCol w:w="80"/>
        <w:gridCol w:w="60"/>
        <w:gridCol w:w="191"/>
        <w:gridCol w:w="845"/>
        <w:gridCol w:w="100"/>
      </w:tblGrid>
      <w:tr>
        <w:trPr/>
        <w:tc>
          <w:tcPr>
            <w:tcW w:w="1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2022 Private Placement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2023 Multi-Tranche Private Placement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283"/>
              <w:ind w:left="0" w:right="0" w:hanging="0"/>
              <w:jc w:val="left"/>
              <w:rPr/>
            </w:pPr>
            <w:r>
              <w:rPr/>
              <w:t> </w:t>
            </w:r>
          </w:p>
        </w:tc>
        <w:tc>
          <w:tcPr>
            <w:tcW w:w="1495"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Additional Paid-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Non- controlling</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Total Stockholders’</w:t>
            </w:r>
          </w:p>
        </w:tc>
        <w:tc>
          <w:tcPr>
            <w:tcW w:w="100" w:type="dxa"/>
            <w:tcBorders/>
            <w:shd w:fill="FFFFFF" w:val="clear"/>
            <w:vAlign w:val="center"/>
          </w:tcPr>
          <w:p>
            <w:pPr>
              <w:pStyle w:val="TableContents"/>
              <w:bidi w:val="0"/>
              <w:spacing w:before="0" w:after="283"/>
              <w:jc w:val="left"/>
              <w:rPr/>
            </w:pPr>
            <w:r>
              <w:rPr/>
              <w:t> </w:t>
            </w:r>
          </w:p>
        </w:tc>
      </w:tr>
      <w:tr>
        <w:trPr/>
        <w:tc>
          <w:tcPr>
            <w:tcW w:w="1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in-Capital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Interest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Equity</w:t>
            </w:r>
          </w:p>
        </w:tc>
        <w:tc>
          <w:tcPr>
            <w:tcW w:w="100" w:type="dxa"/>
            <w:tcBorders/>
            <w:shd w:fill="FFFFFF" w:val="clear"/>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 — January 1, 2023</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3,185,000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133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5,161,374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2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232,169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(224,105</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6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8,738</w:t>
            </w:r>
          </w:p>
        </w:tc>
        <w:tc>
          <w:tcPr>
            <w:tcW w:w="100" w:type="dxa"/>
            <w:tcBorders/>
            <w:shd w:fill="CCEEFF" w:val="clear"/>
            <w:vAlign w:val="center"/>
          </w:tcPr>
          <w:p>
            <w:pPr>
              <w:pStyle w:val="TableContents"/>
              <w:bidi w:val="0"/>
              <w:spacing w:before="0" w:after="283"/>
              <w:jc w:val="left"/>
              <w:rPr/>
            </w:pPr>
            <w:r>
              <w:rPr/>
              <w:t> </w:t>
            </w:r>
          </w:p>
        </w:tc>
      </w:tr>
      <w:tr>
        <w:trPr/>
        <w:tc>
          <w:tcPr>
            <w:tcW w:w="1790" w:type="dxa"/>
            <w:tcBorders/>
            <w:shd w:fill="FFFFFF" w:val="clear"/>
            <w:vAlign w:val="center"/>
          </w:tcPr>
          <w:p>
            <w:pPr>
              <w:pStyle w:val="TableContents"/>
              <w:bidi w:val="0"/>
              <w:spacing w:before="0" w:after="0"/>
              <w:ind w:left="180" w:right="180" w:hanging="0"/>
              <w:jc w:val="left"/>
              <w:rPr>
                <w:rFonts w:ascii="Times New Roman;Times;serif" w:hAnsi="Times New Roman;Times;serif"/>
                <w:sz w:val="16"/>
              </w:rPr>
            </w:pPr>
            <w:r>
              <w:rPr>
                <w:rFonts w:ascii="Times New Roman;Times;serif" w:hAnsi="Times New Roman;Times;serif"/>
                <w:sz w:val="16"/>
              </w:rPr>
              <w:t>Restricted share units vested</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00" w:type="dxa"/>
            <w:tcBorders/>
            <w:shd w:fill="FFFFFF" w:val="clear"/>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ind w:left="180" w:right="180" w:hanging="0"/>
              <w:jc w:val="left"/>
              <w:rPr>
                <w:rFonts w:ascii="Times New Roman;Times;serif" w:hAnsi="Times New Roman;Times;serif"/>
                <w:sz w:val="16"/>
              </w:rPr>
            </w:pPr>
            <w:r>
              <w:rPr>
                <w:rFonts w:ascii="Times New Roman;Times;serif" w:hAnsi="Times New Roman;Times;serif"/>
                <w:sz w:val="16"/>
              </w:rPr>
              <w:t>Issuance of common stock</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left w:val="single" w:sz="2" w:space="0" w:color="000000"/>
            </w:tcBorders>
            <w:shd w:fill="CCEEFF" w:val="clear"/>
            <w:tcMar>
              <w:left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224,378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745</w:t>
            </w:r>
          </w:p>
        </w:tc>
        <w:tc>
          <w:tcPr>
            <w:tcW w:w="100" w:type="dxa"/>
            <w:tcBorders/>
            <w:shd w:fill="CCEEFF" w:val="clear"/>
            <w:vAlign w:val="center"/>
          </w:tcPr>
          <w:p>
            <w:pPr>
              <w:pStyle w:val="TableContents"/>
              <w:bidi w:val="0"/>
              <w:spacing w:before="0" w:after="283"/>
              <w:jc w:val="left"/>
              <w:rPr/>
            </w:pPr>
            <w:r>
              <w:rPr/>
              <w:t> </w:t>
            </w:r>
          </w:p>
        </w:tc>
      </w:tr>
      <w:tr>
        <w:trPr/>
        <w:tc>
          <w:tcPr>
            <w:tcW w:w="1790" w:type="dxa"/>
            <w:tcBorders/>
            <w:shd w:fill="FFFFFF" w:val="clear"/>
            <w:vAlign w:val="center"/>
          </w:tcPr>
          <w:p>
            <w:pPr>
              <w:pStyle w:val="TableContents"/>
              <w:bidi w:val="0"/>
              <w:spacing w:before="0" w:after="0"/>
              <w:ind w:left="180" w:right="180" w:hanging="0"/>
              <w:jc w:val="left"/>
              <w:rPr>
                <w:rFonts w:ascii="Times New Roman;Times;serif" w:hAnsi="Times New Roman;Times;serif"/>
                <w:sz w:val="16"/>
              </w:rPr>
            </w:pPr>
            <w:r>
              <w:rPr>
                <w:rFonts w:ascii="Times New Roman;Times;serif" w:hAnsi="Times New Roman;Times;serif"/>
                <w:sz w:val="16"/>
              </w:rPr>
              <w:t>Adoption of ASC 326</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(548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(548</w:t>
            </w:r>
          </w:p>
        </w:tc>
        <w:tc>
          <w:tcPr>
            <w:tcW w:w="1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7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 — the Company</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133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4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72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(9,657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ind w:left="0" w:right="0" w:hanging="0"/>
              <w:jc w:val="left"/>
              <w:rPr/>
            </w:pPr>
            <w:r>
              <w:rPr/>
              <w:t> </w:t>
            </w:r>
          </w:p>
        </w:tc>
        <w:tc>
          <w:tcPr>
            <w:tcW w:w="42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(9,657</w:t>
            </w:r>
          </w:p>
        </w:tc>
        <w:tc>
          <w:tcPr>
            <w:tcW w:w="1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7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 — non-controlling interest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133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4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72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ind w:left="0" w:right="0" w:hanging="0"/>
              <w:jc w:val="left"/>
              <w:rPr/>
            </w:pPr>
            <w:r>
              <w:rPr/>
              <w:t> </w:t>
            </w:r>
          </w:p>
        </w:tc>
        <w:tc>
          <w:tcPr>
            <w:tcW w:w="42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w:t>
            </w:r>
          </w:p>
        </w:tc>
        <w:tc>
          <w:tcPr>
            <w:tcW w:w="100" w:type="dxa"/>
            <w:tcBorders/>
            <w:shd w:fill="FFFFFF" w:val="clear"/>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color w:val="000000"/>
              </w:rPr>
              <w:t>—</w:t>
            </w:r>
          </w:p>
        </w:tc>
        <w:tc>
          <w:tcPr>
            <w:tcW w:w="60" w:type="dxa"/>
            <w:tcBorders/>
            <w:shd w:fill="CCEEFF" w:val="clear"/>
            <w:vAlign w:val="center"/>
          </w:tcPr>
          <w:p>
            <w:pPr>
              <w:pStyle w:val="TableContents"/>
              <w:bidi w:val="0"/>
              <w:spacing w:before="0" w:after="283"/>
              <w:jc w:val="left"/>
              <w:rPr>
                <w:color w:val="CCEEFF"/>
              </w:rPr>
            </w:pPr>
            <w:r>
              <w:rPr>
                <w:color w:val="CCEEFF"/>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left w:val="single" w:sz="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16"/>
              </w:rPr>
            </w:pPr>
            <w:r>
              <w:rPr>
                <w:rFonts w:ascii="Times New Roman;Times;serif" w:hAnsi="Times New Roman;Times;serif"/>
                <w:color w:val="000000"/>
                <w:sz w:val="16"/>
              </w:rPr>
              <w:t>481</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color w:val="000000"/>
              </w:rPr>
            </w:pPr>
            <w:r>
              <w:rPr>
                <w:color w:val="000000"/>
              </w:rPr>
              <w:t>—</w:t>
            </w:r>
          </w:p>
        </w:tc>
        <w:tc>
          <w:tcPr>
            <w:tcW w:w="8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pPr>
            <w:r>
              <w:rPr/>
              <w:t> </w:t>
            </w:r>
          </w:p>
        </w:tc>
        <w:tc>
          <w:tcPr>
            <w:tcW w:w="2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color w:val="000000"/>
              </w:rPr>
            </w:pPr>
            <w:r>
              <w:rPr>
                <w:color w:val="000000"/>
              </w:rPr>
              <w:t>—</w:t>
            </w:r>
          </w:p>
        </w:tc>
        <w:tc>
          <w:tcPr>
            <w:tcW w:w="8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16"/>
              </w:rPr>
            </w:pPr>
            <w:r>
              <w:rPr>
                <w:rFonts w:ascii="Times New Roman;Times;serif" w:hAnsi="Times New Roman;Times;serif"/>
                <w:color w:val="000000"/>
                <w:sz w:val="16"/>
              </w:rPr>
              <w:t>481</w:t>
            </w:r>
          </w:p>
        </w:tc>
        <w:tc>
          <w:tcPr>
            <w:tcW w:w="100" w:type="dxa"/>
            <w:tcBorders/>
            <w:shd w:fill="CCEEFF" w:val="clear"/>
            <w:vAlign w:val="center"/>
          </w:tcPr>
          <w:p>
            <w:pPr>
              <w:pStyle w:val="TableContents"/>
              <w:bidi w:val="0"/>
              <w:spacing w:before="0" w:after="283"/>
              <w:jc w:val="left"/>
              <w:rPr>
                <w:color w:val="000000"/>
              </w:rPr>
            </w:pPr>
            <w:r>
              <w:rPr>
                <w:color w:val="000000"/>
              </w:rPr>
              <w:t> </w:t>
            </w:r>
          </w:p>
        </w:tc>
      </w:tr>
      <w:tr>
        <w:trPr/>
        <w:tc>
          <w:tcPr>
            <w:tcW w:w="17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 — March 31, 2023</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3,185,000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16"/>
              </w:rPr>
            </w:pPr>
            <w:r>
              <w:rPr>
                <w:rFonts w:ascii="Times New Roman;Times;serif" w:hAnsi="Times New Roman;Times;serif"/>
                <w:color w:val="000000"/>
                <w:sz w:val="16"/>
              </w:rPr>
              <w:t>5,407,752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233,394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(234,310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(207</w:t>
            </w:r>
          </w:p>
        </w:tc>
        <w:tc>
          <w:tcPr>
            <w:tcW w:w="1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790" w:type="dxa"/>
            <w:tcBorders/>
            <w:shd w:fill="CCEEFF" w:val="clear"/>
            <w:vAlign w:val="center"/>
          </w:tcPr>
          <w:p>
            <w:pPr>
              <w:pStyle w:val="TableContents"/>
              <w:bidi w:val="0"/>
              <w:spacing w:before="0" w:after="0"/>
              <w:ind w:left="180" w:right="180" w:hanging="0"/>
              <w:jc w:val="left"/>
              <w:rPr>
                <w:rFonts w:ascii="Times New Roman;Times;serif" w:hAnsi="Times New Roman;Times;serif"/>
                <w:sz w:val="16"/>
              </w:rPr>
            </w:pPr>
            <w:r>
              <w:rPr>
                <w:rFonts w:ascii="Times New Roman;Times;serif" w:hAnsi="Times New Roman;Times;serif"/>
                <w:sz w:val="16"/>
              </w:rPr>
              <w:t>2023 Private Placement shares, net of costs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280,899</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left w:val="single" w:sz="2" w:space="0" w:color="000000"/>
            </w:tcBorders>
            <w:shd w:fill="CCEEFF" w:val="clear"/>
            <w:tcMar>
              <w:left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1,206</w:t>
            </w:r>
          </w:p>
        </w:tc>
        <w:tc>
          <w:tcPr>
            <w:tcW w:w="100" w:type="dxa"/>
            <w:tcBorders/>
            <w:shd w:fill="CCEEFF" w:val="clear"/>
            <w:vAlign w:val="center"/>
          </w:tcPr>
          <w:p>
            <w:pPr>
              <w:pStyle w:val="TableContents"/>
              <w:bidi w:val="0"/>
              <w:spacing w:before="0" w:after="283"/>
              <w:jc w:val="left"/>
              <w:rPr/>
            </w:pPr>
            <w:r>
              <w:rPr/>
              <w:t> </w:t>
            </w:r>
          </w:p>
        </w:tc>
      </w:tr>
      <w:tr>
        <w:trPr/>
        <w:tc>
          <w:tcPr>
            <w:tcW w:w="1790" w:type="dxa"/>
            <w:tcBorders/>
            <w:shd w:fill="FFFFFF" w:val="clear"/>
            <w:vAlign w:val="center"/>
          </w:tcPr>
          <w:p>
            <w:pPr>
              <w:pStyle w:val="TableContents"/>
              <w:bidi w:val="0"/>
              <w:spacing w:before="0" w:after="0"/>
              <w:ind w:left="180" w:right="180" w:hanging="0"/>
              <w:jc w:val="left"/>
              <w:rPr>
                <w:rFonts w:ascii="Times New Roman;Times;serif" w:hAnsi="Times New Roman;Times;serif"/>
                <w:sz w:val="16"/>
              </w:rPr>
            </w:pPr>
            <w:r>
              <w:rPr>
                <w:rFonts w:ascii="Times New Roman;Times;serif" w:hAnsi="Times New Roman;Times;serif"/>
                <w:sz w:val="16"/>
              </w:rPr>
              <w:t>Beneficial conversion feature</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427</w:t>
            </w:r>
          </w:p>
        </w:tc>
        <w:tc>
          <w:tcPr>
            <w:tcW w:w="100" w:type="dxa"/>
            <w:tcBorders/>
            <w:shd w:fill="FFFFFF" w:val="clear"/>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ind w:left="180" w:right="180" w:hanging="0"/>
              <w:jc w:val="left"/>
              <w:rPr>
                <w:rFonts w:ascii="Times New Roman;Times;serif" w:hAnsi="Times New Roman;Times;serif"/>
                <w:sz w:val="16"/>
              </w:rPr>
            </w:pPr>
            <w:r>
              <w:rPr>
                <w:rFonts w:ascii="Times New Roman;Times;serif" w:hAnsi="Times New Roman;Times;serif"/>
                <w:sz w:val="16"/>
              </w:rPr>
              <w:t>Issuance of common stock</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left w:val="single" w:sz="2" w:space="0" w:color="000000"/>
            </w:tcBorders>
            <w:shd w:fill="CCEEFF" w:val="clear"/>
            <w:tcMar>
              <w:left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118,729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71</w:t>
            </w:r>
          </w:p>
        </w:tc>
        <w:tc>
          <w:tcPr>
            <w:tcW w:w="100" w:type="dxa"/>
            <w:tcBorders/>
            <w:shd w:fill="CCEEFF" w:val="clear"/>
            <w:vAlign w:val="center"/>
          </w:tcPr>
          <w:p>
            <w:pPr>
              <w:pStyle w:val="TableContents"/>
              <w:bidi w:val="0"/>
              <w:spacing w:before="0" w:after="283"/>
              <w:jc w:val="left"/>
              <w:rPr/>
            </w:pPr>
            <w:r>
              <w:rPr/>
              <w:t> </w:t>
            </w:r>
          </w:p>
        </w:tc>
      </w:tr>
      <w:tr>
        <w:trPr/>
        <w:tc>
          <w:tcPr>
            <w:tcW w:w="1790" w:type="dxa"/>
            <w:tcBorders/>
            <w:shd w:fill="FFFFFF" w:val="clear"/>
            <w:vAlign w:val="center"/>
          </w:tcPr>
          <w:p>
            <w:pPr>
              <w:pStyle w:val="TableContents"/>
              <w:bidi w:val="0"/>
              <w:spacing w:before="0" w:after="0"/>
              <w:ind w:left="180" w:right="0" w:hanging="0"/>
              <w:jc w:val="left"/>
              <w:rPr>
                <w:rFonts w:ascii="Times New Roman;Times;serif" w:hAnsi="Times New Roman;Times;serif"/>
                <w:sz w:val="16"/>
              </w:rPr>
            </w:pPr>
            <w:r>
              <w:rPr>
                <w:rFonts w:ascii="Times New Roman;Times;serif" w:hAnsi="Times New Roman;Times;serif"/>
                <w:sz w:val="16"/>
              </w:rPr>
              <w:t>Net loss — the Company</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(7,409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(7,409</w:t>
            </w:r>
          </w:p>
        </w:tc>
        <w:tc>
          <w:tcPr>
            <w:tcW w:w="1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790" w:type="dxa"/>
            <w:tcBorders/>
            <w:shd w:fill="CCEEFF" w:val="clear"/>
            <w:vAlign w:val="center"/>
          </w:tcPr>
          <w:p>
            <w:pPr>
              <w:pStyle w:val="TableContents"/>
              <w:bidi w:val="0"/>
              <w:spacing w:before="0" w:after="0"/>
              <w:ind w:left="180" w:right="0" w:hanging="0"/>
              <w:jc w:val="left"/>
              <w:rPr>
                <w:rFonts w:ascii="Times New Roman;Times;serif" w:hAnsi="Times New Roman;Times;serif"/>
                <w:sz w:val="16"/>
              </w:rPr>
            </w:pPr>
            <w:r>
              <w:rPr>
                <w:rFonts w:ascii="Times New Roman;Times;serif" w:hAnsi="Times New Roman;Times;serif"/>
                <w:sz w:val="16"/>
              </w:rPr>
              <w:t>Net income — non-controlling interest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left w:val="single" w:sz="2" w:space="0" w:color="000000"/>
            </w:tcBorders>
            <w:shd w:fill="CCEEFF" w:val="clear"/>
            <w:tcMar>
              <w:left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88</w:t>
            </w:r>
          </w:p>
        </w:tc>
        <w:tc>
          <w:tcPr>
            <w:tcW w:w="100" w:type="dxa"/>
            <w:tcBorders/>
            <w:shd w:fill="CCEEFF" w:val="clear"/>
            <w:vAlign w:val="center"/>
          </w:tcPr>
          <w:p>
            <w:pPr>
              <w:pStyle w:val="TableContents"/>
              <w:bidi w:val="0"/>
              <w:spacing w:before="0" w:after="283"/>
              <w:jc w:val="left"/>
              <w:rPr/>
            </w:pPr>
            <w:r>
              <w:rPr/>
              <w:t> </w:t>
            </w:r>
          </w:p>
        </w:tc>
      </w:tr>
      <w:tr>
        <w:trPr/>
        <w:tc>
          <w:tcPr>
            <w:tcW w:w="1790" w:type="dxa"/>
            <w:tcBorders/>
            <w:shd w:fill="FFFFFF" w:val="clear"/>
            <w:vAlign w:val="center"/>
          </w:tcPr>
          <w:p>
            <w:pPr>
              <w:pStyle w:val="TableContents"/>
              <w:bidi w:val="0"/>
              <w:spacing w:before="0" w:after="0"/>
              <w:ind w:left="180" w:right="180" w:hanging="0"/>
              <w:jc w:val="left"/>
              <w:rPr>
                <w:rFonts w:ascii="Times New Roman;Times;serif" w:hAnsi="Times New Roman;Times;serif"/>
                <w:sz w:val="16"/>
              </w:rPr>
            </w:pPr>
            <w:r>
              <w:rPr>
                <w:rFonts w:ascii="Times New Roman;Times;serif" w:hAnsi="Times New Roman;Times;serif"/>
                <w:sz w:val="16"/>
              </w:rPr>
              <w:t>Dividends from subsidiaries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(87</w:t>
            </w:r>
          </w:p>
        </w:tc>
        <w:tc>
          <w:tcPr>
            <w:tcW w:w="10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79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60" w:type="dxa"/>
            <w:tcBorders/>
            <w:shd w:fill="CCEEFF" w:val="clear"/>
            <w:vAlign w:val="center"/>
          </w:tcPr>
          <w:p>
            <w:pPr>
              <w:pStyle w:val="TableContents"/>
              <w:bidi w:val="0"/>
              <w:spacing w:before="0" w:after="0"/>
              <w:ind w:left="0" w:right="0" w:hanging="0"/>
              <w:jc w:val="left"/>
              <w:rPr/>
            </w:pPr>
            <w:r>
              <w:rPr/>
              <w:t> </w:t>
            </w:r>
          </w:p>
        </w:tc>
        <w:tc>
          <w:tcPr>
            <w:tcW w:w="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369</w:t>
            </w:r>
          </w:p>
        </w:tc>
        <w:tc>
          <w:tcPr>
            <w:tcW w:w="100" w:type="dxa"/>
            <w:tcBorders/>
            <w:shd w:fill="CCEEFF" w:val="clear"/>
            <w:vAlign w:val="center"/>
          </w:tcPr>
          <w:p>
            <w:pPr>
              <w:pStyle w:val="TableContents"/>
              <w:bidi w:val="0"/>
              <w:spacing w:before="0" w:after="0"/>
              <w:ind w:left="0" w:right="0" w:hanging="0"/>
              <w:jc w:val="left"/>
              <w:rPr/>
            </w:pPr>
            <w:r>
              <w:rPr/>
              <w:t> </w:t>
            </w:r>
          </w:p>
        </w:tc>
      </w:tr>
      <w:tr>
        <w:trPr/>
        <w:tc>
          <w:tcPr>
            <w:tcW w:w="179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 June 30, 2023</w:t>
            </w:r>
          </w:p>
        </w:tc>
        <w:tc>
          <w:tcPr>
            <w:tcW w:w="60" w:type="dxa"/>
            <w:tcBorders/>
            <w:shd w:fill="FFFFFF" w:val="clear"/>
            <w:vAlign w:val="center"/>
          </w:tcPr>
          <w:p>
            <w:pPr>
              <w:pStyle w:val="TableContents"/>
              <w:bidi w:val="0"/>
              <w:spacing w:before="0" w:after="0"/>
              <w:ind w:left="0" w:right="0" w:hanging="0"/>
              <w:jc w:val="left"/>
              <w:rPr/>
            </w:pPr>
            <w:r>
              <w:rPr/>
              <w:t> </w:t>
            </w:r>
          </w:p>
        </w:tc>
        <w:tc>
          <w:tcPr>
            <w:tcW w:w="7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3,185,000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3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280,899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4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5,526,481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235,467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(241,719</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6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2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(5,542</w:t>
            </w:r>
          </w:p>
        </w:tc>
        <w:tc>
          <w:tcPr>
            <w:tcW w:w="100" w:type="dxa"/>
            <w:tcBorders/>
            <w:shd w:fill="FFFFFF" w:val="clear"/>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0"/>
        <w:gridCol w:w="60"/>
        <w:gridCol w:w="105"/>
        <w:gridCol w:w="1075"/>
        <w:gridCol w:w="60"/>
        <w:gridCol w:w="60"/>
        <w:gridCol w:w="60"/>
        <w:gridCol w:w="740"/>
        <w:gridCol w:w="60"/>
        <w:gridCol w:w="60"/>
        <w:gridCol w:w="170"/>
        <w:gridCol w:w="405"/>
        <w:gridCol w:w="60"/>
        <w:gridCol w:w="60"/>
        <w:gridCol w:w="171"/>
        <w:gridCol w:w="946"/>
        <w:gridCol w:w="60"/>
        <w:gridCol w:w="60"/>
        <w:gridCol w:w="132"/>
        <w:gridCol w:w="803"/>
        <w:gridCol w:w="80"/>
        <w:gridCol w:w="60"/>
        <w:gridCol w:w="266"/>
        <w:gridCol w:w="813"/>
        <w:gridCol w:w="80"/>
        <w:gridCol w:w="60"/>
        <w:gridCol w:w="210"/>
        <w:gridCol w:w="1109"/>
        <w:gridCol w:w="100"/>
      </w:tblGrid>
      <w:tr>
        <w:trPr/>
        <w:tc>
          <w:tcPr>
            <w:tcW w:w="2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Series A Preferred</w:t>
            </w:r>
          </w:p>
        </w:tc>
        <w:tc>
          <w:tcPr>
            <w:tcW w:w="60" w:type="dxa"/>
            <w:tcBorders>
              <w:right w:val="single" w:sz="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95"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Additional Paid-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Non- controlling</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Total Stockholders’</w:t>
            </w:r>
          </w:p>
        </w:tc>
        <w:tc>
          <w:tcPr>
            <w:tcW w:w="100" w:type="dxa"/>
            <w:tcBorders/>
            <w:shd w:fill="FFFFFF" w:val="clear"/>
            <w:vAlign w:val="center"/>
          </w:tcPr>
          <w:p>
            <w:pPr>
              <w:pStyle w:val="TableContents"/>
              <w:bidi w:val="0"/>
              <w:spacing w:before="0" w:after="283"/>
              <w:jc w:val="left"/>
              <w:rPr/>
            </w:pPr>
            <w:r>
              <w:rPr/>
              <w:t> </w:t>
            </w:r>
          </w:p>
        </w:tc>
      </w:tr>
      <w:tr>
        <w:trPr/>
        <w:tc>
          <w:tcPr>
            <w:tcW w:w="2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60" w:type="dxa"/>
            <w:tcBorders>
              <w:right w:val="single" w:sz="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in-Capital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Interest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Equity</w:t>
            </w:r>
          </w:p>
        </w:tc>
        <w:tc>
          <w:tcPr>
            <w:tcW w:w="100" w:type="dxa"/>
            <w:tcBorders/>
            <w:shd w:fill="FFFFFF" w:val="clear"/>
            <w:vAlign w:val="center"/>
          </w:tcPr>
          <w:p>
            <w:pPr>
              <w:pStyle w:val="TableContents"/>
              <w:bidi w:val="0"/>
              <w:spacing w:before="0" w:after="283"/>
              <w:jc w:val="left"/>
              <w:rPr/>
            </w:pPr>
            <w:r>
              <w:rPr/>
              <w:t> </w:t>
            </w:r>
          </w:p>
        </w:tc>
      </w:tr>
      <w:tr>
        <w:trPr/>
        <w:tc>
          <w:tcPr>
            <w:tcW w:w="2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 — January 1, 2022</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10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252,717</w:t>
            </w:r>
          </w:p>
        </w:tc>
        <w:tc>
          <w:tcPr>
            <w:tcW w:w="60" w:type="dxa"/>
            <w:tcBorders>
              <w:right w:val="single" w:sz="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4,265,506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221,321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(180,405</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6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41,596</w:t>
            </w:r>
          </w:p>
        </w:tc>
        <w:tc>
          <w:tcPr>
            <w:tcW w:w="100" w:type="dxa"/>
            <w:tcBorders/>
            <w:shd w:fill="CCEEFF" w:val="clear"/>
            <w:vAlign w:val="center"/>
          </w:tcPr>
          <w:p>
            <w:pPr>
              <w:pStyle w:val="TableContents"/>
              <w:bidi w:val="0"/>
              <w:spacing w:before="0" w:after="283"/>
              <w:jc w:val="left"/>
              <w:rPr/>
            </w:pPr>
            <w:r>
              <w:rPr/>
              <w:t> </w:t>
            </w:r>
          </w:p>
        </w:tc>
      </w:tr>
      <w:tr>
        <w:trPr/>
        <w:tc>
          <w:tcPr>
            <w:tcW w:w="22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Options exercised</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1075" w:type="dxa"/>
            <w:tcBorders/>
            <w:shd w:fill="FFFFFF" w:val="clear"/>
            <w:vAlign w:val="center"/>
          </w:tcPr>
          <w:p>
            <w:pPr>
              <w:pStyle w:val="TableContents"/>
              <w:bidi w:val="0"/>
              <w:spacing w:before="0" w:after="283"/>
              <w:ind w:left="0" w:right="0" w:hanging="0"/>
              <w:jc w:val="right"/>
              <w:rPr/>
            </w:pPr>
            <w:r>
              <w:rPr/>
              <w:t>—</w:t>
            </w:r>
          </w:p>
        </w:tc>
        <w:tc>
          <w:tcPr>
            <w:tcW w:w="60" w:type="dxa"/>
            <w:tcBorders>
              <w:right w:val="single" w:sz="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4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81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w:t>
            </w:r>
          </w:p>
        </w:tc>
        <w:tc>
          <w:tcPr>
            <w:tcW w:w="100" w:type="dxa"/>
            <w:tcBorders/>
            <w:shd w:fill="FFFFFF" w:val="clear"/>
            <w:vAlign w:val="center"/>
          </w:tcPr>
          <w:p>
            <w:pPr>
              <w:pStyle w:val="TableContents"/>
              <w:bidi w:val="0"/>
              <w:spacing w:before="0" w:after="283"/>
              <w:jc w:val="left"/>
              <w:rPr/>
            </w:pPr>
            <w:r>
              <w:rPr/>
              <w:t> </w:t>
            </w:r>
          </w:p>
        </w:tc>
      </w:tr>
      <w:tr>
        <w:trPr/>
        <w:tc>
          <w:tcPr>
            <w:tcW w:w="22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 — the Company</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1075"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right w:val="single" w:sz="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4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(8,619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ind w:left="0" w:right="0" w:hanging="0"/>
              <w:jc w:val="left"/>
              <w:rPr/>
            </w:pPr>
            <w:r>
              <w:rPr/>
              <w:t> </w:t>
            </w:r>
          </w:p>
        </w:tc>
        <w:tc>
          <w:tcPr>
            <w:tcW w:w="81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(8,619</w:t>
            </w:r>
          </w:p>
        </w:tc>
        <w:tc>
          <w:tcPr>
            <w:tcW w:w="1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2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 — non-controlling interest</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1075"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right w:val="single" w:sz="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405"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w:t>
            </w:r>
          </w:p>
        </w:tc>
        <w:tc>
          <w:tcPr>
            <w:tcW w:w="1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2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right w:val="single" w:sz="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443</w:t>
            </w:r>
          </w:p>
        </w:tc>
        <w:tc>
          <w:tcPr>
            <w:tcW w:w="100" w:type="dxa"/>
            <w:tcBorders/>
            <w:shd w:fill="CCEEFF" w:val="clear"/>
            <w:vAlign w:val="center"/>
          </w:tcPr>
          <w:p>
            <w:pPr>
              <w:pStyle w:val="TableContents"/>
              <w:bidi w:val="0"/>
              <w:spacing w:before="0" w:after="283"/>
              <w:jc w:val="left"/>
              <w:rPr/>
            </w:pPr>
            <w:r>
              <w:rPr/>
              <w:t> </w:t>
            </w:r>
          </w:p>
        </w:tc>
      </w:tr>
      <w:tr>
        <w:trPr/>
        <w:tc>
          <w:tcPr>
            <w:tcW w:w="2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 — March 31, 2022</w:t>
            </w:r>
          </w:p>
        </w:tc>
        <w:tc>
          <w:tcPr>
            <w:tcW w:w="60" w:type="dxa"/>
            <w:tcBorders/>
            <w:shd w:fill="FFFFFF" w:val="clear"/>
            <w:vAlign w:val="center"/>
          </w:tcPr>
          <w:p>
            <w:pPr>
              <w:pStyle w:val="TableContents"/>
              <w:bidi w:val="0"/>
              <w:spacing w:before="0" w:after="283"/>
              <w:jc w:val="left"/>
              <w:rPr/>
            </w:pPr>
            <w:r>
              <w:rPr/>
              <w:t> </w:t>
            </w:r>
          </w:p>
        </w:tc>
        <w:tc>
          <w:tcPr>
            <w:tcW w:w="10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252,717</w:t>
            </w:r>
          </w:p>
        </w:tc>
        <w:tc>
          <w:tcPr>
            <w:tcW w:w="60" w:type="dxa"/>
            <w:tcBorders>
              <w:right w:val="single" w:sz="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4,266,604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221,787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(189,024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1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33,426</w:t>
            </w:r>
          </w:p>
        </w:tc>
        <w:tc>
          <w:tcPr>
            <w:tcW w:w="100" w:type="dxa"/>
            <w:tcBorders/>
            <w:shd w:fill="FFFFFF" w:val="clear"/>
            <w:vAlign w:val="center"/>
          </w:tcPr>
          <w:p>
            <w:pPr>
              <w:pStyle w:val="TableContents"/>
              <w:bidi w:val="0"/>
              <w:spacing w:before="0" w:after="283"/>
              <w:jc w:val="left"/>
              <w:rPr/>
            </w:pPr>
            <w:r>
              <w:rPr/>
              <w:t> </w:t>
            </w:r>
          </w:p>
        </w:tc>
      </w:tr>
      <w:tr>
        <w:trPr/>
        <w:tc>
          <w:tcPr>
            <w:tcW w:w="22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 — the Company</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1075"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right w:val="single" w:sz="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4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(10,559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ind w:left="0" w:right="0" w:hanging="0"/>
              <w:jc w:val="left"/>
              <w:rPr/>
            </w:pPr>
            <w:r>
              <w:rPr/>
              <w:t> </w:t>
            </w:r>
          </w:p>
        </w:tc>
        <w:tc>
          <w:tcPr>
            <w:tcW w:w="81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(10,559</w:t>
            </w:r>
          </w:p>
        </w:tc>
        <w:tc>
          <w:tcPr>
            <w:tcW w:w="1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2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 — non-controlling interest</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1075"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right w:val="single" w:sz="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4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w:t>
            </w:r>
          </w:p>
        </w:tc>
        <w:tc>
          <w:tcPr>
            <w:tcW w:w="100" w:type="dxa"/>
            <w:tcBorders/>
            <w:shd w:fill="FFFFFF" w:val="clear"/>
            <w:vAlign w:val="center"/>
          </w:tcPr>
          <w:p>
            <w:pPr>
              <w:pStyle w:val="TableContents"/>
              <w:bidi w:val="0"/>
              <w:spacing w:before="0" w:after="283"/>
              <w:jc w:val="left"/>
              <w:rPr/>
            </w:pPr>
            <w:r>
              <w:rPr/>
              <w:t> </w:t>
            </w:r>
          </w:p>
        </w:tc>
      </w:tr>
      <w:tr>
        <w:trPr/>
        <w:tc>
          <w:tcPr>
            <w:tcW w:w="22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common stock</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1075" w:type="dxa"/>
            <w:tcBorders/>
            <w:shd w:fill="CCEEFF" w:val="clear"/>
            <w:vAlign w:val="center"/>
          </w:tcPr>
          <w:p>
            <w:pPr>
              <w:pStyle w:val="TableContents"/>
              <w:bidi w:val="0"/>
              <w:spacing w:before="0" w:after="283"/>
              <w:ind w:left="0" w:right="0" w:hanging="0"/>
              <w:jc w:val="right"/>
              <w:rPr/>
            </w:pPr>
            <w:r>
              <w:rPr/>
              <w:t>—</w:t>
            </w:r>
          </w:p>
        </w:tc>
        <w:tc>
          <w:tcPr>
            <w:tcW w:w="60" w:type="dxa"/>
            <w:tcBorders>
              <w:right w:val="single" w:sz="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4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ind w:left="0" w:right="0" w:hanging="0"/>
              <w:jc w:val="left"/>
              <w:rPr/>
            </w:pPr>
            <w:r>
              <w:rPr/>
              <w:t> </w:t>
            </w:r>
          </w:p>
        </w:tc>
        <w:tc>
          <w:tcPr>
            <w:tcW w:w="81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w:t>
            </w:r>
          </w:p>
        </w:tc>
        <w:tc>
          <w:tcPr>
            <w:tcW w:w="100" w:type="dxa"/>
            <w:tcBorders/>
            <w:shd w:fill="CCEEFF" w:val="clear"/>
            <w:vAlign w:val="center"/>
          </w:tcPr>
          <w:p>
            <w:pPr>
              <w:pStyle w:val="TableContents"/>
              <w:bidi w:val="0"/>
              <w:spacing w:before="0" w:after="283"/>
              <w:jc w:val="left"/>
              <w:rPr/>
            </w:pPr>
            <w:r>
              <w:rPr/>
              <w:t> </w:t>
            </w:r>
          </w:p>
        </w:tc>
      </w:tr>
      <w:tr>
        <w:trPr/>
        <w:tc>
          <w:tcPr>
            <w:tcW w:w="22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1075"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right w:val="single" w:sz="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4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81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558</w:t>
            </w:r>
          </w:p>
        </w:tc>
        <w:tc>
          <w:tcPr>
            <w:tcW w:w="100" w:type="dxa"/>
            <w:tcBorders/>
            <w:shd w:fill="FFFFFF" w:val="clear"/>
            <w:vAlign w:val="center"/>
          </w:tcPr>
          <w:p>
            <w:pPr>
              <w:pStyle w:val="TableContents"/>
              <w:bidi w:val="0"/>
              <w:spacing w:before="0" w:after="283"/>
              <w:jc w:val="left"/>
              <w:rPr/>
            </w:pPr>
            <w:r>
              <w:rPr/>
              <w:t> </w:t>
            </w:r>
          </w:p>
        </w:tc>
      </w:tr>
      <w:tr>
        <w:trPr/>
        <w:tc>
          <w:tcPr>
            <w:tcW w:w="22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Dividends from subsidiaries</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right w:val="single" w:sz="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(124</w:t>
            </w:r>
          </w:p>
        </w:tc>
        <w:tc>
          <w:tcPr>
            <w:tcW w:w="1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 — June 30, 2022</w:t>
            </w:r>
          </w:p>
        </w:tc>
        <w:tc>
          <w:tcPr>
            <w:tcW w:w="60" w:type="dxa"/>
            <w:tcBorders/>
            <w:shd w:fill="FFFFFF" w:val="clear"/>
            <w:vAlign w:val="center"/>
          </w:tcPr>
          <w:p>
            <w:pPr>
              <w:pStyle w:val="TableContents"/>
              <w:bidi w:val="0"/>
              <w:spacing w:before="0" w:after="283"/>
              <w:jc w:val="left"/>
              <w:rPr/>
            </w:pPr>
            <w:r>
              <w:rPr/>
              <w:t> </w:t>
            </w:r>
          </w:p>
        </w:tc>
        <w:tc>
          <w:tcPr>
            <w:tcW w:w="10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252,717</w:t>
            </w:r>
          </w:p>
        </w:tc>
        <w:tc>
          <w:tcPr>
            <w:tcW w:w="60" w:type="dxa"/>
            <w:tcBorders>
              <w:right w:val="single" w:sz="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4,293,271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222,393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(199,583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1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23,396</w:t>
            </w:r>
          </w:p>
        </w:tc>
        <w:tc>
          <w:tcPr>
            <w:tcW w:w="10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Note: Share amounts have been retroactively adjusted to reflect the impact of a 1-for-15 reverse stock split effected in May 2023, as discussed in Note 2.</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Amounts associated with Private Placement and Preferred shares round to $nil.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9" w:name="cf"/>
      <w:bookmarkEnd w:id="9"/>
      <w:r>
        <w:rPr>
          <w:rFonts w:ascii="Times New Roman" w:hAnsi="Times New Roman"/>
          <w:b/>
          <w:caps w:val="false"/>
          <w:smallCaps w:val="false"/>
          <w:sz w:val="20"/>
        </w:rPr>
        <w:t>VENUS CONCEPT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(Unaudited)</w:t>
      </w:r>
    </w:p>
    <w:p>
      <w:pPr>
        <w:pStyle w:val="TextBody"/>
        <w:bidi w:val="0"/>
        <w:spacing w:before="0" w:after="0"/>
        <w:ind w:left="0" w:right="0" w:hanging="0"/>
        <w:jc w:val="center"/>
        <w:rPr>
          <w:rFonts w:ascii="Times New Roman" w:hAnsi="Times New Roman"/>
          <w:b/>
          <w:i/>
          <w:caps w:val="false"/>
          <w:smallCaps w:val="false"/>
          <w:position w:val="-2"/>
          <w:sz w:val="16"/>
          <w:sz w:val="20"/>
        </w:rPr>
      </w:pPr>
      <w:r>
        <w:rPr>
          <w:rFonts w:ascii="Times New Roman" w:hAnsi="Times New Roman"/>
          <w:b/>
          <w:i/>
          <w:caps w:val="false"/>
          <w:smallCaps w:val="false"/>
          <w:position w:val="-2"/>
          <w:sz w:val="16"/>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9507" w:type="dxa"/>
        <w:jc w:val="left"/>
        <w:tblInd w:w="0" w:type="dxa"/>
        <w:tblLayout w:type="fixed"/>
        <w:tblCellMar>
          <w:top w:w="0" w:type="dxa"/>
          <w:left w:w="0" w:type="dxa"/>
          <w:bottom w:w="0" w:type="dxa"/>
          <w:right w:w="0" w:type="dxa"/>
        </w:tblCellMar>
      </w:tblPr>
      <w:tblGrid>
        <w:gridCol w:w="7070"/>
        <w:gridCol w:w="60"/>
        <w:gridCol w:w="170"/>
        <w:gridCol w:w="884"/>
        <w:gridCol w:w="108"/>
        <w:gridCol w:w="81"/>
        <w:gridCol w:w="170"/>
        <w:gridCol w:w="884"/>
        <w:gridCol w:w="80"/>
      </w:tblGrid>
      <w:tr>
        <w:trPr/>
        <w:tc>
          <w:tcPr>
            <w:tcW w:w="7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(16,944</w:t>
            </w:r>
          </w:p>
        </w:tc>
        <w:tc>
          <w:tcPr>
            <w:tcW w:w="10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283"/>
              <w:ind w:left="0" w:right="0" w:hanging="0"/>
              <w:jc w:val="left"/>
              <w:rPr/>
            </w:pPr>
            <w:r>
              <w:rPr/>
              <w:t> </w:t>
            </w:r>
          </w:p>
        </w:tc>
        <w:tc>
          <w:tcPr>
            <w:tcW w:w="17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(19,148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2,032</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2,212</w:t>
            </w:r>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850</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1,001</w:t>
            </w:r>
          </w:p>
        </w:tc>
        <w:tc>
          <w:tcPr>
            <w:tcW w:w="8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Provision for expected credit losses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977</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3,521</w:t>
            </w:r>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Provision for inventory obsolescence</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674</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862</w:t>
            </w:r>
          </w:p>
        </w:tc>
        <w:tc>
          <w:tcPr>
            <w:tcW w:w="8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Finance expenses and accretion</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680</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182</w:t>
            </w:r>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Deferred tax expense (recovery)</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78</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(283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Loss on sale of subsidiary</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76</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Loss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31</w:t>
            </w:r>
          </w:p>
        </w:tc>
        <w:tc>
          <w:tcPr>
            <w:tcW w:w="8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Accounts receivable short-term and long-term</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6,153</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(2,492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Inventories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297</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(2,682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Prepaid expenses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207</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568</w:t>
            </w:r>
          </w:p>
        </w:tc>
        <w:tc>
          <w:tcPr>
            <w:tcW w:w="8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Advances to suppliers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132</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(3,797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Other current assets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1,642</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Operating right-of-use assets, net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879</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6,057</w:t>
            </w:r>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Other long-term assets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(268</w:t>
            </w:r>
          </w:p>
        </w:tc>
        <w:tc>
          <w:tcPr>
            <w:tcW w:w="10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Trade payables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259</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2,361</w:t>
            </w:r>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(4,185</w:t>
            </w:r>
          </w:p>
        </w:tc>
        <w:tc>
          <w:tcPr>
            <w:tcW w:w="10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(1,969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Current operating lease liabilities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(236</w:t>
            </w:r>
          </w:p>
        </w:tc>
        <w:tc>
          <w:tcPr>
            <w:tcW w:w="10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(1,764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Severance pay funds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154</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w:t>
            </w:r>
          </w:p>
        </w:tc>
        <w:tc>
          <w:tcPr>
            <w:tcW w:w="8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Unearned interest income</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(887</w:t>
            </w:r>
          </w:p>
        </w:tc>
        <w:tc>
          <w:tcPr>
            <w:tcW w:w="10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284</w:t>
            </w:r>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Long-term operating lease liabilities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(555</w:t>
            </w:r>
          </w:p>
        </w:tc>
        <w:tc>
          <w:tcPr>
            <w:tcW w:w="10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(4,293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Other long-term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w:t>
            </w:r>
          </w:p>
        </w:tc>
        <w:tc>
          <w:tcPr>
            <w:tcW w:w="10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283"/>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CCEE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(8,010</w:t>
            </w:r>
          </w:p>
        </w:tc>
        <w:tc>
          <w:tcPr>
            <w:tcW w:w="10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(19,713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Purchases of property and equipment</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(92</w:t>
            </w:r>
          </w:p>
        </w:tc>
        <w:tc>
          <w:tcPr>
            <w:tcW w:w="10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CCEEFF" w:val="clear"/>
            <w:vAlign w:val="center"/>
          </w:tcPr>
          <w:p>
            <w:pPr>
              <w:pStyle w:val="TableContents"/>
              <w:bidi w:val="0"/>
              <w:spacing w:before="0" w:after="283"/>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w:t>
            </w:r>
          </w:p>
        </w:tc>
        <w:tc>
          <w:tcPr>
            <w:tcW w:w="10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2023 Multi-Tranche Private Placement, net of costs of $367</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1,633</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Proceeds from exercise of options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w:t>
            </w:r>
          </w:p>
        </w:tc>
        <w:tc>
          <w:tcPr>
            <w:tcW w:w="8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Proceeds from issuance of common stock</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1,109</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272</w:t>
            </w:r>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Repayment of government assistance loans</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jc w:val="right"/>
              <w:rPr/>
            </w:pPr>
            <w:r>
              <w:rPr/>
              <w:t>—</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(543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Dividends from subsidiaries paid to non-controlling interest</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(87</w:t>
            </w:r>
          </w:p>
        </w:tc>
        <w:tc>
          <w:tcPr>
            <w:tcW w:w="10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283"/>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CCEE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provided by financing activities</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2,655</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DECREASE IN CASH AND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(5,447</w:t>
            </w:r>
          </w:p>
        </w:tc>
        <w:tc>
          <w:tcPr>
            <w:tcW w:w="10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(20,336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 AND RESTRICTED CASH — Beginning of period</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11,569</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30,876</w:t>
            </w:r>
          </w:p>
        </w:tc>
        <w:tc>
          <w:tcPr>
            <w:tcW w:w="8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 AND RESTRICTED CASH —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6,122</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10,540</w:t>
            </w:r>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Cash paid for income taxes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224</w:t>
            </w:r>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Cash paid for interest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2,381</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1,775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0" w:name="notes"/>
      <w:bookmarkEnd w:id="10"/>
      <w:r>
        <w:rPr>
          <w:rFonts w:ascii="Times New Roman" w:hAnsi="Times New Roman"/>
          <w:b/>
          <w:caps w:val="false"/>
          <w:smallCaps w:val="false"/>
          <w:sz w:val="20"/>
        </w:rPr>
        <w:t>VENUS CONCEPT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(Unaudited)</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(in thousands, unless otherwise noted,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NATURE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Venus Concept Inc. is a global medical technology company that develops, commercializes, and sells minimally invasive and non-invasive medical aesthetic and hair restoration technologies and related services. The Company's systems have been designed on cost-effective, proprietary and flexible platforms that enable it to expand beyond the aesthetic industry’s traditional markets of dermatology and plastic surgery, and into non-traditional markets, including family and general practitioners and aesthetic medical spas. The Company was incorporated in the state of Delaware on </w:t>
      </w:r>
      <w:r>
        <w:rPr>
          <w:rStyle w:val="Emphasis"/>
          <w:rFonts w:ascii="Times New Roman" w:hAnsi="Times New Roman"/>
          <w:caps w:val="false"/>
          <w:smallCaps w:val="false"/>
          <w:sz w:val="20"/>
        </w:rPr>
        <w:t xml:space="preserve">November 22, 2002. </w:t>
      </w:r>
      <w:r>
        <w:rPr>
          <w:rFonts w:ascii="Times New Roman" w:hAnsi="Times New Roman"/>
          <w:caps w:val="false"/>
          <w:smallCaps w:val="false"/>
          <w:sz w:val="20"/>
        </w:rPr>
        <w:t>In these notes to the unaudited condensed consolidated financial statements, the “Company” and “Venus Concept”, refer to Venus Concept Inc. and its subsidiaries on a consolidated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accompanying unaudited condensed consolidated financial statements have been prepared on a going concern basis, which contemplates the realization of assets and the satisfaction of liabilities in the normal course of business for the foreseeable future, and, as such, the unaudited condensed consolidated financial statements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any adjustments relating to the recoverability and classification of recorded asset amounts or amounts and classification of liabilities that might be necessary should the Company be unable to continue in existence.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 has had recurring net operating losses and negative cash flows from operations. As of </w:t>
      </w:r>
      <w:r>
        <w:rPr>
          <w:rStyle w:val="Emphasis"/>
          <w:rFonts w:ascii="Times New Roman" w:hAnsi="Times New Roman"/>
          <w:caps w:val="false"/>
          <w:smallCaps w:val="false"/>
          <w:sz w:val="20"/>
        </w:rPr>
        <w:t xml:space="preserve"> June 30,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the Company had an accumulated deficit of $241,719 </w:t>
      </w:r>
      <w:r>
        <w:rPr>
          <w:rFonts w:ascii="Times New Roman" w:hAnsi="Times New Roman"/>
          <w:caps w:val="false"/>
          <w:smallCaps w:val="false"/>
          <w:sz w:val="20"/>
          <w:shd w:fill="FFFFFF" w:val="clear"/>
        </w:rPr>
        <w:t>a</w:t>
      </w:r>
      <w:r>
        <w:rPr>
          <w:rFonts w:ascii="Times New Roman" w:hAnsi="Times New Roman"/>
          <w:caps w:val="false"/>
          <w:smallCaps w:val="false"/>
          <w:sz w:val="20"/>
        </w:rPr>
        <w:t xml:space="preserve">nd $224,105, respectively, though, the Company was in compliance with all required covenants as of </w:t>
      </w:r>
      <w:r>
        <w:rPr>
          <w:rStyle w:val="Emphasis"/>
          <w:rFonts w:ascii="Times New Roman" w:hAnsi="Times New Roman"/>
          <w:caps w:val="false"/>
          <w:smallCaps w:val="false"/>
          <w:sz w:val="20"/>
        </w:rPr>
        <w:t>June 30,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The Company’s recurring losses from operations and negative cash flows raise substantial doubt about the Company’s ability to continue as a going concern within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from the date that the unaudited condensed consolidated financial statements are issued. The global economy, including the financial and credit markets, has recently experienced extreme volatility and disruptions, including increasing inflation rates, rising interest rates, foreign currency impacts, declines in consumer confidence, and declines in economic growth. All these factors point to uncertainty about economic stability, and the severity and duration of these conditions on our business cannot be predicted, and the Company cannot assure that it will remain in compliance with the financial covenants contained within its credit facilities.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order to continue its operations, the Company must achieve profitable operations and/or obtain additional equity or debt financing. Until the Company achieves profitability, management plans to fund its operations and capital expenditures with cash on hand, borrowings, and issuance of capital stock. On </w:t>
      </w:r>
      <w:r>
        <w:rPr>
          <w:rStyle w:val="Emphasis"/>
          <w:rFonts w:ascii="Times New Roman" w:hAnsi="Times New Roman"/>
          <w:caps w:val="false"/>
          <w:smallCaps w:val="false"/>
          <w:sz w:val="20"/>
        </w:rPr>
        <w:t xml:space="preserve">June 16, 2020, </w:t>
      </w:r>
      <w:r>
        <w:rPr>
          <w:rFonts w:ascii="Times New Roman" w:hAnsi="Times New Roman"/>
          <w:caps w:val="false"/>
          <w:smallCaps w:val="false"/>
          <w:sz w:val="20"/>
        </w:rPr>
        <w:t xml:space="preserve">we entered into a purchase agreement (the "Equity Purchase Agreement") with Lincoln Park Capital Fund LLC ("Lincoln Park"), which provided that, upon the terms and subject to the conditions and limitations set forth therein,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sell to Lincoln Park up to $31.0 million of shares of our common stock pursuant to our shelf registration statement. During the year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and until its expiry in </w:t>
      </w:r>
      <w:r>
        <w:rPr>
          <w:rStyle w:val="Emphasis"/>
          <w:rFonts w:ascii="Times New Roman" w:hAnsi="Times New Roman"/>
          <w:caps w:val="false"/>
          <w:smallCaps w:val="false"/>
          <w:sz w:val="20"/>
        </w:rPr>
        <w:t xml:space="preserve">July 2022, </w:t>
      </w:r>
      <w:r>
        <w:rPr>
          <w:rFonts w:ascii="Times New Roman" w:hAnsi="Times New Roman"/>
          <w:caps w:val="false"/>
          <w:smallCaps w:val="false"/>
          <w:sz w:val="20"/>
        </w:rPr>
        <w:t xml:space="preserve">we sold to Lincoln Park 0.02 million shares of our common stock and raised net cash proceeds of $0.3 million under the Equity Purchase Agreement. On </w:t>
      </w:r>
      <w:r>
        <w:rPr>
          <w:rStyle w:val="Emphasis"/>
          <w:rFonts w:ascii="Times New Roman" w:hAnsi="Times New Roman"/>
          <w:caps w:val="false"/>
          <w:smallCaps w:val="false"/>
          <w:sz w:val="20"/>
        </w:rPr>
        <w:t xml:space="preserve">July 12, 2022, </w:t>
      </w:r>
      <w:r>
        <w:rPr>
          <w:rFonts w:ascii="Times New Roman" w:hAnsi="Times New Roman"/>
          <w:caps w:val="false"/>
          <w:smallCaps w:val="false"/>
          <w:sz w:val="20"/>
        </w:rPr>
        <w:t xml:space="preserve">we entered into a subsequent purchase agreement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LPC Purchase Agreement") with Lincoln Park, which will enhance our balance sheet and financial condition to support our future growth initiatives. As part of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LPC Purchase Agreement, we issued and sold to Lincoln Park 0.05 million shares of our common stock as a commitment fee for entering into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LPC Purchase Agreement with the total value of $0.3 million. Since commencement of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LPC Purchase Agreement through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the Company issued an additional 0.78 million shares of common stock to Lincoln Park at an average price of $3.97 per share, for a total value of $3.1 million. Additionally, the Company completed private placement offerings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which generated gross proceeds of $8.7 million. Refer to Note </w:t>
      </w:r>
      <w:r>
        <w:rPr>
          <w:rStyle w:val="Emphasis"/>
          <w:rFonts w:ascii="Times New Roman" w:hAnsi="Times New Roman"/>
          <w:caps w:val="false"/>
          <w:smallCaps w:val="false"/>
          <w:sz w:val="20"/>
        </w:rPr>
        <w:t>14</w:t>
      </w:r>
      <w:r>
        <w:rPr>
          <w:rFonts w:ascii="Times New Roman" w:hAnsi="Times New Roman"/>
          <w:caps w:val="false"/>
          <w:smallCaps w:val="false"/>
          <w:sz w:val="20"/>
        </w:rPr>
        <w:t> “</w:t>
      </w:r>
      <w:r>
        <w:rPr>
          <w:rFonts w:ascii="Times New Roman" w:hAnsi="Times New Roman"/>
          <w:i/>
          <w:caps w:val="false"/>
          <w:smallCaps w:val="false"/>
          <w:sz w:val="20"/>
        </w:rPr>
        <w:t>Stockholders Equity</w:t>
      </w:r>
      <w:r>
        <w:rPr>
          <w:rFonts w:ascii="Times New Roman" w:hAnsi="Times New Roman"/>
          <w:caps w:val="false"/>
          <w:smallCaps w:val="false"/>
          <w:sz w:val="20"/>
        </w:rPr>
        <w:t>” for additional details. Until the Company generates revenue at a level to support its cost structure, the Company expects to continue to incur substantial operating losses and net cash outflows from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Given the economic uncertainty in U.S. and international markets, the Company cannot anticipate the extent to which the current economic turmoil and financial market conditions will continue to adversely impact the Company’s business and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need additional capital to fund its future operations and to access the capital markets sooner than planned.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that the Company will be successful in raising additional capital or that such capital, if available, will be on terms that are acceptable to the Company. If the Company is unable to raise sufficient additional capital, it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compelled to reduce the scope of its operations and planned capital expenditures or sell certain assets, including intellectual property assets. These unaudited condensed consolidated financial statements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any adjustments relating to the recoverability and classification of recorded asset amounts or amounts and classification of liabilities that might result from the uncertainty. Such adjustments could be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accompanying unaudited condensed consolidated financial statements have been prepared on a going concern basis, which contemplates the realization of assets and the satisfaction of liabilities in the normal course of business for the foreseeable future, and, as such, the unaudited condensed consolidated financial statements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any adjustments relating to the recoverability and classification of recorded asset amounts or amounts and classification of liabilities that might be necessary should the Company be unable to continue in existence.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caps w:val="false"/>
          <w:smallCaps w:val="false"/>
          <w:sz w:val="20"/>
        </w:rPr>
        <w:t>2.</w:t>
      </w:r>
      <w:r>
        <w:rPr>
          <w:rFonts w:ascii="Times New Roman;Times;serif" w:hAnsi="Times New Roman;Times;serif"/>
          <w:b/>
          <w:caps w:val="false"/>
          <w:smallCaps w:val="false"/>
          <w:sz w:val="20"/>
        </w:rPr>
        <w:t xml:space="preserve">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The accompanying unaudited condensed consolidated financial statements have been prepared in accordance with accounting principles generally accepted in the United States (“U.S. GAAP”) and with the instructions to Form </w:t>
      </w:r>
      <w:r>
        <w:rPr>
          <w:rStyle w:val="Emphasis"/>
          <w:rFonts w:ascii="Times New Roman;Times;serif" w:hAnsi="Times New Roman;Times;serif"/>
          <w:caps w:val="false"/>
          <w:smallCaps w:val="false"/>
          <w:sz w:val="20"/>
        </w:rPr>
        <w:t>10</w:t>
      </w:r>
      <w:r>
        <w:rPr>
          <w:rFonts w:ascii="Times New Roman;Times;serif" w:hAnsi="Times New Roman;Times;serif"/>
          <w:caps w:val="false"/>
          <w:smallCaps w:val="false"/>
          <w:sz w:val="20"/>
        </w:rPr>
        <w:t xml:space="preserve">-Q and Article </w:t>
      </w:r>
      <w:r>
        <w:rPr>
          <w:rStyle w:val="Emphasis"/>
          <w:rFonts w:ascii="Times New Roman;Times;serif" w:hAnsi="Times New Roman;Times;serif"/>
          <w:caps w:val="false"/>
          <w:smallCaps w:val="false"/>
          <w:sz w:val="20"/>
        </w:rPr>
        <w:t>10</w:t>
      </w:r>
      <w:r>
        <w:rPr>
          <w:rFonts w:ascii="Times New Roman;Times;serif" w:hAnsi="Times New Roman;Times;serif"/>
          <w:caps w:val="false"/>
          <w:smallCaps w:val="false"/>
          <w:sz w:val="20"/>
        </w:rPr>
        <w:t xml:space="preserve"> of Regulation S-</w:t>
      </w:r>
      <w:r>
        <w:rPr>
          <w:rStyle w:val="Emphasis"/>
          <w:rFonts w:ascii="Times New Roman;Times;serif" w:hAnsi="Times New Roman;Times;serif"/>
          <w:caps w:val="false"/>
          <w:smallCaps w:val="false"/>
          <w:sz w:val="20"/>
        </w:rPr>
        <w:t>X.</w:t>
      </w:r>
      <w:r>
        <w:rPr>
          <w:rFonts w:ascii="Times New Roman;Times;serif" w:hAnsi="Times New Roman;Times;serif"/>
          <w:caps w:val="false"/>
          <w:smallCaps w:val="false"/>
          <w:sz w:val="20"/>
        </w:rPr>
        <w:t xml:space="preserve"> Accordingly, they do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include all of the information and footnotes required by U.S. GAAP for complete financial statements. These unaudited condensed consolidated financial statements should be read in conjunction with the Company’s audited consolidated financial statements included in its Annual Report on Form </w:t>
      </w:r>
      <w:r>
        <w:rPr>
          <w:rStyle w:val="Emphasis"/>
          <w:rFonts w:ascii="Times New Roman;Times;serif" w:hAnsi="Times New Roman;Times;serif"/>
          <w:caps w:val="false"/>
          <w:smallCaps w:val="false"/>
          <w:sz w:val="20"/>
        </w:rPr>
        <w:t>10</w:t>
      </w:r>
      <w:r>
        <w:rPr>
          <w:rFonts w:ascii="Times New Roman;Times;serif" w:hAnsi="Times New Roman;Times;serif"/>
          <w:caps w:val="false"/>
          <w:smallCaps w:val="false"/>
          <w:sz w:val="20"/>
        </w:rPr>
        <w:t xml:space="preserve">-K for the year ended </w:t>
      </w:r>
      <w:r>
        <w:rPr>
          <w:rStyle w:val="Emphasis"/>
          <w:rFonts w:ascii="Times New Roman;Times;serif" w:hAnsi="Times New Roman;Times;serif"/>
          <w:caps w:val="false"/>
          <w:smallCaps w:val="false"/>
          <w:sz w:val="20"/>
        </w:rPr>
        <w:t>December 31, 2022</w:t>
      </w:r>
      <w:r>
        <w:rPr>
          <w:rFonts w:ascii="Times New Roman;Times;serif" w:hAnsi="Times New Roman;Times;serif"/>
          <w:caps w:val="false"/>
          <w:smallCaps w:val="false"/>
          <w:sz w:val="20"/>
        </w:rPr>
        <w:t xml:space="preserve">, filed with the Securities and Exchange Commission (the “SEC”) on </w:t>
      </w:r>
      <w:r>
        <w:rPr>
          <w:rStyle w:val="Emphasis"/>
          <w:rFonts w:ascii="Times New Roman;Times;serif" w:hAnsi="Times New Roman;Times;serif"/>
          <w:caps w:val="false"/>
          <w:smallCaps w:val="false"/>
          <w:sz w:val="20"/>
        </w:rPr>
        <w:t xml:space="preserve">March 27, 2023. </w:t>
      </w:r>
      <w:r>
        <w:rPr>
          <w:rFonts w:ascii="Times New Roman;Times;serif" w:hAnsi="Times New Roman;Times;serif"/>
          <w:caps w:val="false"/>
          <w:smallCaps w:val="false"/>
          <w:sz w:val="20"/>
        </w:rPr>
        <w:t>In the opinion of management, all adjustments (consisting only of normal recurring adjustments) considered necessary for fair presentation have been included. Operating results for the </w:t>
      </w:r>
      <w:r>
        <w:rPr>
          <w:rStyle w:val="Emphasis"/>
          <w:rFonts w:ascii="Times New Roman;Times;serif" w:hAnsi="Times New Roman;Times;serif"/>
          <w:caps w:val="false"/>
          <w:smallCaps w:val="false"/>
          <w:sz w:val="20"/>
        </w:rPr>
        <w:t>six</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June 30, 2023</w:t>
      </w:r>
      <w:r>
        <w:rPr>
          <w:rFonts w:ascii="Times New Roman;Times;serif" w:hAnsi="Times New Roman;Times;serif"/>
          <w:caps w:val="false"/>
          <w:smallCaps w:val="false"/>
          <w:sz w:val="20"/>
        </w:rPr>
        <w:t xml:space="preserve"> are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necessarily indicative of the results that </w:t>
      </w:r>
      <w:r>
        <w:rPr>
          <w:rStyle w:val="Emphasis"/>
          <w:rFonts w:ascii="Times New Roman;Times;serif" w:hAnsi="Times New Roman;Times;serif"/>
          <w:caps w:val="false"/>
          <w:smallCaps w:val="false"/>
          <w:sz w:val="20"/>
        </w:rPr>
        <w:t xml:space="preserve">may </w:t>
      </w:r>
      <w:r>
        <w:rPr>
          <w:rFonts w:ascii="Times New Roman;Times;serif" w:hAnsi="Times New Roman;Times;serif"/>
          <w:caps w:val="false"/>
          <w:smallCaps w:val="false"/>
          <w:sz w:val="20"/>
        </w:rPr>
        <w:t xml:space="preserve">be expected for the year ending </w:t>
      </w:r>
      <w:r>
        <w:rPr>
          <w:rStyle w:val="Emphasis"/>
          <w:rFonts w:ascii="Times New Roman;Times;serif" w:hAnsi="Times New Roman;Times;serif"/>
          <w:caps w:val="false"/>
          <w:smallCaps w:val="false"/>
          <w:sz w:val="20"/>
        </w:rPr>
        <w:t xml:space="preserve">December 31, 2023. </w:t>
      </w:r>
      <w:r>
        <w:rPr>
          <w:rFonts w:ascii="Times New Roman;Times;serif" w:hAnsi="Times New Roman;Times;serif"/>
          <w:caps w:val="false"/>
          <w:smallCaps w:val="false"/>
          <w:sz w:val="20"/>
        </w:rPr>
        <w:t xml:space="preserve">For further information, refer to the consolidated financial statements and footnotes thereto included in Item </w:t>
      </w:r>
      <w:r>
        <w:rPr>
          <w:rStyle w:val="Emphasis"/>
          <w:rFonts w:ascii="Times New Roman;Times;serif" w:hAnsi="Times New Roman;Times;serif"/>
          <w:caps w:val="false"/>
          <w:smallCaps w:val="false"/>
          <w:sz w:val="20"/>
        </w:rPr>
        <w:t>8</w:t>
      </w:r>
      <w:r>
        <w:rPr>
          <w:rFonts w:ascii="Times New Roman;Times;serif" w:hAnsi="Times New Roman;Times;serif"/>
          <w:caps w:val="false"/>
          <w:smallCaps w:val="false"/>
          <w:sz w:val="20"/>
        </w:rPr>
        <w:t xml:space="preserve"> of the Company’s most recent Annual Report on Form </w:t>
      </w:r>
      <w:r>
        <w:rPr>
          <w:rStyle w:val="Emphasis"/>
          <w:rFonts w:ascii="Times New Roman;Times;serif" w:hAnsi="Times New Roman;Times;serif"/>
          <w:caps w:val="false"/>
          <w:smallCaps w:val="false"/>
          <w:sz w:val="20"/>
        </w:rPr>
        <w:t>10</w:t>
      </w:r>
      <w:r>
        <w:rPr>
          <w:rFonts w:ascii="Times New Roman;Times;serif" w:hAnsi="Times New Roman;Times;serif"/>
          <w:caps w:val="false"/>
          <w:smallCaps w:val="false"/>
          <w:sz w:val="20"/>
        </w:rPr>
        <w:t>-K.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The preparation of these consolidated financial statements in accordance with U.S. GAAP requires management to make estimates and assumptions that affect the reported amounts of assets and liabilities at the date of the financial statements, and the reported amounts of revenues and expenses during the reporting periods. Actual results could differ materially from those estimates. The Company assessed certain accounting matters that generally require consideration of forecasted financial information in context with the information reasonably available to the Company as of </w:t>
      </w:r>
      <w:r>
        <w:rPr>
          <w:rStyle w:val="Emphasis"/>
          <w:rFonts w:ascii="Times New Roman;Times;serif" w:hAnsi="Times New Roman;Times;serif"/>
          <w:caps w:val="false"/>
          <w:smallCaps w:val="false"/>
          <w:sz w:val="20"/>
        </w:rPr>
        <w:t>June 30, 2023 </w:t>
      </w:r>
      <w:r>
        <w:rPr>
          <w:rFonts w:ascii="Times New Roman;Times;serif" w:hAnsi="Times New Roman;Times;serif"/>
          <w:caps w:val="false"/>
          <w:smallCaps w:val="false"/>
          <w:sz w:val="20"/>
        </w:rPr>
        <w:t xml:space="preserve">and through the date of this report filing. The accounting matters assessed included, but were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limited to, the allowance for expected credit losses and the carrying value of intangible and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At the annual and special meeting of the Company’s shareholders held on </w:t>
      </w:r>
      <w:r>
        <w:rPr>
          <w:rStyle w:val="Emphasis"/>
          <w:rFonts w:ascii="Times New Roman;Times;serif" w:hAnsi="Times New Roman;Times;serif"/>
          <w:caps w:val="false"/>
          <w:smallCaps w:val="false"/>
          <w:sz w:val="20"/>
        </w:rPr>
        <w:t xml:space="preserve">May 10, 2023, </w:t>
      </w:r>
      <w:r>
        <w:rPr>
          <w:rFonts w:ascii="Times New Roman;Times;serif" w:hAnsi="Times New Roman;Times;serif"/>
          <w:caps w:val="false"/>
          <w:smallCaps w:val="false"/>
          <w:sz w:val="20"/>
        </w:rPr>
        <w:t xml:space="preserve">the Company’s shareholders granted the Company’s Board of Directors discretionary authority to implement a consolidation of the issued and outstanding common shares of the Company (a "Reverse Stock Split") and to fix the specific ratio within a range of </w:t>
      </w:r>
      <w:r>
        <w:rPr>
          <w:rStyle w:val="Emphasis"/>
          <w:rFonts w:ascii="Times New Roman;Times;serif" w:hAnsi="Times New Roman;Times;serif"/>
          <w:caps w:val="false"/>
          <w:smallCaps w:val="false"/>
          <w:sz w:val="20"/>
        </w:rPr>
        <w:t>one</w:t>
      </w:r>
      <w:r>
        <w:rPr>
          <w:rFonts w:ascii="Times New Roman;Times;serif" w:hAnsi="Times New Roman;Times;serif"/>
          <w:caps w:val="false"/>
          <w:smallCaps w:val="false"/>
          <w:sz w:val="20"/>
        </w:rPr>
        <w:t>-for-</w:t>
      </w:r>
      <w:r>
        <w:rPr>
          <w:rStyle w:val="Emphasis"/>
          <w:rFonts w:ascii="Times New Roman;Times;serif" w:hAnsi="Times New Roman;Times;serif"/>
          <w:caps w:val="false"/>
          <w:smallCaps w:val="false"/>
          <w:sz w:val="20"/>
        </w:rPr>
        <w:t>five</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 xml:space="preserve">-for-5) to a maximum of a </w:t>
      </w:r>
      <w:r>
        <w:rPr>
          <w:rStyle w:val="Emphasis"/>
          <w:rFonts w:ascii="Times New Roman;Times;serif" w:hAnsi="Times New Roman;Times;serif"/>
          <w:caps w:val="false"/>
          <w:smallCaps w:val="false"/>
          <w:sz w:val="20"/>
        </w:rPr>
        <w:t>one</w:t>
      </w:r>
      <w:r>
        <w:rPr>
          <w:rFonts w:ascii="Times New Roman;Times;serif" w:hAnsi="Times New Roman;Times;serif"/>
          <w:caps w:val="false"/>
          <w:smallCaps w:val="false"/>
          <w:sz w:val="20"/>
        </w:rPr>
        <w:t>-for-</w:t>
      </w:r>
      <w:r>
        <w:rPr>
          <w:rStyle w:val="Emphasis"/>
          <w:rFonts w:ascii="Times New Roman;Times;serif" w:hAnsi="Times New Roman;Times;serif"/>
          <w:caps w:val="false"/>
          <w:smallCaps w:val="false"/>
          <w:sz w:val="20"/>
        </w:rPr>
        <w:t>fifteen</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 xml:space="preserve">-for-15) consolidation. On </w:t>
      </w:r>
      <w:r>
        <w:rPr>
          <w:rStyle w:val="Emphasis"/>
          <w:rFonts w:ascii="Times New Roman;Times;serif" w:hAnsi="Times New Roman;Times;serif"/>
          <w:caps w:val="false"/>
          <w:smallCaps w:val="false"/>
          <w:sz w:val="20"/>
        </w:rPr>
        <w:t xml:space="preserve">May 11, 2023, </w:t>
      </w:r>
      <w:r>
        <w:rPr>
          <w:rFonts w:ascii="Times New Roman;Times;serif" w:hAnsi="Times New Roman;Times;serif"/>
          <w:caps w:val="false"/>
          <w:smallCaps w:val="false"/>
          <w:sz w:val="20"/>
        </w:rPr>
        <w:t xml:space="preserve">the Company filed an amendment to the Company’s Certificate of Incorporation to implement the Reverse Stock Split based on a </w:t>
      </w:r>
      <w:r>
        <w:rPr>
          <w:rStyle w:val="Emphasis"/>
          <w:rFonts w:ascii="Times New Roman;Times;serif" w:hAnsi="Times New Roman;Times;serif"/>
          <w:caps w:val="false"/>
          <w:smallCaps w:val="false"/>
          <w:sz w:val="20"/>
        </w:rPr>
        <w:t>one</w:t>
      </w:r>
      <w:r>
        <w:rPr>
          <w:rFonts w:ascii="Times New Roman;Times;serif" w:hAnsi="Times New Roman;Times;serif"/>
          <w:caps w:val="false"/>
          <w:smallCaps w:val="false"/>
          <w:sz w:val="20"/>
        </w:rPr>
        <w:t>-for-</w:t>
      </w:r>
      <w:r>
        <w:rPr>
          <w:rStyle w:val="Emphasis"/>
          <w:rFonts w:ascii="Times New Roman;Times;serif" w:hAnsi="Times New Roman;Times;serif"/>
          <w:caps w:val="false"/>
          <w:smallCaps w:val="false"/>
          <w:sz w:val="20"/>
        </w:rPr>
        <w:t>fifteen</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 xml:space="preserve">-for-15) consolidation ratio. The Company’s common shares began trading on the Nasdaq Capital Market on a split-adjusted basis under the Company’s existing trade symbol “VERO” at the opening of the market on </w:t>
      </w:r>
      <w:r>
        <w:rPr>
          <w:rStyle w:val="Emphasis"/>
          <w:rFonts w:ascii="Times New Roman;Times;serif" w:hAnsi="Times New Roman;Times;serif"/>
          <w:caps w:val="false"/>
          <w:smallCaps w:val="false"/>
          <w:sz w:val="20"/>
        </w:rPr>
        <w:t>May 12, 2023. </w:t>
      </w:r>
      <w:r>
        <w:rPr>
          <w:rFonts w:ascii="Times New Roman;Times;serif" w:hAnsi="Times New Roman;Times;serif"/>
          <w:caps w:val="false"/>
          <w:smallCaps w:val="false"/>
          <w:sz w:val="20"/>
        </w:rPr>
        <w:t>In accordance with U.S. GAAP, the change has been applied retroactively.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Amounts reported in thousands within this report are computed based on the amounts in U.S. dollars. As a result, the sum of the components reported in thousands </w:t>
      </w:r>
      <w:r>
        <w:rPr>
          <w:rStyle w:val="Emphasis"/>
          <w:rFonts w:ascii="Times New Roman;Times;serif" w:hAnsi="Times New Roman;Times;serif"/>
          <w:caps w:val="false"/>
          <w:smallCaps w:val="false"/>
          <w:sz w:val="20"/>
        </w:rPr>
        <w:t>may not</w:t>
      </w:r>
      <w:r>
        <w:rPr>
          <w:rFonts w:ascii="Times New Roman;Times;serif" w:hAnsi="Times New Roman;Times;serif"/>
          <w:caps w:val="false"/>
          <w:smallCaps w:val="false"/>
          <w:sz w:val="20"/>
        </w:rPr>
        <w:t xml:space="preserve"> equal the total amount reported in thousands due to rounding. Certain columns and rows within tables </w:t>
      </w:r>
      <w:r>
        <w:rPr>
          <w:rStyle w:val="Emphasis"/>
          <w:rFonts w:ascii="Times New Roman;Times;serif" w:hAnsi="Times New Roman;Times;serif"/>
          <w:caps w:val="false"/>
          <w:smallCaps w:val="false"/>
          <w:sz w:val="20"/>
        </w:rPr>
        <w:t>may not</w:t>
      </w:r>
      <w:r>
        <w:rPr>
          <w:rFonts w:ascii="Times New Roman;Times;serif" w:hAnsi="Times New Roman;Times;serif"/>
          <w:caps w:val="false"/>
          <w:smallCaps w:val="false"/>
          <w:sz w:val="20"/>
        </w:rPr>
        <w:t xml:space="preserve"> add due to the use of rounded numbers. Percentages presented are calculated from the underlying numbers in dollars.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The accounting policies the Company follows are set forth in the Company’s audited consolidated financial statements for fiscal year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For further information, refer to the consolidated financial statements and footnotes thereto included in Item </w:t>
      </w:r>
      <w:r>
        <w:rPr>
          <w:rStyle w:val="Emphasis"/>
          <w:rFonts w:ascii="Times New Roman;Times;serif" w:hAnsi="Times New Roman;Times;serif"/>
          <w:caps w:val="false"/>
          <w:smallCaps w:val="false"/>
          <w:sz w:val="20"/>
        </w:rPr>
        <w:t>8</w:t>
      </w:r>
      <w:r>
        <w:rPr>
          <w:rFonts w:ascii="Times New Roman;Times;serif" w:hAnsi="Times New Roman;Times;serif"/>
          <w:caps w:val="false"/>
          <w:smallCaps w:val="false"/>
          <w:sz w:val="20"/>
        </w:rPr>
        <w:t xml:space="preserve"> of the Company’s most recent Annual Report on Form </w:t>
      </w:r>
      <w:r>
        <w:rPr>
          <w:rStyle w:val="Emphasis"/>
          <w:rFonts w:ascii="Times New Roman;Times;serif" w:hAnsi="Times New Roman;Times;serif"/>
          <w:caps w:val="false"/>
          <w:smallCaps w:val="false"/>
          <w:sz w:val="20"/>
        </w:rPr>
        <w:t>10</w:t>
      </w:r>
      <w:r>
        <w:rPr>
          <w:rFonts w:ascii="Times New Roman;Times;serif" w:hAnsi="Times New Roman;Times;serif"/>
          <w:caps w:val="false"/>
          <w:smallCaps w:val="false"/>
          <w:sz w:val="20"/>
        </w:rPr>
        <w:t xml:space="preserve">-K. There have been </w:t>
      </w:r>
      <w:r>
        <w:rPr>
          <w:rStyle w:val="Emphasis"/>
          <w:rFonts w:ascii="Times New Roman;Times;serif" w:hAnsi="Times New Roman;Times;serif"/>
          <w:caps w:val="false"/>
          <w:smallCaps w:val="false"/>
          <w:sz w:val="20"/>
        </w:rPr>
        <w:t>no</w:t>
      </w:r>
      <w:r>
        <w:rPr>
          <w:rFonts w:ascii="Times New Roman;Times;serif" w:hAnsi="Times New Roman;Times;serif"/>
          <w:caps w:val="false"/>
          <w:smallCaps w:val="false"/>
          <w:sz w:val="20"/>
        </w:rPr>
        <w:t xml:space="preserve"> material changes to these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Adopted Accounting Standards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In </w:t>
      </w:r>
      <w:r>
        <w:rPr>
          <w:rStyle w:val="Emphasis"/>
          <w:rFonts w:ascii="Times New Roman;Times;serif" w:hAnsi="Times New Roman;Times;serif"/>
          <w:caps w:val="false"/>
          <w:smallCaps w:val="false"/>
          <w:sz w:val="20"/>
        </w:rPr>
        <w:t xml:space="preserve">June 2016, </w:t>
      </w:r>
      <w:r>
        <w:rPr>
          <w:rFonts w:ascii="Times New Roman;Times;serif" w:hAnsi="Times New Roman;Times;serif"/>
          <w:caps w:val="false"/>
          <w:smallCaps w:val="false"/>
          <w:sz w:val="20"/>
        </w:rPr>
        <w:t xml:space="preserve">the Financial Accounting Standards Board (“FASB”) issued Accounting Standards Board Update (“ASU”) </w:t>
      </w:r>
      <w:r>
        <w:rPr>
          <w:rStyle w:val="Emphasis"/>
          <w:rFonts w:ascii="Times New Roman;Times;serif" w:hAnsi="Times New Roman;Times;serif"/>
          <w:caps w:val="false"/>
          <w:smallCaps w:val="false"/>
          <w:sz w:val="20"/>
        </w:rPr>
        <w:t>2016</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13,</w:t>
      </w:r>
      <w:r>
        <w:rPr>
          <w:rFonts w:ascii="Times New Roman;Times;serif" w:hAnsi="Times New Roman;Times;serif"/>
          <w:caps w:val="false"/>
          <w:smallCaps w:val="false"/>
          <w:sz w:val="20"/>
        </w:rPr>
        <w:t xml:space="preserve"> Financial Instruments – Credit Losses (Topic </w:t>
      </w:r>
      <w:r>
        <w:rPr>
          <w:rStyle w:val="Emphasis"/>
          <w:rFonts w:ascii="Times New Roman;Times;serif" w:hAnsi="Times New Roman;Times;serif"/>
          <w:caps w:val="false"/>
          <w:smallCaps w:val="false"/>
          <w:sz w:val="20"/>
        </w:rPr>
        <w:t>326</w:t>
      </w:r>
      <w:r>
        <w:rPr>
          <w:rFonts w:ascii="Times New Roman;Times;serif" w:hAnsi="Times New Roman;Times;serif"/>
          <w:caps w:val="false"/>
          <w:smallCaps w:val="false"/>
          <w:sz w:val="20"/>
        </w:rPr>
        <w:t>) </w:t>
      </w:r>
      <w:r>
        <w:rPr>
          <w:rFonts w:ascii="Times New Roman;Times;serif" w:hAnsi="Times New Roman;Times;serif"/>
          <w:i/>
          <w:caps w:val="false"/>
          <w:smallCaps w:val="false"/>
          <w:sz w:val="20"/>
        </w:rPr>
        <w:t>Measurement of Credit Losses on Financial Instruments</w:t>
      </w:r>
      <w:r>
        <w:rPr>
          <w:rFonts w:ascii="Times New Roman;Times;serif" w:hAnsi="Times New Roman;Times;serif"/>
          <w:caps w:val="false"/>
          <w:smallCaps w:val="false"/>
          <w:sz w:val="20"/>
        </w:rPr>
        <w:t xml:space="preserve">, and also issued subsequent amendments to the initial guidance: ASU </w:t>
      </w:r>
      <w:r>
        <w:rPr>
          <w:rStyle w:val="Emphasis"/>
          <w:rFonts w:ascii="Times New Roman;Times;serif" w:hAnsi="Times New Roman;Times;serif"/>
          <w:caps w:val="false"/>
          <w:smallCaps w:val="false"/>
          <w:sz w:val="20"/>
        </w:rPr>
        <w:t>2018</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19,</w:t>
      </w:r>
      <w:r>
        <w:rPr>
          <w:rFonts w:ascii="Times New Roman;Times;serif" w:hAnsi="Times New Roman;Times;serif"/>
          <w:caps w:val="false"/>
          <w:smallCaps w:val="false"/>
          <w:sz w:val="20"/>
        </w:rPr>
        <w:t xml:space="preserve"> ASU </w:t>
      </w:r>
      <w:r>
        <w:rPr>
          <w:rStyle w:val="Emphasis"/>
          <w:rFonts w:ascii="Times New Roman;Times;serif" w:hAnsi="Times New Roman;Times;serif"/>
          <w:caps w:val="false"/>
          <w:smallCaps w:val="false"/>
          <w:sz w:val="20"/>
        </w:rPr>
        <w:t>2019</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04,</w:t>
      </w:r>
      <w:r>
        <w:rPr>
          <w:rFonts w:ascii="Times New Roman;Times;serif" w:hAnsi="Times New Roman;Times;serif"/>
          <w:caps w:val="false"/>
          <w:smallCaps w:val="false"/>
          <w:sz w:val="20"/>
        </w:rPr>
        <w:t xml:space="preserve"> ASU </w:t>
      </w:r>
      <w:r>
        <w:rPr>
          <w:rStyle w:val="Emphasis"/>
          <w:rFonts w:ascii="Times New Roman;Times;serif" w:hAnsi="Times New Roman;Times;serif"/>
          <w:caps w:val="false"/>
          <w:smallCaps w:val="false"/>
          <w:sz w:val="20"/>
        </w:rPr>
        <w:t>2019</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05,</w:t>
      </w:r>
      <w:r>
        <w:rPr>
          <w:rFonts w:ascii="Times New Roman;Times;serif" w:hAnsi="Times New Roman;Times;serif"/>
          <w:caps w:val="false"/>
          <w:smallCaps w:val="false"/>
          <w:sz w:val="20"/>
        </w:rPr>
        <w:t xml:space="preserve"> ASU </w:t>
      </w:r>
      <w:r>
        <w:rPr>
          <w:rStyle w:val="Emphasis"/>
          <w:rFonts w:ascii="Times New Roman;Times;serif" w:hAnsi="Times New Roman;Times;serif"/>
          <w:caps w:val="false"/>
          <w:smallCaps w:val="false"/>
          <w:sz w:val="20"/>
        </w:rPr>
        <w:t>2019</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10,</w:t>
      </w:r>
      <w:r>
        <w:rPr>
          <w:rFonts w:ascii="Times New Roman;Times;serif" w:hAnsi="Times New Roman;Times;serif"/>
          <w:caps w:val="false"/>
          <w:smallCaps w:val="false"/>
          <w:sz w:val="20"/>
        </w:rPr>
        <w:t xml:space="preserve"> ASU </w:t>
      </w:r>
      <w:r>
        <w:rPr>
          <w:rStyle w:val="Emphasis"/>
          <w:rFonts w:ascii="Times New Roman;Times;serif" w:hAnsi="Times New Roman;Times;serif"/>
          <w:caps w:val="false"/>
          <w:smallCaps w:val="false"/>
          <w:sz w:val="20"/>
        </w:rPr>
        <w:t>2019</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11,</w:t>
      </w:r>
      <w:r>
        <w:rPr>
          <w:rFonts w:ascii="Times New Roman;Times;serif" w:hAnsi="Times New Roman;Times;serif"/>
          <w:caps w:val="false"/>
          <w:smallCaps w:val="false"/>
          <w:sz w:val="20"/>
        </w:rPr>
        <w:t xml:space="preserve"> and ASU </w:t>
      </w:r>
      <w:r>
        <w:rPr>
          <w:rStyle w:val="Emphasis"/>
          <w:rFonts w:ascii="Times New Roman;Times;serif" w:hAnsi="Times New Roman;Times;serif"/>
          <w:caps w:val="false"/>
          <w:smallCaps w:val="false"/>
          <w:sz w:val="20"/>
        </w:rPr>
        <w:t>2020</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02,</w:t>
      </w:r>
      <w:r>
        <w:rPr>
          <w:rFonts w:ascii="Times New Roman;Times;serif" w:hAnsi="Times New Roman;Times;serif"/>
          <w:caps w:val="false"/>
          <w:smallCaps w:val="false"/>
          <w:sz w:val="20"/>
        </w:rPr>
        <w:t xml:space="preserve"> which replace the existing incurred loss impairment model with an expected credit loss model and require a financial asset measured at amortized cost to be presented at the net amount expected to be collected. This guidance was adopted as of </w:t>
      </w:r>
      <w:r>
        <w:rPr>
          <w:rStyle w:val="Emphasis"/>
          <w:rFonts w:ascii="Times New Roman;Times;serif" w:hAnsi="Times New Roman;Times;serif"/>
          <w:caps w:val="false"/>
          <w:smallCaps w:val="false"/>
          <w:sz w:val="20"/>
        </w:rPr>
        <w:t>January 1, 2023. </w:t>
      </w:r>
      <w:r>
        <w:rPr>
          <w:rFonts w:ascii="Times New Roman;Times;serif" w:hAnsi="Times New Roman;Times;serif"/>
          <w:caps w:val="false"/>
          <w:smallCaps w:val="false"/>
          <w:sz w:val="20"/>
        </w:rPr>
        <w:t>The Company recognized a charge of $0.5 million to opening retained earnings as a result of the adoption.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i/>
          <w:caps w:val="false"/>
          <w:smallCaps w:val="false"/>
          <w:sz w:val="20"/>
        </w:rPr>
        <w:t xml:space="preserve">Recently Issued Accounting Standards </w:t>
      </w:r>
      <w:r>
        <w:rPr>
          <w:rStyle w:val="Emphasis"/>
          <w:rFonts w:ascii="Times New Roman;Times;serif" w:hAnsi="Times New Roman;Times;serif"/>
          <w:b/>
          <w:i/>
          <w:caps w:val="false"/>
          <w:smallCaps w:val="false"/>
          <w:sz w:val="20"/>
        </w:rPr>
        <w:t>Not</w:t>
      </w:r>
      <w:r>
        <w:rPr>
          <w:rFonts w:ascii="Times New Roman;Times;serif" w:hAnsi="Times New Roman;Times;serif"/>
          <w:b/>
          <w:i/>
          <w:caps w:val="false"/>
          <w:smallCaps w:val="false"/>
          <w:sz w:val="20"/>
        </w:rPr>
        <w:t xml:space="preserve"> Yet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In </w:t>
      </w:r>
      <w:r>
        <w:rPr>
          <w:rStyle w:val="Emphasis"/>
          <w:rFonts w:ascii="Times New Roman;Times;serif" w:hAnsi="Times New Roman;Times;serif"/>
          <w:caps w:val="false"/>
          <w:smallCaps w:val="false"/>
          <w:sz w:val="20"/>
        </w:rPr>
        <w:t xml:space="preserve">August 2020, </w:t>
      </w:r>
      <w:r>
        <w:rPr>
          <w:rFonts w:ascii="Times New Roman;Times;serif" w:hAnsi="Times New Roman;Times;serif"/>
          <w:caps w:val="false"/>
          <w:smallCaps w:val="false"/>
          <w:sz w:val="20"/>
        </w:rPr>
        <w:t xml:space="preserve">the FASB issued ASU </w:t>
      </w:r>
      <w:r>
        <w:rPr>
          <w:rStyle w:val="Emphasis"/>
          <w:rFonts w:ascii="Times New Roman;Times;serif" w:hAnsi="Times New Roman;Times;serif"/>
          <w:caps w:val="false"/>
          <w:smallCaps w:val="false"/>
          <w:sz w:val="20"/>
        </w:rPr>
        <w:t>No.</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2020</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06</w:t>
      </w:r>
      <w:r>
        <w:rPr>
          <w:rFonts w:ascii="Times New Roman;Times;serif" w:hAnsi="Times New Roman;Times;serif"/>
          <w:caps w:val="false"/>
          <w:smallCaps w:val="false"/>
          <w:sz w:val="20"/>
        </w:rPr>
        <w:t xml:space="preserve"> (“ASU </w:t>
      </w:r>
      <w:r>
        <w:rPr>
          <w:rStyle w:val="Emphasis"/>
          <w:rFonts w:ascii="Times New Roman;Times;serif" w:hAnsi="Times New Roman;Times;serif"/>
          <w:caps w:val="false"/>
          <w:smallCaps w:val="false"/>
          <w:sz w:val="20"/>
        </w:rPr>
        <w:t>2020</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06”</w:t>
      </w:r>
      <w:r>
        <w:rPr>
          <w:rFonts w:ascii="Times New Roman;Times;serif" w:hAnsi="Times New Roman;Times;serif"/>
          <w:caps w:val="false"/>
          <w:smallCaps w:val="false"/>
          <w:sz w:val="20"/>
        </w:rPr>
        <w:t xml:space="preserve">): Debt—Debt with Conversion and Other Options (Subtopic </w:t>
      </w:r>
      <w:r>
        <w:rPr>
          <w:rStyle w:val="Emphasis"/>
          <w:rFonts w:ascii="Times New Roman;Times;serif" w:hAnsi="Times New Roman;Times;serif"/>
          <w:caps w:val="false"/>
          <w:smallCaps w:val="false"/>
          <w:sz w:val="20"/>
        </w:rPr>
        <w:t>470</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20</w:t>
      </w:r>
      <w:r>
        <w:rPr>
          <w:rFonts w:ascii="Times New Roman;Times;serif" w:hAnsi="Times New Roman;Times;serif"/>
          <w:caps w:val="false"/>
          <w:smallCaps w:val="false"/>
          <w:sz w:val="20"/>
        </w:rPr>
        <w:t xml:space="preserve">) and Derivatives and Hedging—Contracts in Entity’s Own Equity (Subtopic </w:t>
      </w:r>
      <w:r>
        <w:rPr>
          <w:rStyle w:val="Emphasis"/>
          <w:rFonts w:ascii="Times New Roman;Times;serif" w:hAnsi="Times New Roman;Times;serif"/>
          <w:caps w:val="false"/>
          <w:smallCaps w:val="false"/>
          <w:sz w:val="20"/>
        </w:rPr>
        <w:t>815</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40</w:t>
      </w:r>
      <w:r>
        <w:rPr>
          <w:rFonts w:ascii="Times New Roman;Times;serif" w:hAnsi="Times New Roman;Times;serif"/>
          <w:caps w:val="false"/>
          <w:smallCaps w:val="false"/>
          <w:sz w:val="20"/>
        </w:rPr>
        <w:t xml:space="preserve">). ASU </w:t>
      </w:r>
      <w:r>
        <w:rPr>
          <w:rStyle w:val="Emphasis"/>
          <w:rFonts w:ascii="Times New Roman;Times;serif" w:hAnsi="Times New Roman;Times;serif"/>
          <w:caps w:val="false"/>
          <w:smallCaps w:val="false"/>
          <w:sz w:val="20"/>
        </w:rPr>
        <w:t>2020</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06</w:t>
      </w:r>
      <w:r>
        <w:rPr>
          <w:rFonts w:ascii="Times New Roman;Times;serif" w:hAnsi="Times New Roman;Times;serif"/>
          <w:caps w:val="false"/>
          <w:smallCaps w:val="false"/>
          <w:sz w:val="20"/>
        </w:rPr>
        <w:t xml:space="preserve"> reduces the number of accounting models for convertible debt instruments by eliminating the cash conversion and beneficial conversion models. The diluted net income per share calculation for convertible instruments will require the Company to use the if-converted method. For contracts in an entity’s own equity, the type of contracts primarily affected by this update are freestanding and embedded features that are accounted for as derivatives under the current guidance due to a failure to meet the settlement conditions of the derivative scope exception. This update simplifies the related settlement assessment by removing the requirements to (i) consider whether the contract would be settled in registered shares, (ii) consider whether collateral is required to be posted, and (iii) assess shareholder rights. ASU </w:t>
      </w:r>
      <w:r>
        <w:rPr>
          <w:rStyle w:val="Emphasis"/>
          <w:rFonts w:ascii="Times New Roman;Times;serif" w:hAnsi="Times New Roman;Times;serif"/>
          <w:caps w:val="false"/>
          <w:smallCaps w:val="false"/>
          <w:sz w:val="20"/>
        </w:rPr>
        <w:t>2020</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06</w:t>
      </w:r>
      <w:r>
        <w:rPr>
          <w:rFonts w:ascii="Times New Roman;Times;serif" w:hAnsi="Times New Roman;Times;serif"/>
          <w:caps w:val="false"/>
          <w:smallCaps w:val="false"/>
          <w:sz w:val="20"/>
        </w:rPr>
        <w:t xml:space="preserve"> is effective for the Company on </w:t>
      </w:r>
      <w:r>
        <w:rPr>
          <w:rStyle w:val="Emphasis"/>
          <w:rFonts w:ascii="Times New Roman;Times;serif" w:hAnsi="Times New Roman;Times;serif"/>
          <w:caps w:val="false"/>
          <w:smallCaps w:val="false"/>
          <w:sz w:val="20"/>
        </w:rPr>
        <w:t xml:space="preserve">January 1, 2024, </w:t>
      </w:r>
      <w:r>
        <w:rPr>
          <w:rFonts w:ascii="Times New Roman;Times;serif" w:hAnsi="Times New Roman;Times;serif"/>
          <w:caps w:val="false"/>
          <w:smallCaps w:val="false"/>
          <w:sz w:val="20"/>
        </w:rPr>
        <w:t xml:space="preserve">with early adoption permitted. ASU </w:t>
      </w:r>
      <w:r>
        <w:rPr>
          <w:rStyle w:val="Emphasis"/>
          <w:rFonts w:ascii="Times New Roman;Times;serif" w:hAnsi="Times New Roman;Times;serif"/>
          <w:caps w:val="false"/>
          <w:smallCaps w:val="false"/>
          <w:sz w:val="20"/>
        </w:rPr>
        <w:t>No.</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2020</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06</w:t>
      </w:r>
      <w:r>
        <w:rPr>
          <w:rFonts w:ascii="Times New Roman;Times;serif" w:hAnsi="Times New Roman;Times;serif"/>
          <w:caps w:val="false"/>
          <w:smallCaps w:val="false"/>
          <w:sz w:val="20"/>
        </w:rPr>
        <w:t xml:space="preserve"> can be adopted on either a fully retrospective or modified retrospective basis. The Company is currently assessing the impact of applying this guidance as well as when to adopt this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Basic net loss per share is calculated by dividing net loss by the weighted-average number of shares of common stock outstanding during the period, without consideration for common stock equivalents. Diluted net loss per share is computed by dividing net loss by the weighted-average number of common stock equivalents outstanding for the period determined using the treasury-stock method. For purposes of this calculation, common stock warrants and stock options are considered to be common stock equivalents and are only included in the calculation of diluted net loss per share when their effect is dilutive.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sets forth the computation of basic and diluted net loss and the weighted average number of shares used in computing basic and diluted net loss per share (in thousands, except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97"/>
        <w:gridCol w:w="60"/>
        <w:gridCol w:w="169"/>
        <w:gridCol w:w="740"/>
        <w:gridCol w:w="108"/>
        <w:gridCol w:w="81"/>
        <w:gridCol w:w="169"/>
        <w:gridCol w:w="882"/>
        <w:gridCol w:w="80"/>
        <w:gridCol w:w="60"/>
        <w:gridCol w:w="155"/>
        <w:gridCol w:w="839"/>
        <w:gridCol w:w="105"/>
        <w:gridCol w:w="66"/>
        <w:gridCol w:w="155"/>
        <w:gridCol w:w="839"/>
        <w:gridCol w:w="100"/>
      </w:tblGrid>
      <w:tr>
        <w:trPr/>
        <w:tc>
          <w:tcPr>
            <w:tcW w:w="55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49" w:type="dxa"/>
            <w:gridSpan w:val="6"/>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59" w:type="dxa"/>
            <w:gridSpan w:val="6"/>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100" w:type="dxa"/>
            <w:tcBorders/>
            <w:shd w:fill="CCEEFF" w:val="clear"/>
            <w:vAlign w:val="center"/>
          </w:tcPr>
          <w:p>
            <w:pPr>
              <w:pStyle w:val="TableContents"/>
              <w:bidi w:val="0"/>
              <w:spacing w:before="0" w:after="283"/>
              <w:jc w:val="left"/>
              <w:rPr/>
            </w:pPr>
            <w:r>
              <w:rPr/>
              <w:t> </w:t>
            </w:r>
          </w:p>
        </w:tc>
      </w:tr>
      <w:tr>
        <w:trPr/>
        <w:tc>
          <w:tcPr>
            <w:tcW w:w="55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0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100" w:type="dxa"/>
            <w:tcBorders/>
            <w:shd w:fill="FFFFFF" w:val="clear"/>
            <w:vAlign w:val="center"/>
          </w:tcPr>
          <w:p>
            <w:pPr>
              <w:pStyle w:val="TableContents"/>
              <w:bidi w:val="0"/>
              <w:spacing w:before="0" w:after="283"/>
              <w:jc w:val="left"/>
              <w:rPr/>
            </w:pPr>
            <w:r>
              <w:rPr/>
              <w:t> </w:t>
            </w:r>
          </w:p>
        </w:tc>
      </w:tr>
      <w:tr>
        <w:trPr/>
        <w:tc>
          <w:tcPr>
            <w:tcW w:w="559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559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6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(7,321</w:t>
            </w:r>
          </w:p>
        </w:tc>
        <w:tc>
          <w:tcPr>
            <w:tcW w:w="10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283"/>
              <w:ind w:left="0" w:right="0" w:hanging="0"/>
              <w:jc w:val="left"/>
              <w:rPr/>
            </w:pPr>
            <w:r>
              <w:rPr/>
              <w:t> </w:t>
            </w:r>
          </w:p>
        </w:tc>
        <w:tc>
          <w:tcPr>
            <w:tcW w:w="16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(10,512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w:t>
            </w:r>
          </w:p>
        </w:tc>
        <w:tc>
          <w:tcPr>
            <w:tcW w:w="839" w:type="dxa"/>
            <w:tcBorders/>
            <w:shd w:fill="FFFFFF" w:val="clear"/>
            <w:vAlign w:val="center"/>
          </w:tcPr>
          <w:p>
            <w:pPr>
              <w:pStyle w:val="TableContents"/>
              <w:bidi w:val="0"/>
              <w:spacing w:before="0" w:after="283"/>
              <w:ind w:left="0" w:right="0" w:hanging="0"/>
              <w:jc w:val="right"/>
              <w:rPr/>
            </w:pPr>
            <w:r>
              <w:rPr/>
              <w:t>(16,944</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w:t>
            </w:r>
          </w:p>
        </w:tc>
        <w:tc>
          <w:tcPr>
            <w:tcW w:w="839" w:type="dxa"/>
            <w:tcBorders/>
            <w:shd w:fill="FFFFFF" w:val="clear"/>
            <w:vAlign w:val="center"/>
          </w:tcPr>
          <w:p>
            <w:pPr>
              <w:pStyle w:val="TableContents"/>
              <w:bidi w:val="0"/>
              <w:spacing w:before="0" w:after="283"/>
              <w:ind w:left="0" w:right="0" w:hanging="0"/>
              <w:jc w:val="right"/>
              <w:rPr/>
            </w:pPr>
            <w:r>
              <w:rPr/>
              <w:t>(19,148</w:t>
            </w:r>
          </w:p>
        </w:tc>
        <w:tc>
          <w:tcPr>
            <w:tcW w:w="100" w:type="dxa"/>
            <w:tcBorders/>
            <w:shd w:fill="FFFFFF" w:val="clear"/>
            <w:vAlign w:val="center"/>
          </w:tcPr>
          <w:p>
            <w:pPr>
              <w:pStyle w:val="TableContents"/>
              <w:bidi w:val="0"/>
              <w:spacing w:before="0" w:after="283"/>
              <w:jc w:val="left"/>
              <w:rPr/>
            </w:pPr>
            <w:r>
              <w:rPr/>
              <w:t>)</w:t>
            </w:r>
          </w:p>
        </w:tc>
      </w:tr>
      <w:tr>
        <w:trPr/>
        <w:tc>
          <w:tcPr>
            <w:tcW w:w="559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allocated to stockholders of the Company</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(7,409</w:t>
            </w:r>
          </w:p>
        </w:tc>
        <w:tc>
          <w:tcPr>
            <w:tcW w:w="10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CCEEFF" w:val="clear"/>
            <w:vAlign w:val="center"/>
          </w:tcPr>
          <w:p>
            <w:pPr>
              <w:pStyle w:val="TableContents"/>
              <w:bidi w:val="0"/>
              <w:spacing w:before="0" w:after="283"/>
              <w:ind w:left="0" w:right="0" w:hanging="0"/>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(10,559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(17,066</w:t>
            </w:r>
          </w:p>
        </w:tc>
        <w:tc>
          <w:tcPr>
            <w:tcW w:w="10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6" w:type="dxa"/>
            <w:tcBorders/>
            <w:shd w:fill="CCEEFF" w:val="clear"/>
            <w:vAlign w:val="center"/>
          </w:tcPr>
          <w:p>
            <w:pPr>
              <w:pStyle w:val="TableContents"/>
              <w:bidi w:val="0"/>
              <w:spacing w:before="0" w:after="283"/>
              <w:ind w:left="0" w:right="0" w:hanging="0"/>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(19,178</w:t>
            </w:r>
          </w:p>
        </w:tc>
        <w:tc>
          <w:tcPr>
            <w:tcW w:w="10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59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Denominator:</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559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Weighted-average shares of common stock outstanding used in computing net loss per share, basic</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5,471</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83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5,355</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83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4,271</w:t>
            </w:r>
          </w:p>
        </w:tc>
        <w:tc>
          <w:tcPr>
            <w:tcW w:w="100" w:type="dxa"/>
            <w:tcBorders/>
            <w:shd w:fill="CCEEFF" w:val="clear"/>
            <w:vAlign w:val="center"/>
          </w:tcPr>
          <w:p>
            <w:pPr>
              <w:pStyle w:val="TableContents"/>
              <w:bidi w:val="0"/>
              <w:spacing w:before="0" w:after="283"/>
              <w:jc w:val="left"/>
              <w:rPr/>
            </w:pPr>
            <w:r>
              <w:rPr/>
              <w:t> </w:t>
            </w:r>
          </w:p>
        </w:tc>
      </w:tr>
      <w:tr>
        <w:trPr/>
        <w:tc>
          <w:tcPr>
            <w:tcW w:w="559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Weighted-average shares of common stock outstanding used in computing net loss per share, diluted</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5,471</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5,355</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4,271</w:t>
            </w:r>
          </w:p>
        </w:tc>
        <w:tc>
          <w:tcPr>
            <w:tcW w:w="100" w:type="dxa"/>
            <w:tcBorders/>
            <w:shd w:fill="FFFFFF" w:val="clear"/>
            <w:vAlign w:val="center"/>
          </w:tcPr>
          <w:p>
            <w:pPr>
              <w:pStyle w:val="TableContents"/>
              <w:bidi w:val="0"/>
              <w:spacing w:before="0" w:after="283"/>
              <w:jc w:val="left"/>
              <w:rPr/>
            </w:pPr>
            <w:r>
              <w:rPr/>
              <w:t> </w:t>
            </w:r>
          </w:p>
        </w:tc>
      </w:tr>
      <w:tr>
        <w:trPr/>
        <w:tc>
          <w:tcPr>
            <w:tcW w:w="559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per share: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559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w:t>
            </w:r>
          </w:p>
        </w:tc>
        <w:tc>
          <w:tcPr>
            <w:tcW w:w="10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(3.19</w:t>
            </w:r>
          </w:p>
        </w:tc>
        <w:tc>
          <w:tcPr>
            <w:tcW w:w="1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6" w:type="dxa"/>
            <w:tcBorders/>
            <w:shd w:fill="FFFF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(4.49</w:t>
            </w:r>
          </w:p>
        </w:tc>
        <w:tc>
          <w:tcPr>
            <w:tcW w:w="10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59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w:t>
            </w:r>
          </w:p>
        </w:tc>
        <w:tc>
          <w:tcPr>
            <w:tcW w:w="10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CCEE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(3.19</w:t>
            </w:r>
          </w:p>
        </w:tc>
        <w:tc>
          <w:tcPr>
            <w:tcW w:w="10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6"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(4.49</w:t>
            </w:r>
          </w:p>
        </w:tc>
        <w:tc>
          <w:tcPr>
            <w:tcW w:w="10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Due to the net loss, all the outstanding shares of common stock equivalents were excluded from the calculation of diluted net loss per share attributable to common stockholders for the quarters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because including them would have been antidilutive: </w:t>
      </w:r>
    </w:p>
    <w:p>
      <w:pPr>
        <w:pStyle w:val="TextBody"/>
        <w:bidi w:val="0"/>
        <w:spacing w:before="0" w:after="0"/>
        <w:ind w:left="0" w:right="0" w:hanging="0"/>
        <w:jc w:val="left"/>
        <w:rPr>
          <w:caps w:val="false"/>
          <w:smallCaps w:val="false"/>
        </w:rPr>
      </w:pPr>
      <w:r>
        <w:rPr>
          <w:caps w:val="false"/>
          <w:smallCaps w:val="false"/>
        </w:rPr>
        <w:t> </w:t>
      </w:r>
    </w:p>
    <w:tbl>
      <w:tblPr>
        <w:tblW w:w="8323" w:type="dxa"/>
        <w:jc w:val="left"/>
        <w:tblInd w:w="0" w:type="dxa"/>
        <w:tblLayout w:type="fixed"/>
        <w:tblCellMar>
          <w:top w:w="0" w:type="dxa"/>
          <w:left w:w="0" w:type="dxa"/>
          <w:bottom w:w="0" w:type="dxa"/>
          <w:right w:w="0" w:type="dxa"/>
        </w:tblCellMar>
      </w:tblPr>
      <w:tblGrid>
        <w:gridCol w:w="5705"/>
        <w:gridCol w:w="60"/>
        <w:gridCol w:w="78"/>
        <w:gridCol w:w="1111"/>
        <w:gridCol w:w="60"/>
        <w:gridCol w:w="60"/>
        <w:gridCol w:w="78"/>
        <w:gridCol w:w="1111"/>
        <w:gridCol w:w="60"/>
      </w:tblGrid>
      <w:tr>
        <w:trPr/>
        <w:tc>
          <w:tcPr>
            <w:tcW w:w="5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2022</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Options to purchase common stock and restricted stock units ("RSUs")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1,019,837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488,255</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Preferred stock</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2,872,518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252,717</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Shares reserved for convertible notes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558,666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547,593</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Warrants for common stock</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1,061,930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1,061,930</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potential dilutive shares</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5,512,951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2,350,495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4.</w:t>
      </w:r>
      <w:r>
        <w:rPr>
          <w:rFonts w:ascii="Times New Roman" w:hAnsi="Times New Roman"/>
          <w:b/>
          <w:caps w:val="false"/>
          <w:smallCaps w:val="false"/>
          <w:sz w:val="20"/>
        </w:rPr>
        <w:t xml:space="preserve">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Financial assets and financial liabilities are initially recognized at fair value when the Company becomes a party to the contractual provisions of the financial instrument. Subsequently, all financial instruments are measured at amortized cost using the effective interest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financial instruments of the Company consist of cash and cash equivalents, restricted cash, accounts receivable, long-term receivables, lines of credit, trade payables, government assistance loans, accrued expenses and other current liabilities, other long-term liabilities and long-term debt. In view of their nature, the fair value of these financial instruments approximates their carrying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measures the fair value of its financial assets and financial liabilities using the fair value hierarchy. A financial instrument’s classification within the fair value hierarchy is based upon the lowest level of input that is significant to the fair value measurement. The accounting guidance establishes a </w:t>
      </w:r>
      <w:r>
        <w:rPr>
          <w:rStyle w:val="Emphasis"/>
          <w:rFonts w:ascii="Times New Roman" w:hAnsi="Times New Roman"/>
          <w:caps w:val="false"/>
          <w:smallCaps w:val="false"/>
          <w:sz w:val="20"/>
        </w:rPr>
        <w:t>three</w:t>
      </w:r>
      <w:r>
        <w:rPr>
          <w:rFonts w:ascii="Times New Roman" w:hAnsi="Times New Roman"/>
          <w:caps w:val="false"/>
          <w:smallCaps w:val="false"/>
          <w:sz w:val="20"/>
        </w:rPr>
        <w:t>-tiered hierarchy, which prioritizes the inputs used in the valuation methodologies in measuring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 xml:space="preserve">Level </w:t>
      </w:r>
      <w:r>
        <w:rPr>
          <w:rStyle w:val="Emphasis"/>
          <w:rFonts w:ascii="Times New Roman" w:hAnsi="Times New Roman"/>
          <w:i/>
          <w:caps w:val="false"/>
          <w:smallCaps w:val="false"/>
          <w:sz w:val="20"/>
        </w:rPr>
        <w:t>1</w:t>
      </w:r>
      <w:r>
        <w:rPr>
          <w:rFonts w:ascii="Times New Roman" w:hAnsi="Times New Roman"/>
          <w:i/>
          <w:caps w:val="false"/>
          <w:smallCaps w:val="false"/>
          <w:sz w:val="20"/>
        </w:rPr>
        <w:t xml:space="preserve"> </w:t>
      </w:r>
      <w:r>
        <w:rPr>
          <w:rFonts w:ascii="Times New Roman" w:hAnsi="Times New Roman"/>
          <w:caps w:val="false"/>
          <w:smallCaps w:val="false"/>
          <w:sz w:val="20"/>
        </w:rPr>
        <w:t>– Quoted prices in active markets for identical assets or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 xml:space="preserve">Level </w:t>
      </w:r>
      <w:r>
        <w:rPr>
          <w:rStyle w:val="Emphasis"/>
          <w:rFonts w:ascii="Times New Roman" w:hAnsi="Times New Roman"/>
          <w:i/>
          <w:caps w:val="false"/>
          <w:smallCaps w:val="false"/>
          <w:sz w:val="20"/>
        </w:rPr>
        <w:t>2</w:t>
      </w:r>
      <w:r>
        <w:rPr>
          <w:rFonts w:ascii="Times New Roman" w:hAnsi="Times New Roman"/>
          <w:i/>
          <w:caps w:val="false"/>
          <w:smallCaps w:val="false"/>
          <w:sz w:val="20"/>
        </w:rPr>
        <w:t xml:space="preserve"> </w:t>
      </w:r>
      <w:r>
        <w:rPr>
          <w:rFonts w:ascii="Times New Roman" w:hAnsi="Times New Roman"/>
          <w:caps w:val="false"/>
          <w:smallCaps w:val="false"/>
          <w:sz w:val="20"/>
        </w:rPr>
        <w:t xml:space="preserve">– Inputs other than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that are observable, either directly or indirectly, such as quoted prices in markets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active, or other inputs that are observable or can be corroborated by observable market data for substantially the full term of the assets or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 xml:space="preserve">Level </w:t>
      </w:r>
      <w:r>
        <w:rPr>
          <w:rStyle w:val="Emphasis"/>
          <w:rFonts w:ascii="Times New Roman" w:hAnsi="Times New Roman"/>
          <w:i/>
          <w:caps w:val="false"/>
          <w:smallCaps w:val="false"/>
          <w:sz w:val="20"/>
        </w:rPr>
        <w:t>3</w:t>
      </w:r>
      <w:r>
        <w:rPr>
          <w:rFonts w:ascii="Times New Roman" w:hAnsi="Times New Roman"/>
          <w:i/>
          <w:caps w:val="false"/>
          <w:smallCaps w:val="false"/>
          <w:sz w:val="20"/>
        </w:rPr>
        <w:t xml:space="preserve"> </w:t>
      </w:r>
      <w:r>
        <w:rPr>
          <w:rFonts w:ascii="Times New Roman" w:hAnsi="Times New Roman"/>
          <w:caps w:val="false"/>
          <w:smallCaps w:val="false"/>
          <w:sz w:val="20"/>
        </w:rPr>
        <w:t xml:space="preserve">– Unobservable inputs that are supported by little 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market activity and that are significant to the fair value of the assets or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Guaranteed investment certificates are classified within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as the Company uses alternative pricing sources and models utilizing market observable inputs for valuation. The following tables set forth the fair value of the Company’s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and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financial assets and liabilities within the fair value hierarchy: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03"/>
        <w:gridCol w:w="60"/>
        <w:gridCol w:w="909"/>
        <w:gridCol w:w="1874"/>
        <w:gridCol w:w="88"/>
        <w:gridCol w:w="88"/>
        <w:gridCol w:w="772"/>
        <w:gridCol w:w="1424"/>
        <w:gridCol w:w="88"/>
        <w:gridCol w:w="88"/>
        <w:gridCol w:w="706"/>
        <w:gridCol w:w="1473"/>
        <w:gridCol w:w="88"/>
        <w:gridCol w:w="88"/>
        <w:gridCol w:w="248"/>
        <w:gridCol w:w="340"/>
        <w:gridCol w:w="68"/>
      </w:tblGrid>
      <w:tr>
        <w:trPr/>
        <w:tc>
          <w:tcPr>
            <w:tcW w:w="18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74"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 Measurements as of June 30, 2023</w:t>
            </w:r>
          </w:p>
        </w:tc>
        <w:tc>
          <w:tcPr>
            <w:tcW w:w="68" w:type="dxa"/>
            <w:tcBorders/>
            <w:shd w:fill="FFFFFF" w:val="clear"/>
            <w:vAlign w:val="center"/>
          </w:tcPr>
          <w:p>
            <w:pPr>
              <w:pStyle w:val="TableContents"/>
              <w:bidi w:val="0"/>
              <w:spacing w:before="0" w:after="283"/>
              <w:jc w:val="left"/>
              <w:rPr/>
            </w:pPr>
            <w:r>
              <w:rPr/>
              <w:t> </w:t>
            </w:r>
          </w:p>
        </w:tc>
      </w:tr>
      <w:tr>
        <w:trPr/>
        <w:tc>
          <w:tcPr>
            <w:tcW w:w="18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Quoted Prices in Active Markets using Identical Assets (Level 1)</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21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Significant Other Observable Inputs (Level 2)</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21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Significant Unobservable Inputs (Level 3)</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5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8" w:type="dxa"/>
            <w:tcBorders/>
            <w:shd w:fill="FFFFFF" w:val="clear"/>
            <w:vAlign w:val="center"/>
          </w:tcPr>
          <w:p>
            <w:pPr>
              <w:pStyle w:val="TableContents"/>
              <w:bidi w:val="0"/>
              <w:spacing w:before="0" w:after="283"/>
              <w:jc w:val="left"/>
              <w:rPr/>
            </w:pPr>
            <w:r>
              <w:rPr/>
              <w:t> </w:t>
            </w:r>
          </w:p>
        </w:tc>
      </w:tr>
      <w:tr>
        <w:trPr/>
        <w:tc>
          <w:tcPr>
            <w:tcW w:w="180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left"/>
              <w:rPr/>
            </w:pPr>
            <w:r>
              <w:rPr/>
              <w:t> </w:t>
            </w:r>
          </w:p>
        </w:tc>
        <w:tc>
          <w:tcPr>
            <w:tcW w:w="1874"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left"/>
              <w:rPr/>
            </w:pPr>
            <w:r>
              <w:rPr/>
              <w:t> </w:t>
            </w:r>
          </w:p>
        </w:tc>
        <w:tc>
          <w:tcPr>
            <w:tcW w:w="1424"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left"/>
              <w:rPr/>
            </w:pPr>
            <w:r>
              <w:rPr/>
              <w:t> </w:t>
            </w:r>
          </w:p>
        </w:tc>
        <w:tc>
          <w:tcPr>
            <w:tcW w:w="1473"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r>
      <w:tr>
        <w:trPr/>
        <w:tc>
          <w:tcPr>
            <w:tcW w:w="1803"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Guaranteed Investment Certificates</w:t>
            </w:r>
          </w:p>
        </w:tc>
        <w:tc>
          <w:tcPr>
            <w:tcW w:w="60" w:type="dxa"/>
            <w:tcBorders/>
            <w:shd w:fill="FFFFFF" w:val="clear"/>
            <w:vAlign w:val="center"/>
          </w:tcPr>
          <w:p>
            <w:pPr>
              <w:pStyle w:val="TableContents"/>
              <w:bidi w:val="0"/>
              <w:spacing w:before="0" w:after="283"/>
              <w:ind w:left="0" w:right="0" w:hanging="0"/>
              <w:jc w:val="left"/>
              <w:rPr/>
            </w:pPr>
            <w:r>
              <w:rPr/>
              <w:t> </w:t>
            </w:r>
          </w:p>
        </w:tc>
        <w:tc>
          <w:tcPr>
            <w:tcW w:w="90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874"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424"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62</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7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473"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34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62</w:t>
            </w:r>
          </w:p>
        </w:tc>
        <w:tc>
          <w:tcPr>
            <w:tcW w:w="68" w:type="dxa"/>
            <w:tcBorders/>
            <w:shd w:fill="FFFFFF" w:val="clear"/>
            <w:vAlign w:val="center"/>
          </w:tcPr>
          <w:p>
            <w:pPr>
              <w:pStyle w:val="TableContents"/>
              <w:bidi w:val="0"/>
              <w:spacing w:before="0" w:after="283"/>
              <w:jc w:val="left"/>
              <w:rPr/>
            </w:pPr>
            <w:r>
              <w:rPr/>
              <w:t> </w:t>
            </w:r>
          </w:p>
        </w:tc>
      </w:tr>
      <w:tr>
        <w:trPr/>
        <w:tc>
          <w:tcPr>
            <w:tcW w:w="180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90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8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7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7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2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w:t>
            </w:r>
          </w:p>
        </w:tc>
        <w:tc>
          <w:tcPr>
            <w:tcW w:w="6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92"/>
        <w:gridCol w:w="60"/>
        <w:gridCol w:w="915"/>
        <w:gridCol w:w="1841"/>
        <w:gridCol w:w="94"/>
        <w:gridCol w:w="94"/>
        <w:gridCol w:w="766"/>
        <w:gridCol w:w="1413"/>
        <w:gridCol w:w="94"/>
        <w:gridCol w:w="94"/>
        <w:gridCol w:w="702"/>
        <w:gridCol w:w="1464"/>
        <w:gridCol w:w="94"/>
        <w:gridCol w:w="94"/>
        <w:gridCol w:w="261"/>
        <w:gridCol w:w="362"/>
        <w:gridCol w:w="65"/>
      </w:tblGrid>
      <w:tr>
        <w:trPr/>
        <w:tc>
          <w:tcPr>
            <w:tcW w:w="17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88"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 Measurements as of December 31, 2022</w:t>
            </w:r>
          </w:p>
        </w:tc>
        <w:tc>
          <w:tcPr>
            <w:tcW w:w="65" w:type="dxa"/>
            <w:tcBorders/>
            <w:shd w:fill="FFFFFF" w:val="clear"/>
            <w:vAlign w:val="center"/>
          </w:tcPr>
          <w:p>
            <w:pPr>
              <w:pStyle w:val="TableContents"/>
              <w:bidi w:val="0"/>
              <w:spacing w:before="0" w:after="283"/>
              <w:jc w:val="left"/>
              <w:rPr/>
            </w:pPr>
            <w:r>
              <w:rPr/>
              <w:t> </w:t>
            </w:r>
          </w:p>
        </w:tc>
      </w:tr>
      <w:tr>
        <w:trPr/>
        <w:tc>
          <w:tcPr>
            <w:tcW w:w="17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Quoted Prices in Active Markets using Identical Assets (Level 1)</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21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Significant Other Observable Inputs (Level 2)</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21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Significant Unobservable Inputs (Level 3)</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6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5" w:type="dxa"/>
            <w:tcBorders/>
            <w:shd w:fill="FFFFFF" w:val="clear"/>
            <w:vAlign w:val="center"/>
          </w:tcPr>
          <w:p>
            <w:pPr>
              <w:pStyle w:val="TableContents"/>
              <w:bidi w:val="0"/>
              <w:spacing w:before="0" w:after="283"/>
              <w:jc w:val="left"/>
              <w:rPr/>
            </w:pPr>
            <w:r>
              <w:rPr/>
              <w:t> </w:t>
            </w:r>
          </w:p>
        </w:tc>
      </w:tr>
      <w:tr>
        <w:trPr/>
        <w:tc>
          <w:tcPr>
            <w:tcW w:w="179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left"/>
              <w:rPr/>
            </w:pPr>
            <w:r>
              <w:rPr/>
              <w:t> </w:t>
            </w:r>
          </w:p>
        </w:tc>
        <w:tc>
          <w:tcPr>
            <w:tcW w:w="184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r>
      <w:tr>
        <w:trPr/>
        <w:tc>
          <w:tcPr>
            <w:tcW w:w="1792"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Guaranteed Investment Certificates</w:t>
            </w:r>
          </w:p>
        </w:tc>
        <w:tc>
          <w:tcPr>
            <w:tcW w:w="60" w:type="dxa"/>
            <w:tcBorders/>
            <w:shd w:fill="FFFFFF" w:val="clear"/>
            <w:vAlign w:val="center"/>
          </w:tcPr>
          <w:p>
            <w:pPr>
              <w:pStyle w:val="TableContents"/>
              <w:bidi w:val="0"/>
              <w:spacing w:before="0" w:after="283"/>
              <w:ind w:left="0" w:right="0" w:hanging="0"/>
              <w:jc w:val="left"/>
              <w:rPr/>
            </w:pPr>
            <w:r>
              <w:rPr/>
              <w:t> </w:t>
            </w:r>
          </w:p>
        </w:tc>
        <w:tc>
          <w:tcPr>
            <w:tcW w:w="9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8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7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7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2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w:t>
            </w:r>
          </w:p>
        </w:tc>
        <w:tc>
          <w:tcPr>
            <w:tcW w:w="65" w:type="dxa"/>
            <w:tcBorders/>
            <w:shd w:fill="FFFFFF" w:val="clear"/>
            <w:vAlign w:val="center"/>
          </w:tcPr>
          <w:p>
            <w:pPr>
              <w:pStyle w:val="TableContents"/>
              <w:bidi w:val="0"/>
              <w:spacing w:before="0" w:after="283"/>
              <w:jc w:val="left"/>
              <w:rPr/>
            </w:pPr>
            <w:r>
              <w:rPr/>
              <w:t> </w:t>
            </w:r>
          </w:p>
        </w:tc>
      </w:tr>
      <w:tr>
        <w:trPr/>
        <w:tc>
          <w:tcPr>
            <w:tcW w:w="179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9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8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7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7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2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w:t>
            </w:r>
          </w:p>
        </w:tc>
        <w:tc>
          <w:tcPr>
            <w:tcW w:w="6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products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sold under subscription agreements with unencumbered title passing to the customer at the end of the lease term, which is generally 36 months. These arrangements are considered to be sales-type leases, where the present value of all cash flows to be received under the agreement is recognized upon shipment to the customer as lease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A financing receivable is a contractual right to receive money, on demand or on fixed or determinable dates, that is recognized as an asset on the Company's unaudited condensed consolidated balance sheets. The Company's financing receivables, consisting of sales-type leases, totaled $28,259 and $40,377 as of </w:t>
      </w:r>
      <w:r>
        <w:rPr>
          <w:rStyle w:val="Emphasis"/>
          <w:rFonts w:ascii="Times New Roman" w:hAnsi="Times New Roman"/>
          <w:caps w:val="false"/>
          <w:smallCaps w:val="false"/>
          <w:sz w:val="20"/>
        </w:rPr>
        <w:t xml:space="preserve"> June 30,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respectively, and are included in accounts receivable and long-term receivables on the unaudited condensed consolidated balance sheets. The Company evaluates the credit quality of an obligor at lease inception and monitors credit quality over the term of the underlying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performed an assessment of the allowance for expected credit losses as of </w:t>
      </w:r>
      <w:r>
        <w:rPr>
          <w:rStyle w:val="Emphasis"/>
          <w:rFonts w:ascii="Times New Roman" w:hAnsi="Times New Roman"/>
          <w:caps w:val="false"/>
          <w:smallCaps w:val="false"/>
          <w:sz w:val="20"/>
        </w:rPr>
        <w:t>June 30,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Based upon such assessment, the Company recorded an allowance for expected credit losses totaling $13,233 and $13,619 as of </w:t>
      </w:r>
      <w:r>
        <w:rPr>
          <w:rStyle w:val="Emphasis"/>
          <w:rFonts w:ascii="Times New Roman" w:hAnsi="Times New Roman"/>
          <w:caps w:val="false"/>
          <w:smallCaps w:val="false"/>
          <w:sz w:val="20"/>
        </w:rPr>
        <w:t>June 30,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respectively. The balance as of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includes $0.5 million due to the adoption of revised guidance of Financial Instruments – Credit Losses (Topic </w:t>
      </w:r>
      <w:r>
        <w:rPr>
          <w:rStyle w:val="Emphasis"/>
          <w:rFonts w:ascii="Times New Roman" w:hAnsi="Times New Roman"/>
          <w:caps w:val="false"/>
          <w:smallCaps w:val="false"/>
          <w:sz w:val="20"/>
        </w:rPr>
        <w:t>326</w:t>
      </w:r>
      <w:r>
        <w:rPr>
          <w:rFonts w:ascii="Times New Roman" w:hAnsi="Times New Roman"/>
          <w:caps w:val="false"/>
          <w:smallCaps w:val="false"/>
          <w:sz w:val="20"/>
        </w:rPr>
        <w:t>) Measurement of Credit Losses on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summary of the Company’s accounts receivables is presented below:</w:t>
      </w:r>
    </w:p>
    <w:p>
      <w:pPr>
        <w:pStyle w:val="TextBody"/>
        <w:bidi w:val="0"/>
        <w:spacing w:before="0" w:after="0"/>
        <w:ind w:left="0" w:right="0" w:hanging="0"/>
        <w:jc w:val="left"/>
        <w:rPr>
          <w:caps w:val="false"/>
          <w:smallCaps w:val="false"/>
        </w:rPr>
      </w:pPr>
      <w:r>
        <w:rPr>
          <w:caps w:val="false"/>
          <w:smallCaps w:val="false"/>
        </w:rPr>
        <w:t> </w:t>
      </w:r>
    </w:p>
    <w:tbl>
      <w:tblPr>
        <w:tblW w:w="5174" w:type="dxa"/>
        <w:jc w:val="left"/>
        <w:tblInd w:w="0" w:type="dxa"/>
        <w:tblLayout w:type="fixed"/>
        <w:tblCellMar>
          <w:top w:w="0" w:type="dxa"/>
          <w:left w:w="0" w:type="dxa"/>
          <w:bottom w:w="0" w:type="dxa"/>
          <w:right w:w="0" w:type="dxa"/>
        </w:tblCellMar>
      </w:tblPr>
      <w:tblGrid>
        <w:gridCol w:w="2975"/>
        <w:gridCol w:w="60"/>
        <w:gridCol w:w="125"/>
        <w:gridCol w:w="650"/>
        <w:gridCol w:w="80"/>
        <w:gridCol w:w="60"/>
        <w:gridCol w:w="184"/>
        <w:gridCol w:w="960"/>
        <w:gridCol w:w="80"/>
      </w:tblGrid>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accounts receivable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62,835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70,925</w:t>
            </w:r>
          </w:p>
        </w:tc>
        <w:tc>
          <w:tcPr>
            <w:tcW w:w="8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Unearned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(2,467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(3,354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Allowance for expected credit losses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(13,233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(13,619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47,135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53,952</w:t>
            </w:r>
          </w:p>
        </w:tc>
        <w:tc>
          <w:tcPr>
            <w:tcW w:w="8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Reported as: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trade receivables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37,520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37,262</w:t>
            </w:r>
          </w:p>
        </w:tc>
        <w:tc>
          <w:tcPr>
            <w:tcW w:w="8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unearned interest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(1,915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(2,397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Long-term trade receivables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20,044</w:t>
            </w:r>
          </w:p>
        </w:tc>
        <w:tc>
          <w:tcPr>
            <w:tcW w:w="8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Long-term unearned interest income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47,135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53,952</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Current subscription agreements are reported as part of accounts receivable. The following are the contractual commitments, net of allowance for expected credit losses, to be received by the Company over the next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years:</w:t>
      </w:r>
    </w:p>
    <w:p>
      <w:pPr>
        <w:pStyle w:val="TextBody"/>
        <w:bidi w:val="0"/>
        <w:spacing w:before="0" w:after="0"/>
        <w:ind w:left="360" w:right="0" w:hanging="0"/>
        <w:jc w:val="left"/>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4760"/>
        <w:gridCol w:w="60"/>
        <w:gridCol w:w="125"/>
        <w:gridCol w:w="590"/>
        <w:gridCol w:w="60"/>
        <w:gridCol w:w="60"/>
        <w:gridCol w:w="125"/>
        <w:gridCol w:w="590"/>
        <w:gridCol w:w="60"/>
        <w:gridCol w:w="60"/>
        <w:gridCol w:w="125"/>
        <w:gridCol w:w="590"/>
        <w:gridCol w:w="60"/>
        <w:gridCol w:w="60"/>
        <w:gridCol w:w="125"/>
        <w:gridCol w:w="485"/>
        <w:gridCol w:w="60"/>
        <w:gridCol w:w="60"/>
        <w:gridCol w:w="142"/>
        <w:gridCol w:w="298"/>
        <w:gridCol w:w="60"/>
        <w:gridCol w:w="60"/>
        <w:gridCol w:w="142"/>
        <w:gridCol w:w="298"/>
        <w:gridCol w:w="60"/>
      </w:tblGrid>
      <w:tr>
        <w:trPr/>
        <w:tc>
          <w:tcPr>
            <w:tcW w:w="4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00"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financing receivables, net of allowance of $5,475</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9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9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Long-term financing receivables, net of allowance of $536</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12,082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10,334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8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98"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98"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28,259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Accounts receivable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bear interest and are typically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collateralized. The Company performs ongoing credit evaluations of its customers’ financial condition and maintains an allowance for expected credit losses. Uncollectible accounts are charged to expense when deemed uncollectible, and accounts receivable are presented net of an allowance for expected credit losses. Accounts receivable are deemed past due in accordance with the contractual terms of the agreement. Actual losses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differ from the Company’s estimates and could be material to its unaudited condensed consolidated financial position, results of operations and cash flows.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allowance for expected credit losses consisted of the following activity:</w:t>
      </w:r>
    </w:p>
    <w:p>
      <w:pPr>
        <w:pStyle w:val="TextBody"/>
        <w:bidi w:val="0"/>
        <w:spacing w:before="0" w:after="0"/>
        <w:ind w:left="0" w:right="0" w:hanging="0"/>
        <w:jc w:val="left"/>
        <w:rPr>
          <w:caps w:val="false"/>
          <w:smallCaps w:val="false"/>
        </w:rPr>
      </w:pPr>
      <w:r>
        <w:rPr>
          <w:caps w:val="false"/>
          <w:smallCaps w:val="false"/>
        </w:rPr>
        <w:t> </w:t>
      </w:r>
    </w:p>
    <w:tbl>
      <w:tblPr>
        <w:tblW w:w="3290" w:type="dxa"/>
        <w:jc w:val="left"/>
        <w:tblInd w:w="0" w:type="dxa"/>
        <w:tblLayout w:type="fixed"/>
        <w:tblCellMar>
          <w:top w:w="0" w:type="dxa"/>
          <w:left w:w="0" w:type="dxa"/>
          <w:bottom w:w="0" w:type="dxa"/>
          <w:right w:w="0" w:type="dxa"/>
        </w:tblCellMar>
      </w:tblPr>
      <w:tblGrid>
        <w:gridCol w:w="2495"/>
        <w:gridCol w:w="125"/>
        <w:gridCol w:w="590"/>
        <w:gridCol w:w="80"/>
      </w:tblGrid>
      <w:tr>
        <w:trPr/>
        <w:tc>
          <w:tcPr>
            <w:tcW w:w="24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January 1, 2022</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11,997</w:t>
            </w:r>
          </w:p>
        </w:tc>
        <w:tc>
          <w:tcPr>
            <w:tcW w:w="80"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Write-offs</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(5,715</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24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Provision</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7,337</w:t>
            </w:r>
          </w:p>
        </w:tc>
        <w:tc>
          <w:tcPr>
            <w:tcW w:w="80" w:type="dxa"/>
            <w:tcBorders/>
            <w:shd w:fill="CCEEFF" w:val="clear"/>
            <w:vAlign w:val="center"/>
          </w:tcPr>
          <w:p>
            <w:pPr>
              <w:pStyle w:val="TableContents"/>
              <w:bidi w:val="0"/>
              <w:spacing w:before="0" w:after="0"/>
              <w:jc w:val="left"/>
              <w:rPr/>
            </w:pPr>
            <w:r>
              <w:rPr/>
              <w:t> </w:t>
            </w:r>
          </w:p>
        </w:tc>
      </w:tr>
      <w:tr>
        <w:trPr/>
        <w:tc>
          <w:tcPr>
            <w:tcW w:w="24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December 31, 2022</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13,619</w:t>
            </w:r>
          </w:p>
        </w:tc>
        <w:tc>
          <w:tcPr>
            <w:tcW w:w="80"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Write-offs</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9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Provision</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618</w:t>
            </w:r>
          </w:p>
        </w:tc>
        <w:tc>
          <w:tcPr>
            <w:tcW w:w="80"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March 31, 2023</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14,207</w:t>
            </w:r>
          </w:p>
        </w:tc>
        <w:tc>
          <w:tcPr>
            <w:tcW w:w="80"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Write-offs</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(1,332</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24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Provision</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358</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249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at June 30, 2023</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13,233</w:t>
            </w:r>
          </w:p>
        </w:tc>
        <w:tc>
          <w:tcPr>
            <w:tcW w:w="80"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6.</w:t>
      </w:r>
      <w:r>
        <w:rPr>
          <w:rFonts w:ascii="Times New Roman" w:hAnsi="Times New Roman"/>
          <w:b/>
          <w:caps w:val="false"/>
          <w:smallCaps w:val="false"/>
          <w:sz w:val="20"/>
        </w:rPr>
        <w:t xml:space="preserve"> SELECT BALANCE SHEET AND STATEMENT OF OPERATIONS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Inventory consists of the following:</w:t>
      </w:r>
    </w:p>
    <w:p>
      <w:pPr>
        <w:pStyle w:val="TextBody"/>
        <w:bidi w:val="0"/>
        <w:spacing w:before="0" w:after="0"/>
        <w:ind w:left="0" w:right="0" w:hanging="0"/>
        <w:jc w:val="left"/>
        <w:rPr>
          <w:caps w:val="false"/>
          <w:smallCaps w:val="false"/>
        </w:rPr>
      </w:pPr>
      <w:r>
        <w:rPr>
          <w:caps w:val="false"/>
          <w:smallCaps w:val="false"/>
        </w:rPr>
        <w:t> </w:t>
      </w:r>
    </w:p>
    <w:tbl>
      <w:tblPr>
        <w:tblW w:w="3538" w:type="dxa"/>
        <w:jc w:val="left"/>
        <w:tblInd w:w="0" w:type="dxa"/>
        <w:tblLayout w:type="fixed"/>
        <w:tblCellMar>
          <w:top w:w="0" w:type="dxa"/>
          <w:left w:w="0" w:type="dxa"/>
          <w:bottom w:w="0" w:type="dxa"/>
          <w:right w:w="0" w:type="dxa"/>
        </w:tblCellMar>
      </w:tblPr>
      <w:tblGrid>
        <w:gridCol w:w="1430"/>
        <w:gridCol w:w="60"/>
        <w:gridCol w:w="126"/>
        <w:gridCol w:w="598"/>
        <w:gridCol w:w="60"/>
        <w:gridCol w:w="60"/>
        <w:gridCol w:w="199"/>
        <w:gridCol w:w="945"/>
        <w:gridCol w:w="60"/>
      </w:tblGrid>
      <w:tr>
        <w:trPr/>
        <w:tc>
          <w:tcPr>
            <w:tcW w:w="1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Raw materials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2,478</w:t>
            </w:r>
          </w:p>
        </w:tc>
        <w:tc>
          <w:tcPr>
            <w:tcW w:w="60" w:type="dxa"/>
            <w:tcBorders/>
            <w:shd w:fill="CCEEFF"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Work-in-progress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2,112</w:t>
            </w:r>
          </w:p>
        </w:tc>
        <w:tc>
          <w:tcPr>
            <w:tcW w:w="60" w:type="dxa"/>
            <w:tcBorders/>
            <w:shd w:fill="FFFFFF" w:val="clear"/>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Finished goods</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19,129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19,316</w:t>
            </w:r>
          </w:p>
        </w:tc>
        <w:tc>
          <w:tcPr>
            <w:tcW w:w="60" w:type="dxa"/>
            <w:tcBorders/>
            <w:shd w:fill="CCEEFF"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inventory</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22,936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23,906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Additions to inventory are primarily comprised of newly produced units and applicators, refurbishment cost from demonstration units and used equipment which were reacquired during the period from upgraded sale</w:t>
      </w:r>
      <w:r>
        <w:rPr>
          <w:rFonts w:ascii="Times New Roman" w:hAnsi="Times New Roman"/>
          <w:caps w:val="false"/>
          <w:smallCaps w:val="false"/>
          <w:sz w:val="20"/>
          <w:shd w:fill="FFFFFF" w:val="clear"/>
        </w:rPr>
        <w:t>s. The Company expens</w:t>
      </w:r>
      <w:r>
        <w:rPr>
          <w:rFonts w:ascii="Times New Roman" w:hAnsi="Times New Roman"/>
          <w:caps w:val="false"/>
          <w:smallCaps w:val="false"/>
          <w:sz w:val="20"/>
        </w:rPr>
        <w:t>ed $5,124 and $11,956 </w:t>
      </w:r>
      <w:r>
        <w:rPr>
          <w:rFonts w:ascii="Times New Roman" w:hAnsi="Times New Roman"/>
          <w:caps w:val="false"/>
          <w:smallCaps w:val="false"/>
          <w:sz w:val="20"/>
          <w:shd w:fill="FFFFFF" w:val="clear"/>
        </w:rPr>
        <w:t xml:space="preserve">in cost of goods sold in the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shd w:fill="FFFFFF" w:val="clear"/>
        </w:rPr>
        <w:t>six</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 xml:space="preserve">June 30, 2023, </w:t>
      </w:r>
      <w:r>
        <w:rPr>
          <w:rFonts w:ascii="Times New Roman" w:hAnsi="Times New Roman"/>
          <w:caps w:val="false"/>
          <w:smallCaps w:val="false"/>
          <w:sz w:val="20"/>
          <w:shd w:fill="FFFFFF" w:val="clear"/>
        </w:rPr>
        <w:t xml:space="preserve">respectively. </w:t>
      </w:r>
      <w:r>
        <w:rPr>
          <w:rFonts w:ascii="Times New Roman" w:hAnsi="Times New Roman"/>
          <w:caps w:val="false"/>
          <w:smallCaps w:val="false"/>
          <w:sz w:val="20"/>
        </w:rPr>
        <w:t xml:space="preserve">The Company expensed $7,731 and $15,231 in cost of goods sold in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2022, </w:t>
      </w:r>
      <w:r>
        <w:rPr>
          <w:rFonts w:ascii="Times New Roman" w:hAnsi="Times New Roman"/>
          <w:caps w:val="false"/>
          <w:smallCaps w:val="false"/>
          <w:sz w:val="20"/>
        </w:rPr>
        <w:t>respectively. </w:t>
      </w:r>
      <w:r>
        <w:rPr>
          <w:rFonts w:ascii="Times New Roman" w:hAnsi="Times New Roman"/>
          <w:caps w:val="false"/>
          <w:smallCaps w:val="false"/>
          <w:sz w:val="20"/>
          <w:shd w:fill="FFFFFF" w:val="clear"/>
        </w:rPr>
        <w:t>The balance of cost of goods sold represents the sale of applicators, parts and 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provides for excess and obsolete inventories when conditions indicate that the inventory cost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recoverable due to physical deterioration, usage, obsolescence, reductions in estimated future demand and reductions in selling prices. Inventory provisions are measured as the difference between the cost of inventory and net realizable value to establish a lower cost basis for the inventories. As of </w:t>
      </w:r>
      <w:r>
        <w:rPr>
          <w:rStyle w:val="Emphasis"/>
          <w:rFonts w:ascii="Times New Roman" w:hAnsi="Times New Roman"/>
          <w:caps w:val="false"/>
          <w:smallCaps w:val="false"/>
          <w:sz w:val="20"/>
        </w:rPr>
        <w:t>June 30,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a provision for obsolescence of $2,897 and $3,258 was taken against inventory,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and equipment, net consist of the following:</w:t>
      </w:r>
    </w:p>
    <w:p>
      <w:pPr>
        <w:pStyle w:val="TextBody"/>
        <w:bidi w:val="0"/>
        <w:spacing w:before="0" w:after="0"/>
        <w:ind w:left="0" w:right="0" w:hanging="0"/>
        <w:jc w:val="left"/>
        <w:rPr>
          <w:caps w:val="false"/>
          <w:smallCaps w:val="false"/>
        </w:rPr>
      </w:pPr>
      <w:r>
        <w:rPr>
          <w:caps w:val="false"/>
          <w:smallCaps w:val="false"/>
        </w:rPr>
        <w:t> </w:t>
      </w:r>
    </w:p>
    <w:tbl>
      <w:tblPr>
        <w:tblW w:w="6087" w:type="dxa"/>
        <w:jc w:val="left"/>
        <w:tblInd w:w="0" w:type="dxa"/>
        <w:tblLayout w:type="fixed"/>
        <w:tblCellMar>
          <w:top w:w="0" w:type="dxa"/>
          <w:left w:w="0" w:type="dxa"/>
          <w:bottom w:w="0" w:type="dxa"/>
          <w:right w:w="0" w:type="dxa"/>
        </w:tblCellMar>
      </w:tblPr>
      <w:tblGrid>
        <w:gridCol w:w="2795"/>
        <w:gridCol w:w="60"/>
        <w:gridCol w:w="81"/>
        <w:gridCol w:w="943"/>
        <w:gridCol w:w="60"/>
        <w:gridCol w:w="60"/>
        <w:gridCol w:w="135"/>
        <w:gridCol w:w="589"/>
        <w:gridCol w:w="80"/>
        <w:gridCol w:w="60"/>
        <w:gridCol w:w="212"/>
        <w:gridCol w:w="932"/>
        <w:gridCol w:w="80"/>
      </w:tblGrid>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Useful Lives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Lab equipment tooling and molds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4 – 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8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4,356</w:t>
            </w:r>
          </w:p>
        </w:tc>
        <w:tc>
          <w:tcPr>
            <w:tcW w:w="8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Office furniture and equipment</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6 – 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58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1,240</w:t>
            </w:r>
          </w:p>
        </w:tc>
        <w:tc>
          <w:tcPr>
            <w:tcW w:w="8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Leasehold improvements</w:t>
            </w:r>
          </w:p>
        </w:tc>
        <w:tc>
          <w:tcPr>
            <w:tcW w:w="60" w:type="dxa"/>
            <w:tcBorders/>
            <w:shd w:fill="CCEEFF" w:val="clear"/>
            <w:vAlign w:val="center"/>
          </w:tcPr>
          <w:p>
            <w:pPr>
              <w:pStyle w:val="TableContents"/>
              <w:bidi w:val="0"/>
              <w:spacing w:before="0" w:after="283"/>
              <w:ind w:left="0" w:right="0" w:hanging="0"/>
              <w:jc w:val="left"/>
              <w:rPr/>
            </w:pPr>
            <w:r>
              <w:rPr/>
              <w:t> </w:t>
            </w:r>
          </w:p>
        </w:tc>
        <w:tc>
          <w:tcPr>
            <w:tcW w:w="81" w:type="dxa"/>
            <w:tcBorders/>
            <w:shd w:fill="CCEEFF" w:val="clear"/>
            <w:vAlign w:val="center"/>
          </w:tcPr>
          <w:p>
            <w:pPr>
              <w:pStyle w:val="TableContents"/>
              <w:bidi w:val="0"/>
              <w:spacing w:before="0" w:after="283"/>
              <w:ind w:left="0" w:right="0" w:hanging="0"/>
              <w:jc w:val="center"/>
              <w:rPr/>
            </w:pPr>
            <w:r>
              <w:rPr/>
              <w:t> </w:t>
            </w:r>
          </w:p>
        </w:tc>
        <w:tc>
          <w:tcPr>
            <w:tcW w:w="943"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up to 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58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794</w:t>
            </w:r>
          </w:p>
        </w:tc>
        <w:tc>
          <w:tcPr>
            <w:tcW w:w="8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Computers and software</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58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906</w:t>
            </w:r>
          </w:p>
        </w:tc>
        <w:tc>
          <w:tcPr>
            <w:tcW w:w="8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Vehicles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5 – 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58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8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Demo units</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214</w:t>
            </w:r>
          </w:p>
        </w:tc>
        <w:tc>
          <w:tcPr>
            <w:tcW w:w="8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property and equipment</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7,547</w:t>
            </w:r>
          </w:p>
        </w:tc>
        <w:tc>
          <w:tcPr>
            <w:tcW w:w="8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(4,991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(5,690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property and equipment, net</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Depreciation expense amounted to $144 and $246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respectively. Depreciation expense was $309 and $490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Other Current Assets</w:t>
      </w:r>
    </w:p>
    <w:p>
      <w:pPr>
        <w:pStyle w:val="TextBody"/>
        <w:bidi w:val="0"/>
        <w:spacing w:before="0" w:after="0"/>
        <w:ind w:left="0" w:right="0" w:hanging="0"/>
        <w:jc w:val="left"/>
        <w:rPr>
          <w:caps w:val="false"/>
          <w:smallCaps w:val="false"/>
        </w:rPr>
      </w:pPr>
      <w:r>
        <w:rPr>
          <w:caps w:val="false"/>
          <w:smallCaps w:val="false"/>
        </w:rPr>
        <w:t> </w:t>
      </w:r>
    </w:p>
    <w:tbl>
      <w:tblPr>
        <w:tblW w:w="5953" w:type="dxa"/>
        <w:jc w:val="left"/>
        <w:tblInd w:w="0" w:type="dxa"/>
        <w:tblLayout w:type="fixed"/>
        <w:tblCellMar>
          <w:top w:w="0" w:type="dxa"/>
          <w:left w:w="0" w:type="dxa"/>
          <w:bottom w:w="0" w:type="dxa"/>
          <w:right w:w="0" w:type="dxa"/>
        </w:tblCellMar>
      </w:tblPr>
      <w:tblGrid>
        <w:gridCol w:w="3845"/>
        <w:gridCol w:w="60"/>
        <w:gridCol w:w="148"/>
        <w:gridCol w:w="576"/>
        <w:gridCol w:w="60"/>
        <w:gridCol w:w="60"/>
        <w:gridCol w:w="234"/>
        <w:gridCol w:w="910"/>
        <w:gridCol w:w="60"/>
      </w:tblGrid>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Government remittances (1)</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7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1,602</w:t>
            </w:r>
          </w:p>
        </w:tc>
        <w:tc>
          <w:tcPr>
            <w:tcW w:w="6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Consideration receivable from subsidiaries sale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629</w:t>
            </w:r>
          </w:p>
        </w:tc>
        <w:tc>
          <w:tcPr>
            <w:tcW w:w="6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Deferred financing costs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301</w:t>
            </w:r>
          </w:p>
        </w:tc>
        <w:tc>
          <w:tcPr>
            <w:tcW w:w="6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Sundry assets and miscellaneous</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76"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1,170</w:t>
            </w:r>
          </w:p>
        </w:tc>
        <w:tc>
          <w:tcPr>
            <w:tcW w:w="6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other current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3,702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Government remittances are receivables from the local tax authorities for refunds of sales taxes and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Accrued Expenses and Other Current Liabilities</w:t>
      </w:r>
    </w:p>
    <w:p>
      <w:pPr>
        <w:pStyle w:val="TextBody"/>
        <w:bidi w:val="0"/>
        <w:spacing w:before="0" w:after="0"/>
        <w:ind w:left="0" w:right="0" w:hanging="0"/>
        <w:jc w:val="left"/>
        <w:rPr>
          <w:caps w:val="false"/>
          <w:smallCaps w:val="false"/>
        </w:rPr>
      </w:pPr>
      <w:r>
        <w:rPr>
          <w:caps w:val="false"/>
          <w:smallCaps w:val="false"/>
        </w:rPr>
        <w:t> </w:t>
      </w:r>
    </w:p>
    <w:tbl>
      <w:tblPr>
        <w:tblW w:w="6268" w:type="dxa"/>
        <w:jc w:val="left"/>
        <w:tblInd w:w="0" w:type="dxa"/>
        <w:tblLayout w:type="fixed"/>
        <w:tblCellMar>
          <w:top w:w="0" w:type="dxa"/>
          <w:left w:w="0" w:type="dxa"/>
          <w:bottom w:w="0" w:type="dxa"/>
          <w:right w:w="0" w:type="dxa"/>
        </w:tblCellMar>
      </w:tblPr>
      <w:tblGrid>
        <w:gridCol w:w="4160"/>
        <w:gridCol w:w="60"/>
        <w:gridCol w:w="126"/>
        <w:gridCol w:w="598"/>
        <w:gridCol w:w="60"/>
        <w:gridCol w:w="60"/>
        <w:gridCol w:w="199"/>
        <w:gridCol w:w="945"/>
        <w:gridCol w:w="60"/>
      </w:tblGrid>
      <w:tr>
        <w:trPr/>
        <w:tc>
          <w:tcPr>
            <w:tcW w:w="4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Payroll and related expense</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2,244</w:t>
            </w:r>
          </w:p>
        </w:tc>
        <w:tc>
          <w:tcPr>
            <w:tcW w:w="60"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expenses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5,045</w:t>
            </w:r>
          </w:p>
        </w:tc>
        <w:tc>
          <w:tcPr>
            <w:tcW w:w="60"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Commission accrual</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3,761</w:t>
            </w:r>
          </w:p>
        </w:tc>
        <w:tc>
          <w:tcPr>
            <w:tcW w:w="60"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Sales and consumption taxes</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4,994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5,617</w:t>
            </w:r>
          </w:p>
        </w:tc>
        <w:tc>
          <w:tcPr>
            <w:tcW w:w="60"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accrued expenses and other current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16,667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Warranty Accrual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provides the details of the change in the Company’s warranty accrual:</w:t>
      </w:r>
    </w:p>
    <w:p>
      <w:pPr>
        <w:pStyle w:val="TextBody"/>
        <w:bidi w:val="0"/>
        <w:spacing w:before="0" w:after="0"/>
        <w:ind w:left="0" w:right="0" w:hanging="0"/>
        <w:jc w:val="left"/>
        <w:rPr>
          <w:caps w:val="false"/>
          <w:smallCaps w:val="false"/>
        </w:rPr>
      </w:pPr>
      <w:r>
        <w:rPr>
          <w:caps w:val="false"/>
          <w:smallCaps w:val="false"/>
        </w:rPr>
        <w:t> </w:t>
      </w:r>
    </w:p>
    <w:tbl>
      <w:tblPr>
        <w:tblW w:w="5543" w:type="dxa"/>
        <w:jc w:val="left"/>
        <w:tblInd w:w="0" w:type="dxa"/>
        <w:tblLayout w:type="fixed"/>
        <w:tblCellMar>
          <w:top w:w="0" w:type="dxa"/>
          <w:left w:w="0" w:type="dxa"/>
          <w:bottom w:w="0" w:type="dxa"/>
          <w:right w:w="0" w:type="dxa"/>
        </w:tblCellMar>
      </w:tblPr>
      <w:tblGrid>
        <w:gridCol w:w="3395"/>
        <w:gridCol w:w="60"/>
        <w:gridCol w:w="148"/>
        <w:gridCol w:w="576"/>
        <w:gridCol w:w="80"/>
        <w:gridCol w:w="60"/>
        <w:gridCol w:w="212"/>
        <w:gridCol w:w="932"/>
        <w:gridCol w:w="80"/>
      </w:tblGrid>
      <w:tr>
        <w:trPr/>
        <w:tc>
          <w:tcPr>
            <w:tcW w:w="3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as of the beginning of the period</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7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1,753</w:t>
            </w:r>
          </w:p>
        </w:tc>
        <w:tc>
          <w:tcPr>
            <w:tcW w:w="8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Warranties issued during the period</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993</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Warranty costs incurred during the period</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(303</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(1,264</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39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at the end of the period</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7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1,257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1,482</w:t>
            </w:r>
          </w:p>
        </w:tc>
        <w:tc>
          <w:tcPr>
            <w:tcW w:w="80" w:type="dxa"/>
            <w:tcBorders/>
            <w:shd w:fill="FFFFFF" w:val="clear"/>
            <w:vAlign w:val="center"/>
          </w:tcPr>
          <w:p>
            <w:pPr>
              <w:pStyle w:val="TableContents"/>
              <w:bidi w:val="0"/>
              <w:spacing w:before="0" w:after="0"/>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1,074</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Long-term</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7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408</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1,257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1,482</w:t>
            </w:r>
          </w:p>
        </w:tc>
        <w:tc>
          <w:tcPr>
            <w:tcW w:w="80"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Finance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provides the details of the Company’s finance expenses:</w:t>
      </w:r>
    </w:p>
    <w:p>
      <w:pPr>
        <w:pStyle w:val="TextBody"/>
        <w:bidi w:val="0"/>
        <w:spacing w:before="0" w:after="0"/>
        <w:ind w:left="0" w:right="0" w:hanging="0"/>
        <w:jc w:val="left"/>
        <w:rPr>
          <w:caps w:val="false"/>
          <w:smallCaps w:val="false"/>
        </w:rPr>
      </w:pPr>
      <w:r>
        <w:rPr>
          <w:caps w:val="false"/>
          <w:smallCaps w:val="false"/>
        </w:rPr>
        <w:t> </w:t>
      </w:r>
    </w:p>
    <w:tbl>
      <w:tblPr>
        <w:tblW w:w="9354" w:type="dxa"/>
        <w:jc w:val="left"/>
        <w:tblInd w:w="0" w:type="dxa"/>
        <w:tblLayout w:type="fixed"/>
        <w:tblCellMar>
          <w:top w:w="0" w:type="dxa"/>
          <w:left w:w="0" w:type="dxa"/>
          <w:bottom w:w="0" w:type="dxa"/>
          <w:right w:w="0" w:type="dxa"/>
        </w:tblCellMar>
      </w:tblPr>
      <w:tblGrid>
        <w:gridCol w:w="4310"/>
        <w:gridCol w:w="60"/>
        <w:gridCol w:w="234"/>
        <w:gridCol w:w="908"/>
        <w:gridCol w:w="112"/>
        <w:gridCol w:w="112"/>
        <w:gridCol w:w="234"/>
        <w:gridCol w:w="908"/>
        <w:gridCol w:w="60"/>
        <w:gridCol w:w="60"/>
        <w:gridCol w:w="214"/>
        <w:gridCol w:w="832"/>
        <w:gridCol w:w="102"/>
        <w:gridCol w:w="102"/>
        <w:gridCol w:w="214"/>
        <w:gridCol w:w="832"/>
        <w:gridCol w:w="60"/>
      </w:tblGrid>
      <w:tr>
        <w:trPr/>
        <w:tc>
          <w:tcPr>
            <w:tcW w:w="43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08" w:type="dxa"/>
            <w:gridSpan w:val="6"/>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6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1,487</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2,930</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1,827</w:t>
            </w:r>
          </w:p>
        </w:tc>
        <w:tc>
          <w:tcPr>
            <w:tcW w:w="6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Accretion on long-term debt and amortization of fees</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w:t>
            </w:r>
          </w:p>
        </w:tc>
        <w:tc>
          <w:tcPr>
            <w:tcW w:w="6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finance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1,553</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3,061</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160" w:right="0" w:hanging="180"/>
        <w:jc w:val="left"/>
        <w:rPr/>
      </w:pPr>
      <w:r>
        <w:rPr>
          <w:rStyle w:val="Emphasis"/>
          <w:rFonts w:ascii="Times New Roman" w:hAnsi="Times New Roman"/>
          <w:b/>
          <w:caps w:val="false"/>
          <w:smallCaps w:val="false"/>
          <w:sz w:val="20"/>
        </w:rPr>
        <w:t>7.</w:t>
      </w:r>
      <w:r>
        <w:rPr>
          <w:rFonts w:ascii="Times New Roman" w:hAnsi="Times New Roman"/>
          <w:caps w:val="false"/>
          <w:smallCaps w:val="false"/>
          <w:sz w:val="20"/>
        </w:rPr>
        <w:t> </w:t>
      </w:r>
      <w:r>
        <w:rPr>
          <w:rFonts w:ascii="Times New Roman" w:hAnsi="Times New Roman"/>
          <w:b/>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presents the various components of lease costs. </w:t>
      </w:r>
    </w:p>
    <w:p>
      <w:pPr>
        <w:pStyle w:val="TextBody"/>
        <w:bidi w:val="0"/>
        <w:spacing w:before="0" w:after="0"/>
        <w:ind w:left="0" w:right="0" w:hanging="0"/>
        <w:jc w:val="left"/>
        <w:rPr>
          <w:caps w:val="false"/>
          <w:smallCaps w:val="false"/>
        </w:rPr>
      </w:pPr>
      <w:r>
        <w:rPr>
          <w:caps w:val="false"/>
          <w:smallCaps w:val="false"/>
        </w:rPr>
        <w:t> </w:t>
      </w:r>
    </w:p>
    <w:tbl>
      <w:tblPr>
        <w:tblW w:w="6742" w:type="dxa"/>
        <w:jc w:val="left"/>
        <w:tblInd w:w="0" w:type="dxa"/>
        <w:tblLayout w:type="fixed"/>
        <w:tblCellMar>
          <w:top w:w="0" w:type="dxa"/>
          <w:left w:w="0" w:type="dxa"/>
          <w:bottom w:w="0" w:type="dxa"/>
          <w:right w:w="0" w:type="dxa"/>
        </w:tblCellMar>
      </w:tblPr>
      <w:tblGrid>
        <w:gridCol w:w="1700"/>
        <w:gridCol w:w="60"/>
        <w:gridCol w:w="301"/>
        <w:gridCol w:w="808"/>
        <w:gridCol w:w="144"/>
        <w:gridCol w:w="144"/>
        <w:gridCol w:w="301"/>
        <w:gridCol w:w="808"/>
        <w:gridCol w:w="60"/>
        <w:gridCol w:w="60"/>
        <w:gridCol w:w="241"/>
        <w:gridCol w:w="937"/>
        <w:gridCol w:w="115"/>
        <w:gridCol w:w="115"/>
        <w:gridCol w:w="241"/>
        <w:gridCol w:w="647"/>
        <w:gridCol w:w="60"/>
      </w:tblGrid>
      <w:tr>
        <w:trPr/>
        <w:tc>
          <w:tcPr>
            <w:tcW w:w="1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44"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11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8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30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503</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30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1,013</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941</w:t>
            </w:r>
          </w:p>
        </w:tc>
        <w:tc>
          <w:tcPr>
            <w:tcW w:w="60"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Short-term lease cost</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44"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3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503</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1,013</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The following table presents supplemental information relating to the cash flows arising from lease transactions. Cash payments related to short-term leases are </w:t>
      </w:r>
      <w:r>
        <w:rPr>
          <w:rStyle w:val="Emphasis"/>
          <w:rFonts w:ascii="Times New Roman" w:hAnsi="Times New Roman"/>
          <w:caps w:val="false"/>
          <w:smallCaps w:val="false"/>
          <w:sz w:val="20"/>
        </w:rPr>
        <w:t>not</w:t>
      </w:r>
      <w:r>
        <w:rPr>
          <w:rFonts w:ascii="Times New Roman" w:hAnsi="Times New Roman"/>
          <w:caps w:val="false"/>
          <w:smallCaps w:val="false"/>
          <w:sz w:val="20"/>
        </w:rPr>
        <w:t> included in the measurement of operating lease liabilities, and as such, are excluded from the amounts below.</w:t>
      </w:r>
    </w:p>
    <w:p>
      <w:pPr>
        <w:pStyle w:val="TextBody"/>
        <w:bidi w:val="0"/>
        <w:spacing w:before="0" w:after="0"/>
        <w:ind w:left="0" w:right="0" w:hanging="0"/>
        <w:jc w:val="left"/>
        <w:rPr>
          <w:caps w:val="false"/>
          <w:smallCaps w:val="false"/>
        </w:rPr>
      </w:pPr>
      <w:r>
        <w:rPr>
          <w:caps w:val="false"/>
          <w:smallCaps w:val="false"/>
        </w:rPr>
        <w:t> </w:t>
      </w:r>
    </w:p>
    <w:tbl>
      <w:tblPr>
        <w:tblW w:w="8797" w:type="dxa"/>
        <w:jc w:val="left"/>
        <w:tblInd w:w="0" w:type="dxa"/>
        <w:tblLayout w:type="fixed"/>
        <w:tblCellMar>
          <w:top w:w="0" w:type="dxa"/>
          <w:left w:w="0" w:type="dxa"/>
          <w:bottom w:w="0" w:type="dxa"/>
          <w:right w:w="0" w:type="dxa"/>
        </w:tblCellMar>
      </w:tblPr>
      <w:tblGrid>
        <w:gridCol w:w="3755"/>
        <w:gridCol w:w="60"/>
        <w:gridCol w:w="301"/>
        <w:gridCol w:w="808"/>
        <w:gridCol w:w="144"/>
        <w:gridCol w:w="144"/>
        <w:gridCol w:w="301"/>
        <w:gridCol w:w="808"/>
        <w:gridCol w:w="60"/>
        <w:gridCol w:w="60"/>
        <w:gridCol w:w="241"/>
        <w:gridCol w:w="937"/>
        <w:gridCol w:w="115"/>
        <w:gridCol w:w="115"/>
        <w:gridCol w:w="241"/>
        <w:gridCol w:w="647"/>
        <w:gridCol w:w="60"/>
      </w:tblGrid>
      <w:tr>
        <w:trPr/>
        <w:tc>
          <w:tcPr>
            <w:tcW w:w="3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44"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11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8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cash outflows from operating leases</w:t>
            </w:r>
          </w:p>
        </w:tc>
        <w:tc>
          <w:tcPr>
            <w:tcW w:w="60" w:type="dxa"/>
            <w:tcBorders/>
            <w:shd w:fill="CCEEFF" w:val="clear"/>
            <w:vAlign w:val="center"/>
          </w:tcPr>
          <w:p>
            <w:pPr>
              <w:pStyle w:val="TableContents"/>
              <w:bidi w:val="0"/>
              <w:spacing w:before="0" w:after="283"/>
              <w:ind w:left="0" w:right="0" w:hanging="0"/>
              <w:jc w:val="left"/>
              <w:rPr/>
            </w:pPr>
            <w:r>
              <w:rPr/>
              <w:t> </w:t>
            </w:r>
          </w:p>
        </w:tc>
        <w:tc>
          <w:tcPr>
            <w:tcW w:w="30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503</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30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1,013</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presents the weighted-average lease term and discount rate for operating leases. </w:t>
      </w:r>
    </w:p>
    <w:p>
      <w:pPr>
        <w:pStyle w:val="TextBody"/>
        <w:bidi w:val="0"/>
        <w:spacing w:before="0" w:after="0"/>
        <w:ind w:left="0" w:right="0" w:hanging="0"/>
        <w:jc w:val="left"/>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4025"/>
        <w:gridCol w:w="60"/>
        <w:gridCol w:w="60"/>
        <w:gridCol w:w="380"/>
        <w:gridCol w:w="185"/>
        <w:gridCol w:w="60"/>
        <w:gridCol w:w="60"/>
        <w:gridCol w:w="380"/>
        <w:gridCol w:w="185"/>
      </w:tblGrid>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At June 30,</w:t>
            </w:r>
          </w:p>
        </w:tc>
        <w:tc>
          <w:tcPr>
            <w:tcW w:w="185"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leases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Weighted-average remaining lease term (in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4.29</w:t>
            </w:r>
          </w:p>
        </w:tc>
        <w:tc>
          <w:tcPr>
            <w:tcW w:w="185"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Weighted-average discount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The following table presents a maturity analysis of expected undiscounted cash flows for operating leases on an annual basis for the next </w:t>
      </w:r>
      <w:r>
        <w:rPr>
          <w:rStyle w:val="Emphasis"/>
          <w:rFonts w:ascii="Times New Roman" w:hAnsi="Times New Roman"/>
          <w:caps w:val="false"/>
          <w:smallCaps w:val="false"/>
          <w:sz w:val="20"/>
        </w:rPr>
        <w:t>five</w:t>
      </w:r>
      <w:r>
        <w:rPr>
          <w:rFonts w:ascii="Times New Roman" w:hAnsi="Times New Roman"/>
          <w:caps w:val="false"/>
          <w:smallCaps w:val="false"/>
          <w:sz w:val="20"/>
        </w:rPr>
        <w:t> years and thereafter.</w:t>
      </w:r>
    </w:p>
    <w:p>
      <w:pPr>
        <w:pStyle w:val="TextBody"/>
        <w:bidi w:val="0"/>
        <w:spacing w:before="0" w:after="0"/>
        <w:ind w:left="0" w:right="0" w:hanging="0"/>
        <w:jc w:val="left"/>
        <w:rPr>
          <w:caps w:val="false"/>
          <w:smallCaps w:val="false"/>
        </w:rPr>
      </w:pPr>
      <w:r>
        <w:rPr>
          <w:caps w:val="false"/>
          <w:smallCaps w:val="false"/>
        </w:rPr>
        <w:t> </w:t>
      </w:r>
    </w:p>
    <w:tbl>
      <w:tblPr>
        <w:tblW w:w="3869" w:type="dxa"/>
        <w:jc w:val="left"/>
        <w:tblInd w:w="0" w:type="dxa"/>
        <w:tblLayout w:type="fixed"/>
        <w:tblCellMar>
          <w:top w:w="0" w:type="dxa"/>
          <w:left w:w="0" w:type="dxa"/>
          <w:bottom w:w="0" w:type="dxa"/>
          <w:right w:w="0" w:type="dxa"/>
        </w:tblCellMar>
      </w:tblPr>
      <w:tblGrid>
        <w:gridCol w:w="2330"/>
        <w:gridCol w:w="60"/>
        <w:gridCol w:w="286"/>
        <w:gridCol w:w="1113"/>
        <w:gridCol w:w="80"/>
      </w:tblGrid>
      <w:tr>
        <w:trPr/>
        <w:tc>
          <w:tcPr>
            <w:tcW w:w="233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Years ending December 31,</w:t>
            </w:r>
          </w:p>
        </w:tc>
        <w:tc>
          <w:tcPr>
            <w:tcW w:w="60"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Operating leases</w:t>
            </w:r>
          </w:p>
        </w:tc>
        <w:tc>
          <w:tcPr>
            <w:tcW w:w="80"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2023</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1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780</w:t>
            </w:r>
          </w:p>
        </w:tc>
        <w:tc>
          <w:tcPr>
            <w:tcW w:w="80"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2024</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1,407</w:t>
            </w:r>
          </w:p>
        </w:tc>
        <w:tc>
          <w:tcPr>
            <w:tcW w:w="80"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2025</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1,228</w:t>
            </w:r>
          </w:p>
        </w:tc>
        <w:tc>
          <w:tcPr>
            <w:tcW w:w="80"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2026</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1,039</w:t>
            </w:r>
          </w:p>
        </w:tc>
        <w:tc>
          <w:tcPr>
            <w:tcW w:w="80"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2027</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594</w:t>
            </w:r>
          </w:p>
        </w:tc>
        <w:tc>
          <w:tcPr>
            <w:tcW w:w="80"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Thereafter</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544</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3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Imputed Interest (1)</w:t>
            </w:r>
          </w:p>
        </w:tc>
        <w:tc>
          <w:tcPr>
            <w:tcW w:w="60" w:type="dxa"/>
            <w:tcBorders/>
            <w:shd w:fill="CCEEFF" w:val="clear"/>
            <w:vAlign w:val="center"/>
          </w:tcPr>
          <w:p>
            <w:pPr>
              <w:pStyle w:val="TableContents"/>
              <w:bidi w:val="0"/>
              <w:spacing w:before="0" w:after="0"/>
              <w:ind w:left="0" w:right="0" w:hanging="0"/>
              <w:jc w:val="left"/>
              <w:rPr/>
            </w:pPr>
            <w:r>
              <w:rPr/>
              <w:t> </w:t>
            </w:r>
          </w:p>
        </w:tc>
        <w:tc>
          <w:tcPr>
            <w:tcW w:w="2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(355</w:t>
            </w:r>
          </w:p>
        </w:tc>
        <w:tc>
          <w:tcPr>
            <w:tcW w:w="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3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8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5,237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Imputed interest represents the difference between undiscounted cash flows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INTANGIBLE ASSETS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Intangible assets net of accumulated amortization and goodwill were as follows:</w:t>
      </w:r>
    </w:p>
    <w:p>
      <w:pPr>
        <w:pStyle w:val="TextBody"/>
        <w:bidi w:val="0"/>
        <w:spacing w:before="0" w:after="0"/>
        <w:ind w:left="0" w:right="0" w:hanging="0"/>
        <w:jc w:val="left"/>
        <w:rPr>
          <w:caps w:val="false"/>
          <w:smallCaps w:val="false"/>
        </w:rPr>
      </w:pPr>
      <w:r>
        <w:rPr>
          <w:caps w:val="false"/>
          <w:smallCaps w:val="false"/>
        </w:rPr>
        <w:t> </w:t>
      </w:r>
    </w:p>
    <w:tbl>
      <w:tblPr>
        <w:tblW w:w="6727" w:type="dxa"/>
        <w:jc w:val="left"/>
        <w:tblInd w:w="0" w:type="dxa"/>
        <w:tblLayout w:type="fixed"/>
        <w:tblCellMar>
          <w:top w:w="0" w:type="dxa"/>
          <w:left w:w="0" w:type="dxa"/>
          <w:bottom w:w="0" w:type="dxa"/>
          <w:right w:w="0" w:type="dxa"/>
        </w:tblCellMar>
      </w:tblPr>
      <w:tblGrid>
        <w:gridCol w:w="1895"/>
        <w:gridCol w:w="60"/>
        <w:gridCol w:w="208"/>
        <w:gridCol w:w="981"/>
        <w:gridCol w:w="60"/>
        <w:gridCol w:w="60"/>
        <w:gridCol w:w="362"/>
        <w:gridCol w:w="1892"/>
        <w:gridCol w:w="80"/>
        <w:gridCol w:w="60"/>
        <w:gridCol w:w="176"/>
        <w:gridCol w:w="833"/>
        <w:gridCol w:w="60"/>
      </w:tblGrid>
      <w:tr>
        <w:trPr/>
        <w:tc>
          <w:tcPr>
            <w:tcW w:w="1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71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At June 30, 2023</w:t>
            </w:r>
          </w:p>
        </w:tc>
        <w:tc>
          <w:tcPr>
            <w:tcW w:w="60" w:type="dxa"/>
            <w:tcBorders/>
            <w:shd w:fill="FFFF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Gross 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Net Amount</w:t>
            </w:r>
          </w:p>
        </w:tc>
        <w:tc>
          <w:tcPr>
            <w:tcW w:w="60" w:type="dxa"/>
            <w:tcBorders/>
            <w:shd w:fill="FFFFFF" w:val="clear"/>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Customer relationships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8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89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(475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3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925</w:t>
            </w:r>
          </w:p>
        </w:tc>
        <w:tc>
          <w:tcPr>
            <w:tcW w:w="60" w:type="dxa"/>
            <w:tcBorders/>
            <w:shd w:fill="CCEE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Brand</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pPr>
            <w:r>
              <w:rPr/>
              <w:t> </w:t>
            </w:r>
          </w:p>
        </w:tc>
        <w:tc>
          <w:tcPr>
            <w:tcW w:w="189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(1,197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1,303</w:t>
            </w:r>
          </w:p>
        </w:tc>
        <w:tc>
          <w:tcPr>
            <w:tcW w:w="60" w:type="dxa"/>
            <w:tcBorders/>
            <w:shd w:fill="FFFFFF" w:val="clear"/>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Technology</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pPr>
            <w:r>
              <w:rPr/>
              <w:t> </w:t>
            </w:r>
          </w:p>
        </w:tc>
        <w:tc>
          <w:tcPr>
            <w:tcW w:w="189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(10,317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6,583</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89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Supplier agreement</w:t>
            </w:r>
          </w:p>
        </w:tc>
        <w:tc>
          <w:tcPr>
            <w:tcW w:w="60" w:type="dxa"/>
            <w:tcBorders/>
            <w:shd w:fill="FFFFFF" w:val="clear"/>
            <w:vAlign w:val="center"/>
          </w:tcPr>
          <w:p>
            <w:pPr>
              <w:pStyle w:val="TableContents"/>
              <w:bidi w:val="0"/>
              <w:spacing w:before="0" w:after="0"/>
              <w:ind w:left="0" w:right="0" w:hanging="0"/>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3,000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89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(1,614</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1,386</w:t>
            </w:r>
          </w:p>
        </w:tc>
        <w:tc>
          <w:tcPr>
            <w:tcW w:w="60" w:type="dxa"/>
            <w:tcBorders/>
            <w:shd w:fill="FFFFFF" w:val="clear"/>
            <w:vAlign w:val="center"/>
          </w:tcPr>
          <w:p>
            <w:pPr>
              <w:pStyle w:val="TableContents"/>
              <w:bidi w:val="0"/>
              <w:spacing w:before="0" w:after="0"/>
              <w:jc w:val="left"/>
              <w:rPr/>
            </w:pPr>
            <w:r>
              <w:rPr/>
              <w:t> </w:t>
            </w:r>
          </w:p>
        </w:tc>
      </w:tr>
      <w:tr>
        <w:trPr/>
        <w:tc>
          <w:tcPr>
            <w:tcW w:w="18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8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(13,603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10,197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727" w:type="dxa"/>
        <w:jc w:val="left"/>
        <w:tblInd w:w="0" w:type="dxa"/>
        <w:tblLayout w:type="fixed"/>
        <w:tblCellMar>
          <w:top w:w="0" w:type="dxa"/>
          <w:left w:w="0" w:type="dxa"/>
          <w:bottom w:w="0" w:type="dxa"/>
          <w:right w:w="0" w:type="dxa"/>
        </w:tblCellMar>
      </w:tblPr>
      <w:tblGrid>
        <w:gridCol w:w="1895"/>
        <w:gridCol w:w="60"/>
        <w:gridCol w:w="208"/>
        <w:gridCol w:w="981"/>
        <w:gridCol w:w="60"/>
        <w:gridCol w:w="60"/>
        <w:gridCol w:w="362"/>
        <w:gridCol w:w="1892"/>
        <w:gridCol w:w="80"/>
        <w:gridCol w:w="60"/>
        <w:gridCol w:w="176"/>
        <w:gridCol w:w="833"/>
        <w:gridCol w:w="60"/>
      </w:tblGrid>
      <w:tr>
        <w:trPr/>
        <w:tc>
          <w:tcPr>
            <w:tcW w:w="1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71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At December 31, 2022</w:t>
            </w:r>
          </w:p>
        </w:tc>
        <w:tc>
          <w:tcPr>
            <w:tcW w:w="60" w:type="dxa"/>
            <w:tcBorders/>
            <w:shd w:fill="FFFF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Gross 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Net Amount</w:t>
            </w:r>
          </w:p>
        </w:tc>
        <w:tc>
          <w:tcPr>
            <w:tcW w:w="60" w:type="dxa"/>
            <w:tcBorders/>
            <w:shd w:fill="FFFFFF" w:val="clear"/>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Customer relationships</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6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8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971</w:t>
            </w:r>
          </w:p>
        </w:tc>
        <w:tc>
          <w:tcPr>
            <w:tcW w:w="60" w:type="dxa"/>
            <w:tcBorders/>
            <w:shd w:fill="CCEE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Brand</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ind w:left="0" w:right="0" w:hanging="0"/>
              <w:jc w:val="left"/>
              <w:rPr/>
            </w:pPr>
            <w:r>
              <w:rPr/>
              <w:t> </w:t>
            </w:r>
          </w:p>
        </w:tc>
        <w:tc>
          <w:tcPr>
            <w:tcW w:w="18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8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1,434</w:t>
            </w:r>
          </w:p>
        </w:tc>
        <w:tc>
          <w:tcPr>
            <w:tcW w:w="60" w:type="dxa"/>
            <w:tcBorders/>
            <w:shd w:fill="FFFFFF" w:val="clear"/>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Technology</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ind w:left="0" w:right="0" w:hanging="0"/>
              <w:jc w:val="left"/>
              <w:rPr/>
            </w:pPr>
            <w:r>
              <w:rPr/>
              <w:t> </w:t>
            </w:r>
          </w:p>
        </w:tc>
        <w:tc>
          <w:tcPr>
            <w:tcW w:w="18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(8,919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8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7,981</w:t>
            </w:r>
          </w:p>
        </w:tc>
        <w:tc>
          <w:tcPr>
            <w:tcW w:w="60" w:type="dxa"/>
            <w:tcBorders/>
            <w:shd w:fill="CCEE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Supplier agreement</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1,533</w:t>
            </w:r>
          </w:p>
        </w:tc>
        <w:tc>
          <w:tcPr>
            <w:tcW w:w="60" w:type="dxa"/>
            <w:tcBorders/>
            <w:shd w:fill="FFFFFF" w:val="clear"/>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8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(11,881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11,919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 w:hAnsi="Times New Roman"/>
          <w:sz w:val="20"/>
        </w:rPr>
        <w:t xml:space="preserve">For the </w:t>
      </w:r>
      <w:r>
        <w:rPr>
          <w:rStyle w:val="Emphasis"/>
          <w:rFonts w:ascii="Times New Roman" w:hAnsi="Times New Roman"/>
          <w:sz w:val="20"/>
        </w:rPr>
        <w:t>three</w:t>
      </w:r>
      <w:r>
        <w:rPr>
          <w:rFonts w:ascii="Times New Roman" w:hAnsi="Times New Roman"/>
          <w:sz w:val="20"/>
        </w:rPr>
        <w:t xml:space="preserve"> months ended </w:t>
      </w:r>
      <w:r>
        <w:rPr>
          <w:rStyle w:val="Emphasis"/>
          <w:rFonts w:ascii="Times New Roman" w:hAnsi="Times New Roman"/>
          <w:sz w:val="20"/>
        </w:rPr>
        <w:t xml:space="preserve">June 30, 2023 </w:t>
      </w:r>
      <w:r>
        <w:rPr>
          <w:rFonts w:ascii="Times New Roman" w:hAnsi="Times New Roman"/>
          <w:sz w:val="20"/>
        </w:rPr>
        <w:t xml:space="preserve">and </w:t>
      </w:r>
      <w:r>
        <w:rPr>
          <w:rStyle w:val="Emphasis"/>
          <w:rFonts w:ascii="Times New Roman" w:hAnsi="Times New Roman"/>
          <w:sz w:val="20"/>
        </w:rPr>
        <w:t>2022</w:t>
      </w:r>
      <w:r>
        <w:rPr>
          <w:rFonts w:ascii="Times New Roman" w:hAnsi="Times New Roman"/>
          <w:sz w:val="20"/>
        </w:rPr>
        <w:t xml:space="preserve">, amortization expense was $866 and </w:t>
      </w:r>
      <w:r>
        <w:rPr>
          <w:rFonts w:ascii="Times New Roman" w:hAnsi="Times New Roman"/>
          <w:sz w:val="20"/>
          <w:shd w:fill="FFFFFF" w:val="clear"/>
        </w:rPr>
        <w:t>$865,</w:t>
      </w:r>
      <w:r>
        <w:rPr>
          <w:rFonts w:ascii="Times New Roman" w:hAnsi="Times New Roman"/>
          <w:sz w:val="20"/>
        </w:rPr>
        <w:t xml:space="preserve"> respectively. For the </w:t>
      </w:r>
      <w:r>
        <w:rPr>
          <w:rStyle w:val="Emphasis"/>
          <w:rFonts w:ascii="Times New Roman" w:hAnsi="Times New Roman"/>
          <w:sz w:val="20"/>
        </w:rPr>
        <w:t>six</w:t>
      </w:r>
      <w:r>
        <w:rPr>
          <w:rFonts w:ascii="Times New Roman" w:hAnsi="Times New Roman"/>
          <w:sz w:val="20"/>
        </w:rPr>
        <w:t xml:space="preserve"> months ended </w:t>
      </w:r>
      <w:r>
        <w:rPr>
          <w:rStyle w:val="Emphasis"/>
          <w:rFonts w:ascii="Times New Roman" w:hAnsi="Times New Roman"/>
          <w:sz w:val="20"/>
        </w:rPr>
        <w:t xml:space="preserve">June 30, 2023 </w:t>
      </w:r>
      <w:r>
        <w:rPr>
          <w:rFonts w:ascii="Times New Roman" w:hAnsi="Times New Roman"/>
          <w:sz w:val="20"/>
        </w:rPr>
        <w:t xml:space="preserve">and </w:t>
      </w:r>
      <w:r>
        <w:rPr>
          <w:rStyle w:val="Emphasis"/>
          <w:rFonts w:ascii="Times New Roman" w:hAnsi="Times New Roman"/>
          <w:sz w:val="20"/>
        </w:rPr>
        <w:t>2022,</w:t>
      </w:r>
      <w:r>
        <w:rPr>
          <w:rFonts w:ascii="Times New Roman" w:hAnsi="Times New Roman"/>
          <w:sz w:val="20"/>
        </w:rPr>
        <w:t xml:space="preserve"> amortization expense was $1,722 and $1,722,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Estimated amortization expense for the next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fiscal years and all years thereafter are as follows:</w:t>
      </w:r>
    </w:p>
    <w:p>
      <w:pPr>
        <w:pStyle w:val="TextBody"/>
        <w:bidi w:val="0"/>
        <w:spacing w:before="0" w:after="0"/>
        <w:ind w:left="0" w:right="0" w:hanging="0"/>
        <w:jc w:val="left"/>
        <w:rPr>
          <w:caps w:val="false"/>
          <w:smallCaps w:val="false"/>
        </w:rPr>
      </w:pPr>
      <w:r>
        <w:rPr>
          <w:caps w:val="false"/>
          <w:smallCaps w:val="false"/>
        </w:rPr>
        <w:t> </w:t>
      </w:r>
    </w:p>
    <w:tbl>
      <w:tblPr>
        <w:tblW w:w="3165" w:type="dxa"/>
        <w:jc w:val="left"/>
        <w:tblInd w:w="0" w:type="dxa"/>
        <w:tblLayout w:type="fixed"/>
        <w:tblCellMar>
          <w:top w:w="0" w:type="dxa"/>
          <w:left w:w="0" w:type="dxa"/>
          <w:bottom w:w="0" w:type="dxa"/>
          <w:right w:w="0" w:type="dxa"/>
        </w:tblCellMar>
      </w:tblPr>
      <w:tblGrid>
        <w:gridCol w:w="2330"/>
        <w:gridCol w:w="60"/>
        <w:gridCol w:w="125"/>
        <w:gridCol w:w="590"/>
        <w:gridCol w:w="60"/>
      </w:tblGrid>
      <w:tr>
        <w:trPr/>
        <w:tc>
          <w:tcPr>
            <w:tcW w:w="233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Years ending December 31,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1,751</w:t>
            </w:r>
          </w:p>
        </w:tc>
        <w:tc>
          <w:tcPr>
            <w:tcW w:w="60"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2024</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3,473</w:t>
            </w:r>
          </w:p>
        </w:tc>
        <w:tc>
          <w:tcPr>
            <w:tcW w:w="60"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3,004</w:t>
            </w:r>
          </w:p>
        </w:tc>
        <w:tc>
          <w:tcPr>
            <w:tcW w:w="60"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656</w:t>
            </w:r>
          </w:p>
        </w:tc>
        <w:tc>
          <w:tcPr>
            <w:tcW w:w="60"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657</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3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Thereafter</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656</w:t>
            </w:r>
          </w:p>
        </w:tc>
        <w:tc>
          <w:tcPr>
            <w:tcW w:w="60" w:type="dxa"/>
            <w:tcBorders/>
            <w:shd w:fill="FFFFFF" w:val="clear"/>
            <w:vAlign w:val="center"/>
          </w:tcPr>
          <w:p>
            <w:pPr>
              <w:pStyle w:val="TableContents"/>
              <w:bidi w:val="0"/>
              <w:spacing w:before="0" w:after="0"/>
              <w:jc w:val="left"/>
              <w:rPr/>
            </w:pPr>
            <w:r>
              <w:rPr/>
              <w:t> </w:t>
            </w:r>
          </w:p>
        </w:tc>
      </w:tr>
      <w:tr>
        <w:trPr/>
        <w:tc>
          <w:tcPr>
            <w:tcW w:w="23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10,197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9.</w:t>
      </w:r>
      <w:r>
        <w:rPr>
          <w:rFonts w:ascii="Times New Roman" w:hAnsi="Times New Roman"/>
          <w:b/>
          <w:caps w:val="false"/>
          <w:smallCaps w:val="false"/>
          <w:sz w:val="20"/>
        </w:rPr>
        <w:t xml:space="preserve"> COMMITMENTS AND CONTINGENCIES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2023</w:t>
      </w:r>
      <w:r>
        <w:rPr>
          <w:rFonts w:ascii="Times New Roman" w:hAnsi="Times New Roman"/>
          <w:caps w:val="false"/>
          <w:smallCaps w:val="false"/>
          <w:sz w:val="20"/>
        </w:rPr>
        <w:t xml:space="preserve">, the Company has non-cancellable purchase orders placed with its contract manufacturers in the amount of $15.1 million. In addition, as of </w:t>
      </w:r>
      <w:r>
        <w:rPr>
          <w:rStyle w:val="Emphasis"/>
          <w:rFonts w:ascii="Times New Roman" w:hAnsi="Times New Roman"/>
          <w:caps w:val="false"/>
          <w:smallCaps w:val="false"/>
          <w:sz w:val="20"/>
        </w:rPr>
        <w:t>June 30, 2023</w:t>
      </w:r>
      <w:r>
        <w:rPr>
          <w:rFonts w:ascii="Times New Roman" w:hAnsi="Times New Roman"/>
          <w:caps w:val="false"/>
          <w:smallCaps w:val="false"/>
          <w:sz w:val="20"/>
        </w:rPr>
        <w:t xml:space="preserve">, the Company had $0.7 million of open purchase orders that can be cancelled with </w:t>
      </w:r>
      <w:r>
        <w:rPr>
          <w:rStyle w:val="Emphasis"/>
          <w:rFonts w:ascii="Times New Roman" w:hAnsi="Times New Roman"/>
          <w:caps w:val="false"/>
          <w:smallCaps w:val="false"/>
          <w:sz w:val="20"/>
        </w:rPr>
        <w:t>270</w:t>
      </w:r>
      <w:r>
        <w:rPr>
          <w:rFonts w:ascii="Times New Roman" w:hAnsi="Times New Roman"/>
          <w:caps w:val="false"/>
          <w:smallCaps w:val="false"/>
          <w:sz w:val="20"/>
        </w:rPr>
        <w:t xml:space="preserve"> days’ notice, except for a portion equal to 25% of the total amount representing the purchase of “long lead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Aggregate future service and purchase commitments with manufacturers as of </w:t>
      </w:r>
      <w:r>
        <w:rPr>
          <w:rStyle w:val="Emphasis"/>
          <w:rFonts w:ascii="Times New Roman" w:hAnsi="Times New Roman"/>
          <w:caps w:val="false"/>
          <w:smallCaps w:val="false"/>
          <w:sz w:val="20"/>
        </w:rPr>
        <w:t>June 30, 2023</w:t>
      </w:r>
      <w:r>
        <w:rPr>
          <w:rFonts w:ascii="Times New Roman" w:hAnsi="Times New Roman"/>
          <w:caps w:val="false"/>
          <w:smallCaps w:val="false"/>
          <w:sz w:val="20"/>
        </w:rPr>
        <w:t xml:space="preserve"> are as follows:</w:t>
      </w:r>
    </w:p>
    <w:p>
      <w:pPr>
        <w:pStyle w:val="TextBody"/>
        <w:bidi w:val="0"/>
        <w:spacing w:before="0" w:after="0"/>
        <w:ind w:left="0" w:right="0" w:hanging="0"/>
        <w:jc w:val="both"/>
        <w:rPr>
          <w:caps w:val="false"/>
          <w:smallCaps w:val="false"/>
        </w:rPr>
      </w:pPr>
      <w:r>
        <w:rPr>
          <w:caps w:val="false"/>
          <w:smallCaps w:val="false"/>
        </w:rPr>
        <w:t> </w:t>
      </w:r>
    </w:p>
    <w:tbl>
      <w:tblPr>
        <w:tblW w:w="5424" w:type="dxa"/>
        <w:jc w:val="left"/>
        <w:tblInd w:w="0" w:type="dxa"/>
        <w:tblLayout w:type="fixed"/>
        <w:tblCellMar>
          <w:top w:w="0" w:type="dxa"/>
          <w:left w:w="0" w:type="dxa"/>
          <w:bottom w:w="0" w:type="dxa"/>
          <w:right w:w="0" w:type="dxa"/>
        </w:tblCellMar>
      </w:tblPr>
      <w:tblGrid>
        <w:gridCol w:w="2330"/>
        <w:gridCol w:w="60"/>
        <w:gridCol w:w="518"/>
        <w:gridCol w:w="2456"/>
        <w:gridCol w:w="60"/>
      </w:tblGrid>
      <w:tr>
        <w:trPr/>
        <w:tc>
          <w:tcPr>
            <w:tcW w:w="233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Years ending December 31,</w:t>
            </w:r>
          </w:p>
        </w:tc>
        <w:tc>
          <w:tcPr>
            <w:tcW w:w="60" w:type="dxa"/>
            <w:tcBorders/>
            <w:shd w:fill="FFFFFF" w:val="clear"/>
            <w:vAlign w:val="center"/>
          </w:tcPr>
          <w:p>
            <w:pPr>
              <w:pStyle w:val="TableContents"/>
              <w:bidi w:val="0"/>
              <w:spacing w:before="0" w:after="283"/>
              <w:ind w:left="0" w:right="0" w:hanging="0"/>
              <w:jc w:val="left"/>
              <w:rPr/>
            </w:pPr>
            <w:r>
              <w:rPr/>
              <w:t> </w:t>
            </w:r>
          </w:p>
        </w:tc>
        <w:tc>
          <w:tcPr>
            <w:tcW w:w="29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Purchase and Service Commitments</w:t>
            </w:r>
          </w:p>
        </w:tc>
        <w:tc>
          <w:tcPr>
            <w:tcW w:w="60"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2023</w:t>
            </w:r>
          </w:p>
        </w:tc>
        <w:tc>
          <w:tcPr>
            <w:tcW w:w="60" w:type="dxa"/>
            <w:tcBorders/>
            <w:shd w:fill="CCEEFF" w:val="clear"/>
            <w:vAlign w:val="center"/>
          </w:tcPr>
          <w:p>
            <w:pPr>
              <w:pStyle w:val="TableContents"/>
              <w:bidi w:val="0"/>
              <w:spacing w:before="0" w:after="283"/>
              <w:ind w:left="0" w:right="0" w:hanging="0"/>
              <w:jc w:val="left"/>
              <w:rPr/>
            </w:pPr>
            <w:r>
              <w:rPr/>
              <w:t> </w:t>
            </w:r>
          </w:p>
        </w:tc>
        <w:tc>
          <w:tcPr>
            <w:tcW w:w="51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4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15,086</w:t>
            </w:r>
          </w:p>
        </w:tc>
        <w:tc>
          <w:tcPr>
            <w:tcW w:w="60"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2024 and Thereafter</w:t>
            </w:r>
          </w:p>
        </w:tc>
        <w:tc>
          <w:tcPr>
            <w:tcW w:w="60" w:type="dxa"/>
            <w:tcBorders/>
            <w:shd w:fill="FFFFFF" w:val="clear"/>
            <w:vAlign w:val="center"/>
          </w:tcPr>
          <w:p>
            <w:pPr>
              <w:pStyle w:val="TableContents"/>
              <w:bidi w:val="0"/>
              <w:spacing w:before="0" w:after="283"/>
              <w:jc w:val="left"/>
              <w:rPr/>
            </w:pPr>
            <w:r>
              <w:rPr/>
              <w:t> </w:t>
            </w:r>
          </w:p>
        </w:tc>
        <w:tc>
          <w:tcPr>
            <w:tcW w:w="5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4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5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4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15,086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Purported Shareholder Class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11, 2019, </w:t>
      </w:r>
      <w:r>
        <w:rPr>
          <w:rFonts w:ascii="Times New Roman" w:hAnsi="Times New Roman"/>
          <w:caps w:val="false"/>
          <w:smallCaps w:val="false"/>
          <w:sz w:val="20"/>
        </w:rPr>
        <w:t xml:space="preserve">a verified shareholder derivative complaint was filed in the United States District Court for the Northern District of California, captioned Mason v. Rhodes,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5:19</w:t>
      </w:r>
      <w:r>
        <w:rPr>
          <w:rFonts w:ascii="Times New Roman" w:hAnsi="Times New Roman"/>
          <w:caps w:val="false"/>
          <w:smallCaps w:val="false"/>
          <w:sz w:val="20"/>
        </w:rPr>
        <w:t>-cv-</w:t>
      </w:r>
      <w:r>
        <w:rPr>
          <w:rStyle w:val="Emphasis"/>
          <w:rFonts w:ascii="Times New Roman" w:hAnsi="Times New Roman"/>
          <w:caps w:val="false"/>
          <w:smallCaps w:val="false"/>
          <w:sz w:val="20"/>
        </w:rPr>
        <w:t>03997</w:t>
      </w:r>
      <w:r>
        <w:rPr>
          <w:rFonts w:ascii="Times New Roman" w:hAnsi="Times New Roman"/>
          <w:caps w:val="false"/>
          <w:smallCaps w:val="false"/>
          <w:sz w:val="20"/>
        </w:rPr>
        <w:t xml:space="preserve">-NC. The complaint alleges that certain of Restoration Robotics’ former officers and directors breached their fiduciary duties, have been unjustly enriched and violated Section </w:t>
      </w:r>
      <w:r>
        <w:rPr>
          <w:rStyle w:val="Emphasis"/>
          <w:rFonts w:ascii="Times New Roman" w:hAnsi="Times New Roman"/>
          <w:caps w:val="false"/>
          <w:smallCaps w:val="false"/>
          <w:sz w:val="20"/>
        </w:rPr>
        <w:t>14</w:t>
      </w:r>
      <w:r>
        <w:rPr>
          <w:rFonts w:ascii="Times New Roman" w:hAnsi="Times New Roman"/>
          <w:caps w:val="false"/>
          <w:smallCaps w:val="false"/>
          <w:sz w:val="20"/>
        </w:rPr>
        <w:t xml:space="preserve">(a) of the Exchange Act in connection with the IPO and Restoration Robotics’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proxy statement. The complaint seeks unspecified damages, declaratory relief, other equitable relief and attorneys’ fees and costs. On </w:t>
      </w:r>
      <w:r>
        <w:rPr>
          <w:rStyle w:val="Emphasis"/>
          <w:rFonts w:ascii="Times New Roman" w:hAnsi="Times New Roman"/>
          <w:caps w:val="false"/>
          <w:smallCaps w:val="false"/>
          <w:sz w:val="20"/>
        </w:rPr>
        <w:t xml:space="preserve">August 21, 2019, </w:t>
      </w:r>
      <w:r>
        <w:rPr>
          <w:rFonts w:ascii="Times New Roman" w:hAnsi="Times New Roman"/>
          <w:caps w:val="false"/>
          <w:smallCaps w:val="false"/>
          <w:sz w:val="20"/>
        </w:rPr>
        <w:t xml:space="preserve">the District Court granted the parties’ joint stipulation to stay the Mason action. On </w:t>
      </w:r>
      <w:r>
        <w:rPr>
          <w:rStyle w:val="Emphasis"/>
          <w:rFonts w:ascii="Times New Roman" w:hAnsi="Times New Roman"/>
          <w:caps w:val="false"/>
          <w:smallCaps w:val="false"/>
          <w:sz w:val="20"/>
        </w:rPr>
        <w:t xml:space="preserve">June 21, 2021, </w:t>
      </w:r>
      <w:r>
        <w:rPr>
          <w:rFonts w:ascii="Times New Roman" w:hAnsi="Times New Roman"/>
          <w:caps w:val="false"/>
          <w:smallCaps w:val="false"/>
          <w:sz w:val="20"/>
        </w:rPr>
        <w:t xml:space="preserve">the District Court granted the parties’ further stipulation to stay the Mason action. On </w:t>
      </w:r>
      <w:r>
        <w:rPr>
          <w:rStyle w:val="Emphasis"/>
          <w:rFonts w:ascii="Times New Roman" w:hAnsi="Times New Roman"/>
          <w:caps w:val="false"/>
          <w:smallCaps w:val="false"/>
          <w:sz w:val="20"/>
        </w:rPr>
        <w:t xml:space="preserve">March 2, 2023, </w:t>
      </w:r>
      <w:r>
        <w:rPr>
          <w:rFonts w:ascii="Times New Roman" w:hAnsi="Times New Roman"/>
          <w:caps w:val="false"/>
          <w:smallCaps w:val="false"/>
          <w:sz w:val="20"/>
        </w:rPr>
        <w:t xml:space="preserve">Plaintiff filed a stipulation voluntarily dismissing the action. The District Court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entered the stipulation.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MAIN STREET TERM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December 8,</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the Company executed a loan and security agreement (the "MSLP Loan Agreement"), a promissory note (the "MSLP Note"), and related documents for a loan in the aggregate amount of $50,000 for which City National Bank of Florida (“CNB”) will serve as a lender pursuant to the Main Street Priority Loan Facility as established by the Board of Governors of the Federal Reserve System Section </w:t>
      </w:r>
      <w:r>
        <w:rPr>
          <w:rStyle w:val="Emphasis"/>
          <w:rFonts w:ascii="Times New Roman" w:hAnsi="Times New Roman"/>
          <w:caps w:val="false"/>
          <w:smallCaps w:val="false"/>
          <w:sz w:val="20"/>
        </w:rPr>
        <w:t>13</w:t>
      </w:r>
      <w:r>
        <w:rPr>
          <w:rFonts w:ascii="Times New Roman" w:hAnsi="Times New Roman"/>
          <w:caps w:val="false"/>
          <w:smallCaps w:val="false"/>
          <w:sz w:val="20"/>
        </w:rPr>
        <w:t>(</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of the Federal Reserve Act (the “MSLP Loan”). On </w:t>
      </w:r>
      <w:r>
        <w:rPr>
          <w:rStyle w:val="Emphasis"/>
          <w:rFonts w:ascii="Times New Roman" w:hAnsi="Times New Roman"/>
          <w:caps w:val="false"/>
          <w:smallCaps w:val="false"/>
          <w:sz w:val="20"/>
        </w:rPr>
        <w:t>December 9,</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the MSLP Loan had been funded and the transaction was closed. The MSLP Note has a term of five years and bears interest at a rate per annum equal to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-day LIBOR plus 3%. On </w:t>
      </w:r>
      <w:r>
        <w:rPr>
          <w:rStyle w:val="Emphasis"/>
          <w:rFonts w:ascii="Times New Roman" w:hAnsi="Times New Roman"/>
          <w:caps w:val="false"/>
          <w:smallCaps w:val="false"/>
          <w:sz w:val="20"/>
        </w:rPr>
        <w:t xml:space="preserve">December 8,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8, 2024, </w:t>
      </w:r>
      <w:r>
        <w:rPr>
          <w:rFonts w:ascii="Times New Roman" w:hAnsi="Times New Roman"/>
          <w:caps w:val="false"/>
          <w:smallCaps w:val="false"/>
          <w:sz w:val="20"/>
        </w:rPr>
        <w:t xml:space="preserve">the Company must make an annual payment of principal plus accrued but unpaid interest in an amount equal to </w:t>
      </w:r>
      <w:r>
        <w:rPr>
          <w:rStyle w:val="Emphasis"/>
          <w:rFonts w:ascii="Times New Roman" w:hAnsi="Times New Roman"/>
          <w:caps w:val="false"/>
          <w:smallCaps w:val="false"/>
          <w:sz w:val="20"/>
        </w:rPr>
        <w:t>fifteen</w:t>
      </w:r>
      <w:r>
        <w:rPr>
          <w:rFonts w:ascii="Times New Roman" w:hAnsi="Times New Roman"/>
          <w:caps w:val="false"/>
          <w:smallCaps w:val="false"/>
          <w:sz w:val="20"/>
        </w:rPr>
        <w:t xml:space="preserve"> percent (15%) of the outstanding principal balance of the MSLP Note (inclusive of accrued but unpaid interest). The entire outstanding principal balance of the MSLP Note together with all accrued and unpaid interest is due and payable in full on </w:t>
      </w:r>
      <w:r>
        <w:rPr>
          <w:rStyle w:val="Emphasis"/>
          <w:rFonts w:ascii="Times New Roman" w:hAnsi="Times New Roman"/>
          <w:caps w:val="false"/>
          <w:smallCaps w:val="false"/>
          <w:sz w:val="20"/>
        </w:rPr>
        <w:t xml:space="preserve">December 8, 2025. </w:t>
      </w:r>
      <w:r>
        <w:rPr>
          <w:rFonts w:ascii="Times New Roman" w:hAnsi="Times New Roman"/>
          <w:caps w:val="false"/>
          <w:smallCaps w:val="false"/>
          <w:sz w:val="20"/>
        </w:rPr>
        <w:t xml:space="preserve">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prepay the MSLP Loan at any time without incurring any prepayment penalties. The MSLP Note provides for customary events of default, including, among others, those relating to a failure to make payment, bankruptcy, breaches of representations and covenants, and the occurrence of certain events. In addition, the MSLP Loan Agreement and MSLP Note contain various covenants that limit the Company’s ability to engage in specified types of transactions. Subject to limited exceptions, these covenants limit the Company’s ability, without CNB’s consent, to, among other things, sell, lease, transfer, exclusively license or dispose of the Company’s assets, incur, create, or permit to exist additional indebtedness, or liens, to make dividends and other restricted payments, and to make certain changes to its ownership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the Company was in compliance with all required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scheduled payments on the outstanding borrowings as of </w:t>
      </w:r>
      <w:r>
        <w:rPr>
          <w:rStyle w:val="Emphasis"/>
          <w:rFonts w:ascii="Times New Roman" w:hAnsi="Times New Roman"/>
          <w:caps w:val="false"/>
          <w:smallCaps w:val="false"/>
          <w:sz w:val="20"/>
        </w:rPr>
        <w:t>June 30, 2023</w:t>
      </w:r>
      <w:r>
        <w:rPr>
          <w:rFonts w:ascii="Times New Roman" w:hAnsi="Times New Roman"/>
          <w:caps w:val="false"/>
          <w:smallCaps w:val="false"/>
          <w:sz w:val="20"/>
        </w:rPr>
        <w:t xml:space="preserve"> are as follows:</w:t>
      </w:r>
    </w:p>
    <w:p>
      <w:pPr>
        <w:pStyle w:val="TextBody"/>
        <w:bidi w:val="0"/>
        <w:spacing w:before="0" w:after="0"/>
        <w:ind w:left="0" w:right="0" w:hanging="0"/>
        <w:jc w:val="both"/>
        <w:rPr>
          <w:caps w:val="false"/>
          <w:smallCaps w:val="false"/>
        </w:rPr>
      </w:pPr>
      <w:r>
        <w:rPr>
          <w:caps w:val="false"/>
          <w:smallCaps w:val="false"/>
        </w:rPr>
        <w:t> </w:t>
      </w:r>
    </w:p>
    <w:tbl>
      <w:tblPr>
        <w:tblW w:w="2355" w:type="dxa"/>
        <w:jc w:val="left"/>
        <w:tblInd w:w="0" w:type="dxa"/>
        <w:tblLayout w:type="fixed"/>
        <w:tblCellMar>
          <w:top w:w="0" w:type="dxa"/>
          <w:left w:w="0" w:type="dxa"/>
          <w:bottom w:w="0" w:type="dxa"/>
          <w:right w:w="0" w:type="dxa"/>
        </w:tblCellMar>
      </w:tblPr>
      <w:tblGrid>
        <w:gridCol w:w="455"/>
        <w:gridCol w:w="60"/>
        <w:gridCol w:w="125"/>
        <w:gridCol w:w="1655"/>
        <w:gridCol w:w="60"/>
      </w:tblGrid>
      <w:tr>
        <w:trPr/>
        <w:tc>
          <w:tcPr>
            <w:tcW w:w="45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655" w:type="dxa"/>
            <w:tcBorders>
              <w:bottom w:val="single" w:sz="2" w:space="0" w:color="000000"/>
            </w:tcBorders>
            <w:shd w:fill="FFFFFF" w:val="clear"/>
            <w:tcMar>
              <w:bottom w:w="28" w:type="dxa"/>
            </w:tcMar>
            <w:vAlign w:val="center"/>
          </w:tcPr>
          <w:p>
            <w:pPr>
              <w:pStyle w:val="TableContents"/>
              <w:bidi w:val="0"/>
              <w:spacing w:before="0" w:after="0"/>
              <w:jc w:val="right"/>
              <w:rPr/>
            </w:pPr>
            <w:r>
              <w:rPr>
                <w:rStyle w:val="Emphasis"/>
                <w:rFonts w:ascii="Times New Roman" w:hAnsi="Times New Roman"/>
                <w:b/>
                <w:sz w:val="20"/>
              </w:rPr>
              <w:t>As of June 30, 2023</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4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65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9,889</w:t>
            </w:r>
          </w:p>
        </w:tc>
        <w:tc>
          <w:tcPr>
            <w:tcW w:w="60" w:type="dxa"/>
            <w:tcBorders/>
            <w:shd w:fill="CCEEFF" w:val="clear"/>
            <w:vAlign w:val="center"/>
          </w:tcPr>
          <w:p>
            <w:pPr>
              <w:pStyle w:val="TableContents"/>
              <w:bidi w:val="0"/>
              <w:spacing w:before="0" w:after="283"/>
              <w:jc w:val="left"/>
              <w:rPr/>
            </w:pPr>
            <w:r>
              <w:rPr/>
              <w:t> </w:t>
            </w:r>
          </w:p>
        </w:tc>
      </w:tr>
      <w:tr>
        <w:trPr/>
        <w:tc>
          <w:tcPr>
            <w:tcW w:w="4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6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10,239</w:t>
            </w:r>
          </w:p>
        </w:tc>
        <w:tc>
          <w:tcPr>
            <w:tcW w:w="60" w:type="dxa"/>
            <w:tcBorders/>
            <w:shd w:fill="FFFFFF" w:val="clear"/>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40,365</w:t>
            </w:r>
          </w:p>
        </w:tc>
        <w:tc>
          <w:tcPr>
            <w:tcW w:w="60" w:type="dxa"/>
            <w:tcBorders/>
            <w:shd w:fill="CCEEFF" w:val="clear"/>
            <w:vAlign w:val="center"/>
          </w:tcPr>
          <w:p>
            <w:pPr>
              <w:pStyle w:val="TableContents"/>
              <w:bidi w:val="0"/>
              <w:spacing w:before="0" w:after="283"/>
              <w:jc w:val="left"/>
              <w:rPr/>
            </w:pPr>
            <w:r>
              <w:rPr/>
              <w:t> </w:t>
            </w:r>
          </w:p>
        </w:tc>
      </w:tr>
      <w:tr>
        <w:trPr/>
        <w:tc>
          <w:tcPr>
            <w:tcW w:w="4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6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60,493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11.</w:t>
      </w:r>
      <w:r>
        <w:rPr>
          <w:rFonts w:ascii="Times New Roman" w:hAnsi="Times New Roman"/>
          <w:b/>
          <w:caps w:val="false"/>
          <w:smallCaps w:val="false"/>
          <w:sz w:val="20"/>
        </w:rPr>
        <w:t xml:space="preserve"> MADRYN LONG-TERM DEBT AND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11, 2016, </w:t>
      </w:r>
      <w:r>
        <w:rPr>
          <w:rFonts w:ascii="Times New Roman" w:hAnsi="Times New Roman"/>
          <w:caps w:val="false"/>
          <w:smallCaps w:val="false"/>
          <w:sz w:val="20"/>
        </w:rPr>
        <w:t>Venus Concept Ltd., a wholly owned subsidiary of the Company ("Venus Ltd."), entered into a credit agreement as a guarantor with Madryn Health Partners, LP, as administrative agent, and certain of its affiliates as lenders (collectively, “Madryn”), as amended (the “Madryn Credit Agreement”), pursuant to which Madryn agreed to make certain loans to certain of Venus Concept’s subsidiaries.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9, 2020, </w:t>
      </w:r>
      <w:r>
        <w:rPr>
          <w:rFonts w:ascii="Times New Roman" w:hAnsi="Times New Roman"/>
          <w:caps w:val="false"/>
          <w:smallCaps w:val="false"/>
          <w:sz w:val="20"/>
        </w:rPr>
        <w:t xml:space="preserve">contemporaneously with the MSLP Loan Agreement (Note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the Company and its subsidiaries, Venus Concept USA, Inc. ("Venus USA"), Venus Ltd., Venus Concept Canada Corp. ("Venus Canada"), and the Madryn Noteholders (as defined below), entered into a Securities Exchange Agreement (the "Exchange Agreement") dated as of </w:t>
      </w:r>
      <w:r>
        <w:rPr>
          <w:rStyle w:val="Emphasis"/>
          <w:rFonts w:ascii="Times New Roman" w:hAnsi="Times New Roman"/>
          <w:caps w:val="false"/>
          <w:smallCaps w:val="false"/>
          <w:sz w:val="20"/>
        </w:rPr>
        <w:t xml:space="preserve">December 8, 2020, </w:t>
      </w:r>
      <w:r>
        <w:rPr>
          <w:rFonts w:ascii="Times New Roman" w:hAnsi="Times New Roman"/>
          <w:caps w:val="false"/>
          <w:smallCaps w:val="false"/>
          <w:sz w:val="20"/>
        </w:rPr>
        <w:t xml:space="preserve">pursuant to which the Company (i) repaid on </w:t>
      </w:r>
      <w:r>
        <w:rPr>
          <w:rStyle w:val="Emphasis"/>
          <w:rFonts w:ascii="Times New Roman" w:hAnsi="Times New Roman"/>
          <w:caps w:val="false"/>
          <w:smallCaps w:val="false"/>
          <w:sz w:val="20"/>
        </w:rPr>
        <w:t xml:space="preserve">December 9, 2020, </w:t>
      </w:r>
      <w:r>
        <w:rPr>
          <w:rFonts w:ascii="Times New Roman" w:hAnsi="Times New Roman"/>
          <w:caps w:val="false"/>
          <w:smallCaps w:val="false"/>
          <w:sz w:val="20"/>
        </w:rPr>
        <w:t xml:space="preserve">$42.5 million aggregate principal amount owed under the Madryn Credit Agreement, and (ii) issued, on </w:t>
      </w:r>
      <w:r>
        <w:rPr>
          <w:rStyle w:val="Emphasis"/>
          <w:rFonts w:ascii="Times New Roman" w:hAnsi="Times New Roman"/>
          <w:caps w:val="false"/>
          <w:smallCaps w:val="false"/>
          <w:sz w:val="20"/>
        </w:rPr>
        <w:t xml:space="preserve">December 9, 2020, </w:t>
      </w:r>
      <w:r>
        <w:rPr>
          <w:rFonts w:ascii="Times New Roman" w:hAnsi="Times New Roman"/>
          <w:caps w:val="false"/>
          <w:smallCaps w:val="false"/>
          <w:sz w:val="20"/>
        </w:rPr>
        <w:t xml:space="preserve">to Madryn Health Partners (Cayman Master), LP and Madryn Health Partners, LP (the "Madryn Noteholders") secured subordinated convertible notes in the aggregate principal amount of $26.7 million (the "Notes"). The Madryn Credit Agreement was terminated effective </w:t>
      </w:r>
      <w:r>
        <w:rPr>
          <w:rStyle w:val="Emphasis"/>
          <w:rFonts w:ascii="Times New Roman" w:hAnsi="Times New Roman"/>
          <w:caps w:val="false"/>
          <w:smallCaps w:val="false"/>
          <w:sz w:val="20"/>
        </w:rPr>
        <w:t xml:space="preserve">December 9, 2020 </w:t>
      </w:r>
      <w:r>
        <w:rPr>
          <w:rFonts w:ascii="Times New Roman" w:hAnsi="Times New Roman"/>
          <w:caps w:val="false"/>
          <w:smallCaps w:val="false"/>
          <w:sz w:val="20"/>
        </w:rPr>
        <w:t>upon the funding and closing of the MSLP Loan and the issuance of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the Company had approximately $27.2 million principal and interest of convertible notes outstanding that were issued pursuant to the Exchange Agreement (as defined below).</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The Notes will accrue interest at a rate of 8.0% per annum from the date of original issuance of the Notes to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anniversary date of the original issuance and thereafter interest will accrue at a rate of 6.0% per annum. Under certain circumstances, in the case of an event of default under the Notes, the then-applicable interest rate will increase by 4.0% per annum. Interest is payable quarterly in arrears on the last business day of each calendar quarter of each year after the original issuance date, beginning on </w:t>
      </w:r>
      <w:r>
        <w:rPr>
          <w:rStyle w:val="Emphasis"/>
          <w:rFonts w:ascii="Times New Roman" w:hAnsi="Times New Roman"/>
          <w:caps w:val="false"/>
          <w:smallCaps w:val="false"/>
          <w:sz w:val="20"/>
        </w:rPr>
        <w:t xml:space="preserve"> December 31, 2020. </w:t>
      </w:r>
      <w:r>
        <w:rPr>
          <w:rFonts w:ascii="Times New Roman" w:hAnsi="Times New Roman"/>
          <w:caps w:val="false"/>
          <w:smallCaps w:val="false"/>
          <w:sz w:val="20"/>
        </w:rPr>
        <w:t>The Notes will mature on </w:t>
      </w:r>
      <w:r>
        <w:rPr>
          <w:rStyle w:val="Emphasis"/>
          <w:rFonts w:ascii="Times New Roman" w:hAnsi="Times New Roman"/>
          <w:caps w:val="false"/>
          <w:smallCaps w:val="false"/>
          <w:sz w:val="20"/>
        </w:rPr>
        <w:t xml:space="preserve"> December 9, 2025, </w:t>
      </w:r>
      <w:r>
        <w:rPr>
          <w:rFonts w:ascii="Times New Roman" w:hAnsi="Times New Roman"/>
          <w:caps w:val="false"/>
          <w:smallCaps w:val="false"/>
          <w:sz w:val="20"/>
        </w:rPr>
        <w:t xml:space="preserve">unless earlier redeemed or converted. In connection with the Exchange Agreement, the Company also entered into, by and among the Company, Venus USA, Venus Canada, Venus Ltd., and the Madryn Noteholders, (i) a Guaranty and Security Agreement dated as of </w:t>
      </w:r>
      <w:r>
        <w:rPr>
          <w:rStyle w:val="Emphasis"/>
          <w:rFonts w:ascii="Times New Roman" w:hAnsi="Times New Roman"/>
          <w:caps w:val="false"/>
          <w:smallCaps w:val="false"/>
          <w:sz w:val="20"/>
        </w:rPr>
        <w:t>December 9, 2020 (</w:t>
      </w:r>
      <w:r>
        <w:rPr>
          <w:rFonts w:ascii="Times New Roman" w:hAnsi="Times New Roman"/>
          <w:caps w:val="false"/>
          <w:smallCaps w:val="false"/>
          <w:sz w:val="20"/>
        </w:rPr>
        <w:t xml:space="preserve">the "Madryn Security Agreement"), pursuant to which the Company agreed to grant Madryn a security interest in substantially all of its assets to secure the obligations under the Notes and (ii) a Subordination of Debt Agreement dated as of </w:t>
      </w:r>
      <w:r>
        <w:rPr>
          <w:rStyle w:val="Emphasis"/>
          <w:rFonts w:ascii="Times New Roman" w:hAnsi="Times New Roman"/>
          <w:caps w:val="false"/>
          <w:smallCaps w:val="false"/>
          <w:sz w:val="20"/>
        </w:rPr>
        <w:t>December 9, 2020 (</w:t>
      </w:r>
      <w:r>
        <w:rPr>
          <w:rFonts w:ascii="Times New Roman" w:hAnsi="Times New Roman"/>
          <w:caps w:val="false"/>
          <w:smallCaps w:val="false"/>
          <w:sz w:val="20"/>
        </w:rPr>
        <w:t xml:space="preserve">the "CNB Subordination Agreement"). The security interests and liens granted to the Madryn Noteholders under the Madryn Security Agreement will terminate upon the earlier of (i) an assignment of the Notes (other than to an affiliate of the Madryn Noteholders) pursuant to the terms of the Exchange Agreement and (ii)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date on which the outstanding principal amount of the Notes is less than $10,000. Obligations under the Notes are secured by substantially all of the assets of Venus Concept Inc. and its subsidiaries party to the Madryn Security Agreement. The Company’s obligations under the Notes and the security interests and liens created by the Madryn Security Agreement are subordinated to the Company’s indebtedness owing to CNB (including,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pursuant to the MSLP Loan Agreement (Note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and the CNB Loan Agreement, (Note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and any security interests and liens which secure such indebtedness owing to CNB. The Notes are convertible at any time into shares of the Company’s common stock, par value $0.0001 per share, calculated by dividing the outstanding principal amount of the Notes (and any accrued and unpaid interest under the Notes) by the initial conversion price of $48.75 per share. In connection with the Notes, the Company recognized interest expense of $540 and $540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respectively. In connection with the Notes, the Company recognized interest expense of $1,074 and $1,074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respectively. The conversion feature, providing the Madryn Noteholders with a right to receive the Company’s shares upon conversion of the Notes, was qualified for a scope exception in ASC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and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 bifurcation. The Notes also contained embedded redemption features that provided multiple redemption alternatives. Certain redemption features provided the Madryn Noteholders with a right to receive cash and a variable number of shares upon change of control and an event of default (as defined in the Notes). The Company evaluated redemption upon change of control and an event of default under ASC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Derivatives and Hedging, and determined that these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redemption features required bifurcation. These embedded derivatives were accounted for as liabilities at their estimated fair value as of the date of issuance, and then subsequently remeasured to fair value as of each balance sheet date, with the related remeasurement adjustment being recognized as a component of change in fair value of derivative liabilities in the unaudited condensed consolidated statements of operations. The Company determined the likelihood of an event of default and change of control as remote as of </w:t>
      </w:r>
      <w:r>
        <w:rPr>
          <w:rStyle w:val="Emphasis"/>
          <w:rFonts w:ascii="Times New Roman" w:hAnsi="Times New Roman"/>
          <w:caps w:val="false"/>
          <w:smallCaps w:val="false"/>
          <w:sz w:val="20"/>
        </w:rPr>
        <w:t>June 30,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therefore a nominal value was allocated to the underlying embedded derivative liabilities as of </w:t>
      </w:r>
      <w:r>
        <w:rPr>
          <w:rStyle w:val="Emphasis"/>
          <w:rFonts w:ascii="Times New Roman" w:hAnsi="Times New Roman"/>
          <w:caps w:val="false"/>
          <w:smallCaps w:val="false"/>
          <w:sz w:val="20"/>
        </w:rPr>
        <w:t>June 30,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scheduled payments on the outstanding borrowings as of </w:t>
      </w:r>
      <w:r>
        <w:rPr>
          <w:rStyle w:val="Emphasis"/>
          <w:rFonts w:ascii="Times New Roman" w:hAnsi="Times New Roman"/>
          <w:caps w:val="false"/>
          <w:smallCaps w:val="false"/>
          <w:sz w:val="20"/>
        </w:rPr>
        <w:t>June 30, 2023</w:t>
      </w:r>
      <w:r>
        <w:rPr>
          <w:rFonts w:ascii="Times New Roman" w:hAnsi="Times New Roman"/>
          <w:caps w:val="false"/>
          <w:smallCaps w:val="false"/>
          <w:sz w:val="20"/>
        </w:rPr>
        <w:t xml:space="preserve"> are as follows:</w:t>
      </w:r>
    </w:p>
    <w:p>
      <w:pPr>
        <w:pStyle w:val="TextBody"/>
        <w:bidi w:val="0"/>
        <w:spacing w:before="0" w:after="0"/>
        <w:ind w:left="0" w:right="0" w:hanging="0"/>
        <w:jc w:val="both"/>
        <w:rPr>
          <w:caps w:val="false"/>
          <w:smallCaps w:val="false"/>
        </w:rPr>
      </w:pPr>
      <w:r>
        <w:rPr>
          <w:caps w:val="false"/>
          <w:smallCaps w:val="false"/>
        </w:rPr>
        <w:t> </w:t>
      </w:r>
    </w:p>
    <w:tbl>
      <w:tblPr>
        <w:tblW w:w="2355" w:type="dxa"/>
        <w:jc w:val="left"/>
        <w:tblInd w:w="0" w:type="dxa"/>
        <w:tblLayout w:type="fixed"/>
        <w:tblCellMar>
          <w:top w:w="0" w:type="dxa"/>
          <w:left w:w="0" w:type="dxa"/>
          <w:bottom w:w="0" w:type="dxa"/>
          <w:right w:w="0" w:type="dxa"/>
        </w:tblCellMar>
      </w:tblPr>
      <w:tblGrid>
        <w:gridCol w:w="455"/>
        <w:gridCol w:w="60"/>
        <w:gridCol w:w="125"/>
        <w:gridCol w:w="1655"/>
        <w:gridCol w:w="60"/>
      </w:tblGrid>
      <w:tr>
        <w:trPr/>
        <w:tc>
          <w:tcPr>
            <w:tcW w:w="45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655" w:type="dxa"/>
            <w:tcBorders>
              <w:bottom w:val="single" w:sz="2" w:space="0" w:color="000000"/>
            </w:tcBorders>
            <w:shd w:fill="FFFFFF" w:val="clear"/>
            <w:tcMar>
              <w:bottom w:w="28" w:type="dxa"/>
            </w:tcMar>
            <w:vAlign w:val="center"/>
          </w:tcPr>
          <w:p>
            <w:pPr>
              <w:pStyle w:val="TableContents"/>
              <w:bidi w:val="0"/>
              <w:spacing w:before="0" w:after="0"/>
              <w:jc w:val="right"/>
              <w:rPr/>
            </w:pPr>
            <w:r>
              <w:rPr>
                <w:rStyle w:val="Emphasis"/>
                <w:rFonts w:ascii="Times New Roman" w:hAnsi="Times New Roman"/>
                <w:b/>
                <w:sz w:val="20"/>
              </w:rPr>
              <w:t>As of June 30, 2023</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4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65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1,608</w:t>
            </w:r>
          </w:p>
        </w:tc>
        <w:tc>
          <w:tcPr>
            <w:tcW w:w="60" w:type="dxa"/>
            <w:tcBorders/>
            <w:shd w:fill="CCEEFF" w:val="clear"/>
            <w:vAlign w:val="center"/>
          </w:tcPr>
          <w:p>
            <w:pPr>
              <w:pStyle w:val="TableContents"/>
              <w:bidi w:val="0"/>
              <w:spacing w:before="0" w:after="283"/>
              <w:jc w:val="left"/>
              <w:rPr/>
            </w:pPr>
            <w:r>
              <w:rPr/>
              <w:t> </w:t>
            </w:r>
          </w:p>
        </w:tc>
      </w:tr>
      <w:tr>
        <w:trPr/>
        <w:tc>
          <w:tcPr>
            <w:tcW w:w="4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6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1,628</w:t>
            </w:r>
          </w:p>
        </w:tc>
        <w:tc>
          <w:tcPr>
            <w:tcW w:w="60" w:type="dxa"/>
            <w:tcBorders/>
            <w:shd w:fill="FFFFFF" w:val="clear"/>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28,217</w:t>
            </w:r>
          </w:p>
        </w:tc>
        <w:tc>
          <w:tcPr>
            <w:tcW w:w="60" w:type="dxa"/>
            <w:tcBorders/>
            <w:shd w:fill="CCEEFF" w:val="clear"/>
            <w:vAlign w:val="center"/>
          </w:tcPr>
          <w:p>
            <w:pPr>
              <w:pStyle w:val="TableContents"/>
              <w:bidi w:val="0"/>
              <w:spacing w:before="0" w:after="283"/>
              <w:jc w:val="left"/>
              <w:rPr/>
            </w:pPr>
            <w:r>
              <w:rPr/>
              <w:t> </w:t>
            </w:r>
          </w:p>
        </w:tc>
      </w:tr>
      <w:tr>
        <w:trPr/>
        <w:tc>
          <w:tcPr>
            <w:tcW w:w="4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6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31,453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2023</w:t>
      </w:r>
      <w:r>
        <w:rPr>
          <w:rFonts w:ascii="Times New Roman" w:hAnsi="Times New Roman"/>
          <w:caps w:val="false"/>
          <w:smallCaps w:val="false"/>
          <w:sz w:val="20"/>
        </w:rPr>
        <w:t xml:space="preserve">, the Company did not make any principal repayments. Pursuant to consent agreements entered into by and between the Company and certain of its subsidiaries as guarantors, Madryn and CNB as of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July 28, 2023, </w:t>
      </w:r>
      <w:r>
        <w:rPr>
          <w:rFonts w:ascii="Times New Roman" w:hAnsi="Times New Roman"/>
          <w:caps w:val="false"/>
          <w:smallCaps w:val="false"/>
          <w:sz w:val="20"/>
        </w:rPr>
        <w:t xml:space="preserve">the Company paid the </w:t>
      </w:r>
      <w:r>
        <w:rPr>
          <w:rStyle w:val="Emphasis"/>
          <w:rFonts w:ascii="Times New Roman" w:hAnsi="Times New Roman"/>
          <w:caps w:val="false"/>
          <w:smallCaps w:val="false"/>
          <w:sz w:val="20"/>
        </w:rPr>
        <w:t>Q2</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interest payable under the Notes on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by adding such </w:t>
      </w:r>
      <w:r>
        <w:rPr>
          <w:rStyle w:val="Emphasis"/>
          <w:rFonts w:ascii="Times New Roman" w:hAnsi="Times New Roman"/>
          <w:caps w:val="false"/>
          <w:smallCaps w:val="false"/>
          <w:sz w:val="20"/>
        </w:rPr>
        <w:t>Q2</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interest to the outstanding principal of the applicable Notes. Cash payment of the </w:t>
      </w:r>
      <w:r>
        <w:rPr>
          <w:rStyle w:val="Emphasis"/>
          <w:rFonts w:ascii="Times New Roman" w:hAnsi="Times New Roman"/>
          <w:caps w:val="false"/>
          <w:smallCaps w:val="false"/>
          <w:sz w:val="20"/>
        </w:rPr>
        <w:t>Q2</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interest under the Notes and all accrued and unpaid interest, was deferred until </w:t>
      </w:r>
      <w:r>
        <w:rPr>
          <w:rStyle w:val="Emphasis"/>
          <w:rFonts w:ascii="Times New Roman" w:hAnsi="Times New Roman"/>
          <w:caps w:val="false"/>
          <w:smallCaps w:val="false"/>
          <w:sz w:val="20"/>
        </w:rPr>
        <w:t xml:space="preserve">August 15, 2023 </w:t>
      </w:r>
      <w:r>
        <w:rPr>
          <w:rFonts w:ascii="Times New Roman" w:hAnsi="Times New Roman"/>
          <w:caps w:val="false"/>
          <w:smallCaps w:val="false"/>
          <w:sz w:val="20"/>
        </w:rPr>
        <w:t xml:space="preserve">or such later date as the Madryn Noteholders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confirm from time to time in writing in their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12.</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CREDIT FACILITY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29, 2018, </w:t>
      </w:r>
      <w:r>
        <w:rPr>
          <w:rFonts w:ascii="Times New Roman" w:hAnsi="Times New Roman"/>
          <w:caps w:val="false"/>
          <w:smallCaps w:val="false"/>
          <w:sz w:val="20"/>
        </w:rPr>
        <w:t xml:space="preserve">Venus Ltd. entered into an Amended and Restated Loan Agreement as a guarantor with CNB, as amended on </w:t>
      </w:r>
      <w:r>
        <w:rPr>
          <w:rStyle w:val="Emphasis"/>
          <w:rFonts w:ascii="Times New Roman" w:hAnsi="Times New Roman"/>
          <w:caps w:val="false"/>
          <w:smallCaps w:val="false"/>
          <w:sz w:val="20"/>
        </w:rPr>
        <w:t xml:space="preserve">March 20, 2020, December 9, 2020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August 26, 2021 (</w:t>
      </w:r>
      <w:r>
        <w:rPr>
          <w:rFonts w:ascii="Times New Roman" w:hAnsi="Times New Roman"/>
          <w:caps w:val="false"/>
          <w:smallCaps w:val="false"/>
          <w:sz w:val="20"/>
        </w:rPr>
        <w:t xml:space="preserve">the “CNB Loan Agreement”), pursuant to which CNB agreed to make certain loans and other financial accommodations to certain of Venus Ltd.’s subsidiaries to be used to finance working capital requirements. In connection with the CNB Loan Agreement, Venus Ltd. also entered into a guaranty agreement with CNB dated as of </w:t>
      </w:r>
      <w:r>
        <w:rPr>
          <w:rStyle w:val="Emphasis"/>
          <w:rFonts w:ascii="Times New Roman" w:hAnsi="Times New Roman"/>
          <w:caps w:val="false"/>
          <w:smallCaps w:val="false"/>
          <w:sz w:val="20"/>
        </w:rPr>
        <w:t xml:space="preserve">August 29, 2018, </w:t>
      </w:r>
      <w:r>
        <w:rPr>
          <w:rFonts w:ascii="Times New Roman" w:hAnsi="Times New Roman"/>
          <w:caps w:val="false"/>
          <w:smallCaps w:val="false"/>
          <w:sz w:val="20"/>
        </w:rPr>
        <w:t xml:space="preserve">as amended on </w:t>
      </w:r>
      <w:r>
        <w:rPr>
          <w:rStyle w:val="Emphasis"/>
          <w:rFonts w:ascii="Times New Roman" w:hAnsi="Times New Roman"/>
          <w:caps w:val="false"/>
          <w:smallCaps w:val="false"/>
          <w:sz w:val="20"/>
        </w:rPr>
        <w:t xml:space="preserve">March 20, 2020, December 9, 2020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August 26, 2021 (</w:t>
      </w:r>
      <w:r>
        <w:rPr>
          <w:rFonts w:ascii="Times New Roman" w:hAnsi="Times New Roman"/>
          <w:caps w:val="false"/>
          <w:smallCaps w:val="false"/>
          <w:sz w:val="20"/>
        </w:rPr>
        <w:t xml:space="preserve">the “CNB Guaranty”), pursuant to which Venus Ltd. agreed to guaranty the obligations of its subsidiaries under the CNB Loan Agreement. On </w:t>
      </w:r>
      <w:r>
        <w:rPr>
          <w:rStyle w:val="Emphasis"/>
          <w:rFonts w:ascii="Times New Roman" w:hAnsi="Times New Roman"/>
          <w:caps w:val="false"/>
          <w:smallCaps w:val="false"/>
          <w:sz w:val="20"/>
        </w:rPr>
        <w:t xml:space="preserve">March 20, 2020, </w:t>
      </w:r>
      <w:r>
        <w:rPr>
          <w:rFonts w:ascii="Times New Roman" w:hAnsi="Times New Roman"/>
          <w:caps w:val="false"/>
          <w:smallCaps w:val="false"/>
          <w:sz w:val="20"/>
        </w:rPr>
        <w:t xml:space="preserve">the Company also entered into a Security Agreement with CNB (the “CNB Security Agreement”), as amended on </w:t>
      </w:r>
      <w:r>
        <w:rPr>
          <w:rStyle w:val="Emphasis"/>
          <w:rFonts w:ascii="Times New Roman" w:hAnsi="Times New Roman"/>
          <w:caps w:val="false"/>
          <w:smallCaps w:val="false"/>
          <w:sz w:val="20"/>
        </w:rPr>
        <w:t xml:space="preserve">December 9, 2020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August 26, 2021, </w:t>
      </w:r>
      <w:r>
        <w:rPr>
          <w:rFonts w:ascii="Times New Roman" w:hAnsi="Times New Roman"/>
          <w:caps w:val="false"/>
          <w:smallCaps w:val="false"/>
          <w:sz w:val="20"/>
        </w:rPr>
        <w:t>pursuant to which it agreed to grant CNB a security interest in substantially all of our assets to secure the obligations under the CNB Loan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CNB Loan Agreement contains various covenants that limit the Company’s ability to engage in specified types of transactions. Subject to limited exceptions, these covenants limit the Company’s ability, without CNB’s consent, to, among other things, sell, lease, transfer, exclusively license or dispose of the Company’s assets, incur, create, or permit to exist additional indebtedness, or liens, to make dividends and certain other restricted payments, and to make certain changes to its management and/or ownership structure. The Company is required to maintain $3,000 in cash in a deposit account maintained with CNB at all times during the term of the CNB Loan Agreement. In addition, the CNB Loan Agreement contains certain covenants that require the Company to achieve certain minimum account balances, or a minimum debt service coverage ratio and a maximum total liability to tangible net worth ratio. If the Company fails to comply with these covenants, it will result in a default and require the Company to repay all outstanding principal amounts and any accrued interest. In connection with the CNB Loan Agreement, a loan fee of $1,000 was paid in equal installments on </w:t>
      </w:r>
      <w:r>
        <w:rPr>
          <w:rStyle w:val="Emphasis"/>
          <w:rFonts w:ascii="Times New Roman" w:hAnsi="Times New Roman"/>
          <w:caps w:val="false"/>
          <w:smallCaps w:val="false"/>
          <w:sz w:val="20"/>
        </w:rPr>
        <w:t xml:space="preserve"> January 25,  February 25,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March 25,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26, 2021, </w:t>
      </w:r>
      <w:r>
        <w:rPr>
          <w:rFonts w:ascii="Times New Roman" w:hAnsi="Times New Roman"/>
          <w:caps w:val="false"/>
          <w:smallCaps w:val="false"/>
          <w:sz w:val="20"/>
        </w:rPr>
        <w:t>the Company, Venus USA and Venus Canada entered into a Fourth Amended and Restated Loan Agreement (the “Amended CNB Loan Agreement”) with CNB, pursuant to which, among other things, (i) the maximum principal amount the revolving credit facility was reduced from $10,000 to $5,000 at the LIBOR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-Day rate plus 3.25%, subject to a minimum LIBOR rate floor of 0.50%, and (ii) beginning </w:t>
      </w:r>
      <w:r>
        <w:rPr>
          <w:rStyle w:val="Emphasis"/>
          <w:rFonts w:ascii="Times New Roman" w:hAnsi="Times New Roman"/>
          <w:caps w:val="false"/>
          <w:smallCaps w:val="false"/>
          <w:sz w:val="20"/>
        </w:rPr>
        <w:t xml:space="preserve">December 10, 2021, </w:t>
      </w:r>
      <w:r>
        <w:rPr>
          <w:rFonts w:ascii="Times New Roman" w:hAnsi="Times New Roman"/>
          <w:caps w:val="false"/>
          <w:smallCaps w:val="false"/>
          <w:sz w:val="20"/>
        </w:rPr>
        <w:t xml:space="preserve">the cash deposit requirement was reduced from $3,000 to $1,500, to be maintained with CNB at all times during the term of the Amended CNB Loan Agreement. The Amended CNB Loan Agreement is secured by substantially all of the Company’s assets and the assets of certain of its subsidiaries. On </w:t>
      </w:r>
      <w:r>
        <w:rPr>
          <w:rStyle w:val="Emphasis"/>
          <w:rFonts w:ascii="Times New Roman" w:hAnsi="Times New Roman"/>
          <w:caps w:val="false"/>
          <w:smallCaps w:val="false"/>
          <w:sz w:val="20"/>
        </w:rPr>
        <w:t xml:space="preserve">February 22, 2023, </w:t>
      </w:r>
      <w:r>
        <w:rPr>
          <w:rFonts w:ascii="Times New Roman" w:hAnsi="Times New Roman"/>
          <w:caps w:val="false"/>
          <w:smallCaps w:val="false"/>
          <w:sz w:val="20"/>
        </w:rPr>
        <w:t xml:space="preserve">CNB notified the Company that it would be temporarily restricting advances under the Fourth Amended and Restated CNB Loan Agreement pursuant to its rights under Section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of the agreement. CNB and the Company continue to discuss lifting the restrictions on advances under the credit facility. However, CNB and the Company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agreed to the criteria the Company must satisfy in order to lift the restrictions on advances under the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the Company was in compliance with all required covenants. An event of default under this agreement would cause a default under the MSLP Loan (see Note </w:t>
      </w:r>
      <w:r>
        <w:rPr>
          <w:rStyle w:val="Emphasis"/>
          <w:rFonts w:ascii="Times New Roman" w:hAnsi="Times New Roman"/>
          <w:caps w:val="false"/>
          <w:smallCaps w:val="false"/>
          <w:sz w:val="20"/>
        </w:rPr>
        <w:t>10</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connection with the Amended CNB Loan Agreement, the Company, Venus USA and Venus Canada issued a promissory note dated </w:t>
      </w:r>
      <w:r>
        <w:rPr>
          <w:rStyle w:val="Emphasis"/>
          <w:rFonts w:ascii="Times New Roman" w:hAnsi="Times New Roman"/>
          <w:caps w:val="false"/>
          <w:smallCaps w:val="false"/>
          <w:sz w:val="20"/>
        </w:rPr>
        <w:t xml:space="preserve">August 26, 2021, </w:t>
      </w:r>
      <w:r>
        <w:rPr>
          <w:rFonts w:ascii="Times New Roman" w:hAnsi="Times New Roman"/>
          <w:caps w:val="false"/>
          <w:smallCaps w:val="false"/>
          <w:sz w:val="20"/>
        </w:rPr>
        <w:t>in favor of CNB (the “CNB Note”) in the amount of $5,000 with a maturity date of </w:t>
      </w:r>
      <w:r>
        <w:rPr>
          <w:rStyle w:val="Emphasis"/>
          <w:rFonts w:ascii="Times New Roman" w:hAnsi="Times New Roman"/>
          <w:caps w:val="false"/>
          <w:smallCaps w:val="false"/>
          <w:sz w:val="20"/>
        </w:rPr>
        <w:t xml:space="preserve"> July 24, 2023 </w:t>
      </w:r>
      <w:r>
        <w:rPr>
          <w:rFonts w:ascii="Times New Roman" w:hAnsi="Times New Roman"/>
          <w:caps w:val="false"/>
          <w:smallCaps w:val="false"/>
          <w:sz w:val="20"/>
        </w:rPr>
        <w:t xml:space="preserve">and the obligations of the Company pursuant to certain of the Company’s outstanding promissory notes were reaffirmed as subordinated to the indebtedness of the Company owing to CNB pursuant to a Supplement to Subordination of Debt Agreements dated as of </w:t>
      </w:r>
      <w:r>
        <w:rPr>
          <w:rStyle w:val="Emphasis"/>
          <w:rFonts w:ascii="Times New Roman" w:hAnsi="Times New Roman"/>
          <w:caps w:val="false"/>
          <w:smallCaps w:val="false"/>
          <w:sz w:val="20"/>
        </w:rPr>
        <w:t>August 26, 2021 </w:t>
      </w:r>
      <w:r>
        <w:rPr>
          <w:rFonts w:ascii="Times New Roman" w:hAnsi="Times New Roman"/>
          <w:caps w:val="false"/>
          <w:smallCaps w:val="false"/>
          <w:sz w:val="20"/>
        </w:rPr>
        <w:t>by and among Madryn Health Partners, LP, Madryn Health Partners (Cayman Master), LP, the Company and CNB.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13.</w:t>
      </w:r>
      <w:r>
        <w:rPr>
          <w:rFonts w:ascii="Times New Roman" w:hAnsi="Times New Roman"/>
          <w:b/>
          <w:caps w:val="false"/>
          <w:smallCaps w:val="false"/>
          <w:sz w:val="20"/>
        </w:rPr>
        <w:t xml:space="preserve"> COMMON STOCK RESERVED FOR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required to reserve and keep available out of its authorized but unissued shares of common stock a number of shares sufficient to affect the exercise of all options granted and available for grant under the incentive plans and warrants to purchase common stock.</w:t>
      </w:r>
    </w:p>
    <w:p>
      <w:pPr>
        <w:pStyle w:val="TextBody"/>
        <w:bidi w:val="0"/>
        <w:spacing w:before="0" w:after="0"/>
        <w:ind w:left="0" w:right="0" w:hanging="0"/>
        <w:jc w:val="left"/>
        <w:rPr>
          <w:caps w:val="false"/>
          <w:smallCaps w:val="false"/>
        </w:rPr>
      </w:pPr>
      <w:r>
        <w:rPr>
          <w:caps w:val="false"/>
          <w:smallCaps w:val="false"/>
        </w:rPr>
        <w:t> </w:t>
      </w:r>
    </w:p>
    <w:tbl>
      <w:tblPr>
        <w:tblW w:w="9178" w:type="dxa"/>
        <w:jc w:val="left"/>
        <w:tblInd w:w="0" w:type="dxa"/>
        <w:tblLayout w:type="fixed"/>
        <w:tblCellMar>
          <w:top w:w="0" w:type="dxa"/>
          <w:left w:w="0" w:type="dxa"/>
          <w:bottom w:w="0" w:type="dxa"/>
          <w:right w:w="0" w:type="dxa"/>
        </w:tblCellMar>
      </w:tblPr>
      <w:tblGrid>
        <w:gridCol w:w="6140"/>
        <w:gridCol w:w="60"/>
        <w:gridCol w:w="70"/>
        <w:gridCol w:w="1119"/>
        <w:gridCol w:w="60"/>
        <w:gridCol w:w="60"/>
        <w:gridCol w:w="106"/>
        <w:gridCol w:w="1503"/>
        <w:gridCol w:w="60"/>
      </w:tblGrid>
      <w:tr>
        <w:trPr/>
        <w:tc>
          <w:tcPr>
            <w:tcW w:w="6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2022</w:t>
            </w:r>
          </w:p>
        </w:tc>
        <w:tc>
          <w:tcPr>
            <w:tcW w:w="6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common stock warrants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1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1,061,930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15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1,061,930</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6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Outstanding stock options and RSUs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11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1,019,837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150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875,524</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6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Preferred shares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11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2,872,518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150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2,123,443</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6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Shares reserved for conversion of future non-voting preferred share issuance</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119"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150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80,617</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6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Shares reserved for conversion of future voting preferred share issuance</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11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7,860,916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150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609,891</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6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Shares reserved for future option grants and RSUs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11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64,292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150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24,999</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6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Shares reserved for Lincoln Park</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11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711,180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150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1,054,299</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6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Shares reserved for Madryn Noteholders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19"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558,666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50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547,714</w:t>
            </w:r>
          </w:p>
        </w:tc>
        <w:tc>
          <w:tcPr>
            <w:tcW w:w="6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common stock reserved for issuance</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14,149,339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6,378,417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caps w:val="false"/>
          <w:smallCaps w:val="false"/>
          <w:sz w:val="20"/>
        </w:rPr>
        <w:t>14.</w:t>
      </w:r>
      <w:r>
        <w:rPr>
          <w:rFonts w:ascii="Times New Roman;Times;serif" w:hAnsi="Times New Roman;Times;serif"/>
          <w:b/>
          <w:caps w:val="false"/>
          <w:smallCaps w:val="false"/>
          <w:sz w:val="20"/>
        </w:rPr>
        <w:t xml:space="preserve">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Company’s common stock confers upon its holders the following rights: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The right to participate and vote in the Company’s stockholder meetings, whether annual or special. Each share will entitle its holder, when attending and participating in the voting in person or via proxy, to </w:t>
            </w:r>
            <w:r>
              <w:rPr>
                <w:rStyle w:val="Emphasis"/>
                <w:rFonts w:ascii="Times New Roman;Times;serif" w:hAnsi="Times New Roman;Times;serif"/>
                <w:caps w:val="false"/>
                <w:smallCaps w:val="false"/>
                <w:sz w:val="20"/>
              </w:rPr>
              <w:t>one</w:t>
            </w:r>
            <w:r>
              <w:rPr>
                <w:rFonts w:ascii="Times New Roman;Times;serif" w:hAnsi="Times New Roman;Times;serif"/>
                <w:caps w:val="false"/>
                <w:smallCaps w:val="false"/>
                <w:sz w:val="20"/>
              </w:rPr>
              <w:t xml:space="preserve"> vote;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right to a share in the distribution of dividends, whether in cash or in the form of bonus shares, the distribution of assets or any other distribution pro rata to the par value of the shares held by them;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right to a share in the distribution of the Company’s excess assets upon liquidation pro rata to the par value of the shares held by them.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At the annual and special meeting of the Company’s shareholders held on </w:t>
      </w:r>
      <w:r>
        <w:rPr>
          <w:rStyle w:val="Emphasis"/>
          <w:rFonts w:ascii="Times New Roman" w:hAnsi="Times New Roman"/>
          <w:caps w:val="false"/>
          <w:smallCaps w:val="false"/>
          <w:sz w:val="20"/>
        </w:rPr>
        <w:t xml:space="preserve"> May 10, 2023, </w:t>
      </w:r>
      <w:r>
        <w:rPr>
          <w:rFonts w:ascii="Times New Roman" w:hAnsi="Times New Roman"/>
          <w:caps w:val="false"/>
          <w:smallCaps w:val="false"/>
          <w:sz w:val="20"/>
        </w:rPr>
        <w:t>the Company’s shareholders granted the Company’s Board of Directors discretionary authority to implement the Reverse Stock Split and to fix the specific consolidation ratio within a range of </w:t>
      </w:r>
      <w:r>
        <w:rPr>
          <w:rStyle w:val="Emphasis"/>
          <w:rFonts w:ascii="Times New Roman" w:hAnsi="Times New Roman"/>
          <w:caps w:val="false"/>
          <w:smallCaps w:val="false"/>
          <w:sz w:val="20"/>
        </w:rPr>
        <w:t>one</w:t>
      </w:r>
      <w:r>
        <w:rPr>
          <w:rFonts w:ascii="Times New Roman" w:hAnsi="Times New Roman"/>
          <w:caps w:val="false"/>
          <w:smallCaps w:val="false"/>
          <w:sz w:val="20"/>
        </w:rPr>
        <w:t>-for-</w:t>
      </w:r>
      <w:r>
        <w:rPr>
          <w:rStyle w:val="Emphasis"/>
          <w:rFonts w:ascii="Times New Roman" w:hAnsi="Times New Roman"/>
          <w:caps w:val="false"/>
          <w:smallCaps w:val="false"/>
          <w:sz w:val="20"/>
        </w:rPr>
        <w:t>five</w:t>
      </w:r>
      <w:r>
        <w:rPr>
          <w:rFonts w:ascii="Times New Roman" w:hAnsi="Times New Roman"/>
          <w:caps w:val="false"/>
          <w:smallCaps w:val="false"/>
          <w:sz w:val="20"/>
        </w:rPr>
        <w:t>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-for-5) to </w:t>
      </w:r>
      <w:r>
        <w:rPr>
          <w:rStyle w:val="Emphasis"/>
          <w:rFonts w:ascii="Times New Roman" w:hAnsi="Times New Roman"/>
          <w:caps w:val="false"/>
          <w:smallCaps w:val="false"/>
          <w:sz w:val="20"/>
        </w:rPr>
        <w:t>one</w:t>
      </w:r>
      <w:r>
        <w:rPr>
          <w:rFonts w:ascii="Times New Roman" w:hAnsi="Times New Roman"/>
          <w:caps w:val="false"/>
          <w:smallCaps w:val="false"/>
          <w:sz w:val="20"/>
        </w:rPr>
        <w:t>-for-</w:t>
      </w:r>
      <w:r>
        <w:rPr>
          <w:rStyle w:val="Emphasis"/>
          <w:rFonts w:ascii="Times New Roman" w:hAnsi="Times New Roman"/>
          <w:caps w:val="false"/>
          <w:smallCaps w:val="false"/>
          <w:sz w:val="20"/>
        </w:rPr>
        <w:t>fifteen</w:t>
      </w:r>
      <w:r>
        <w:rPr>
          <w:rFonts w:ascii="Times New Roman" w:hAnsi="Times New Roman"/>
          <w:caps w:val="false"/>
          <w:smallCaps w:val="false"/>
          <w:sz w:val="20"/>
        </w:rPr>
        <w:t> (</w:t>
      </w:r>
      <w:r>
        <w:rPr>
          <w:rStyle w:val="Emphasis"/>
          <w:rFonts w:ascii="Times New Roman" w:hAnsi="Times New Roman"/>
          <w:caps w:val="false"/>
          <w:smallCaps w:val="false"/>
          <w:sz w:val="20"/>
        </w:rPr>
        <w:t>1</w:t>
      </w:r>
      <w:r>
        <w:rPr>
          <w:rFonts w:ascii="Times New Roman" w:hAnsi="Times New Roman"/>
          <w:caps w:val="false"/>
          <w:smallCaps w:val="false"/>
          <w:sz w:val="20"/>
        </w:rPr>
        <w:t>-for-15). On </w:t>
      </w:r>
      <w:r>
        <w:rPr>
          <w:rStyle w:val="Emphasis"/>
          <w:rFonts w:ascii="Times New Roman" w:hAnsi="Times New Roman"/>
          <w:caps w:val="false"/>
          <w:smallCaps w:val="false"/>
          <w:sz w:val="20"/>
        </w:rPr>
        <w:t xml:space="preserve"> May 11, 2023, </w:t>
      </w:r>
      <w:r>
        <w:rPr>
          <w:rFonts w:ascii="Times New Roman" w:hAnsi="Times New Roman"/>
          <w:caps w:val="false"/>
          <w:smallCaps w:val="false"/>
          <w:sz w:val="20"/>
        </w:rPr>
        <w:t>the Company filed an amendment to the Company’s Certificate of Incorporation to implement the Reverse Stock Split based on a </w:t>
      </w:r>
      <w:r>
        <w:rPr>
          <w:rStyle w:val="Emphasis"/>
          <w:rFonts w:ascii="Times New Roman" w:hAnsi="Times New Roman"/>
          <w:caps w:val="false"/>
          <w:smallCaps w:val="false"/>
          <w:sz w:val="20"/>
        </w:rPr>
        <w:t>one</w:t>
      </w:r>
      <w:r>
        <w:rPr>
          <w:rFonts w:ascii="Times New Roman" w:hAnsi="Times New Roman"/>
          <w:caps w:val="false"/>
          <w:smallCaps w:val="false"/>
          <w:sz w:val="20"/>
        </w:rPr>
        <w:t>-for-</w:t>
      </w:r>
      <w:r>
        <w:rPr>
          <w:rStyle w:val="Emphasis"/>
          <w:rFonts w:ascii="Times New Roman" w:hAnsi="Times New Roman"/>
          <w:caps w:val="false"/>
          <w:smallCaps w:val="false"/>
          <w:sz w:val="20"/>
        </w:rPr>
        <w:t>fifteen</w:t>
      </w:r>
      <w:r>
        <w:rPr>
          <w:rFonts w:ascii="Times New Roman" w:hAnsi="Times New Roman"/>
          <w:caps w:val="false"/>
          <w:smallCaps w:val="false"/>
          <w:sz w:val="20"/>
        </w:rPr>
        <w:t> (</w:t>
      </w:r>
      <w:r>
        <w:rPr>
          <w:rStyle w:val="Emphasis"/>
          <w:rFonts w:ascii="Times New Roman" w:hAnsi="Times New Roman"/>
          <w:caps w:val="false"/>
          <w:smallCaps w:val="false"/>
          <w:sz w:val="20"/>
        </w:rPr>
        <w:t>1</w:t>
      </w:r>
      <w:r>
        <w:rPr>
          <w:rFonts w:ascii="Times New Roman" w:hAnsi="Times New Roman"/>
          <w:caps w:val="false"/>
          <w:smallCaps w:val="false"/>
          <w:sz w:val="20"/>
        </w:rPr>
        <w:t>-for-15) consolidation ratio. The Company’s common shares began trading on the Nasdaq Capital Market on a reverse split-adjusted basis under the Company’s existing trade symbol “VERO” at the opening of the market on </w:t>
      </w:r>
      <w:r>
        <w:rPr>
          <w:rStyle w:val="Emphasis"/>
          <w:rFonts w:ascii="Times New Roman" w:hAnsi="Times New Roman"/>
          <w:caps w:val="false"/>
          <w:smallCaps w:val="false"/>
          <w:sz w:val="20"/>
        </w:rPr>
        <w:t xml:space="preserve"> May 12, 2023. </w:t>
      </w:r>
      <w:r>
        <w:rPr>
          <w:rFonts w:ascii="Times New Roman" w:hAnsi="Times New Roman"/>
          <w:caps w:val="false"/>
          <w:smallCaps w:val="false"/>
          <w:sz w:val="20"/>
        </w:rPr>
        <w:t>In accordance with U.S. GAAP, the change has been applied retroactively.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Equity Purchase Agreement with Lincoln Park</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On </w:t>
      </w:r>
      <w:r>
        <w:rPr>
          <w:rStyle w:val="Emphasis"/>
          <w:rFonts w:ascii="Times New Roman;Times;serif" w:hAnsi="Times New Roman;Times;serif"/>
          <w:sz w:val="20"/>
        </w:rPr>
        <w:t xml:space="preserve">June 16, 2020, </w:t>
      </w:r>
      <w:r>
        <w:rPr>
          <w:rFonts w:ascii="Times New Roman;Times;serif" w:hAnsi="Times New Roman;Times;serif"/>
          <w:sz w:val="20"/>
        </w:rPr>
        <w:t xml:space="preserve">the Company entered into the Equity Purchase Agreement with Lincoln Park, which provides that, upon the terms and subject to the conditions and limitations set forth therein, the Company </w:t>
      </w:r>
      <w:r>
        <w:rPr>
          <w:rStyle w:val="Emphasis"/>
          <w:rFonts w:ascii="Times New Roman;Times;serif" w:hAnsi="Times New Roman;Times;serif"/>
          <w:sz w:val="20"/>
        </w:rPr>
        <w:t xml:space="preserve">may </w:t>
      </w:r>
      <w:r>
        <w:rPr>
          <w:rFonts w:ascii="Times New Roman;Times;serif" w:hAnsi="Times New Roman;Times;serif"/>
          <w:sz w:val="20"/>
        </w:rPr>
        <w:t xml:space="preserve">sell to Lincoln Park up to $31,000 worth of shares of its common stock, par value $0.0001 per share, pursuant to its shelf registration statement. The purchase price of shares of common stock related to a future sale will be based on the then prevailing market prices of such shares at the time of sales as described in the Equity Purchase Agreement. The aggregate number of shares that the Company can sell to Lincoln Park under the Equity Purchase Agreement </w:t>
      </w:r>
      <w:r>
        <w:rPr>
          <w:rStyle w:val="Emphasis"/>
          <w:rFonts w:ascii="Times New Roman;Times;serif" w:hAnsi="Times New Roman;Times;serif"/>
          <w:sz w:val="20"/>
        </w:rPr>
        <w:t xml:space="preserve">may </w:t>
      </w:r>
      <w:r>
        <w:rPr>
          <w:rFonts w:ascii="Times New Roman;Times;serif" w:hAnsi="Times New Roman;Times;serif"/>
          <w:sz w:val="20"/>
        </w:rPr>
        <w:t xml:space="preserve">in </w:t>
      </w:r>
      <w:r>
        <w:rPr>
          <w:rStyle w:val="Emphasis"/>
          <w:rFonts w:ascii="Times New Roman;Times;serif" w:hAnsi="Times New Roman;Times;serif"/>
          <w:sz w:val="20"/>
        </w:rPr>
        <w:t>no</w:t>
      </w:r>
      <w:r>
        <w:rPr>
          <w:rFonts w:ascii="Times New Roman;Times;serif" w:hAnsi="Times New Roman;Times;serif"/>
          <w:sz w:val="20"/>
        </w:rPr>
        <w:t xml:space="preserve"> case exceed 517,560 shares (subject to adjustment) of common stock (which is equal to approximately 19.99% of the shares of the common stock outstanding immediately prior to the execution of the Equity Purchase Agreement) (the “Exchange Cap”), unless (i) stockholder approval is obtained to issue shares above the Exchange Cap, in which case the Exchange Cap will </w:t>
      </w:r>
      <w:r>
        <w:rPr>
          <w:rStyle w:val="Emphasis"/>
          <w:rFonts w:ascii="Times New Roman;Times;serif" w:hAnsi="Times New Roman;Times;serif"/>
          <w:sz w:val="20"/>
        </w:rPr>
        <w:t>no</w:t>
      </w:r>
      <w:r>
        <w:rPr>
          <w:rFonts w:ascii="Times New Roman;Times;serif" w:hAnsi="Times New Roman;Times;serif"/>
          <w:sz w:val="20"/>
        </w:rPr>
        <w:t xml:space="preserve"> longer apply, or (ii) with Equity Purchase Agreement equals or exceeds $59.6325 per share (subject to adjustment) (which represents the minimum price, as defined under Nasdaq Listing Rule </w:t>
      </w:r>
      <w:r>
        <w:rPr>
          <w:rStyle w:val="Emphasis"/>
          <w:rFonts w:ascii="Times New Roman;Times;serif" w:hAnsi="Times New Roman;Times;serif"/>
          <w:sz w:val="20"/>
        </w:rPr>
        <w:t>5635</w:t>
      </w:r>
      <w:r>
        <w:rPr>
          <w:rFonts w:ascii="Times New Roman;Times;serif" w:hAnsi="Times New Roman;Times;serif"/>
          <w:sz w:val="20"/>
        </w:rPr>
        <w:t xml:space="preserve">(d), on the Nasdaq Global Market immediately preceding the signing of the Equity Purchase Agreement, such that the transactions contemplated by the Equity Purchase Agreement are exempt from the Exchange Cap limitation under applicable Nasdaq rules. Also, at </w:t>
      </w:r>
      <w:r>
        <w:rPr>
          <w:rStyle w:val="Emphasis"/>
          <w:rFonts w:ascii="Times New Roman;Times;serif" w:hAnsi="Times New Roman;Times;serif"/>
          <w:sz w:val="20"/>
        </w:rPr>
        <w:t>no</w:t>
      </w:r>
      <w:r>
        <w:rPr>
          <w:rFonts w:ascii="Times New Roman;Times;serif" w:hAnsi="Times New Roman;Times;serif"/>
          <w:sz w:val="20"/>
        </w:rPr>
        <w:t xml:space="preserve"> time </w:t>
      </w:r>
      <w:r>
        <w:rPr>
          <w:rStyle w:val="Emphasis"/>
          <w:rFonts w:ascii="Times New Roman;Times;serif" w:hAnsi="Times New Roman;Times;serif"/>
          <w:sz w:val="20"/>
        </w:rPr>
        <w:t xml:space="preserve">may </w:t>
      </w:r>
      <w:r>
        <w:rPr>
          <w:rFonts w:ascii="Times New Roman;Times;serif" w:hAnsi="Times New Roman;Times;serif"/>
          <w:sz w:val="20"/>
        </w:rPr>
        <w:t>Lincoln Park (together with its affiliates) beneficially own more than 9.99% of the Company’s issued and outstanding common stock. Concurrently with entering into the Equity Purchase Agreement, the Company also entered into a registration rights agreement with Lincoln Park, pursuant to which it agreed to provide Lincoln Park with certain registration rights related to the shares of common stock issued under the Equity Purchase Agreement (the “Registration Rights Agreement”).</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From commencement to expiry on </w:t>
      </w:r>
      <w:r>
        <w:rPr>
          <w:rStyle w:val="Emphasis"/>
          <w:rFonts w:ascii="Times New Roman;Times;serif" w:hAnsi="Times New Roman;Times;serif"/>
          <w:caps w:val="false"/>
          <w:smallCaps w:val="false"/>
          <w:sz w:val="20"/>
        </w:rPr>
        <w:t xml:space="preserve">July 1, 2022, </w:t>
      </w:r>
      <w:r>
        <w:rPr>
          <w:rFonts w:ascii="Times New Roman;Times;serif" w:hAnsi="Times New Roman;Times;serif"/>
          <w:caps w:val="false"/>
          <w:smallCaps w:val="false"/>
          <w:sz w:val="20"/>
        </w:rPr>
        <w:t xml:space="preserve">the Company issued and sold to Lincoln Park 229,139 shares of its common stock at an average price of $40.50 per share, and 13,971 of these shares were issued to Lincoln Park as a commitment fee in connection with entering into the Equity Purchase Agreement (the “Commitment Shares”). The total value of the Commitment Shares of $620 together with the issuance costs of $123 were recorded as deferred issuance costs in the consolidated balance sheet at inception and were amortized into consolidated statements of stockholders’ equity proportionally based on proceeds received during the term of the Equity Purchase Agreement. In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the Company issued 26,666 shares of its common stock and the proceeds from common stock issuances as of </w:t>
      </w:r>
      <w:r>
        <w:rPr>
          <w:rStyle w:val="Emphasis"/>
          <w:rFonts w:ascii="Times New Roman;Times;serif" w:hAnsi="Times New Roman;Times;serif"/>
          <w:caps w:val="false"/>
          <w:smallCaps w:val="false"/>
          <w:sz w:val="20"/>
        </w:rPr>
        <w:t>December 31,</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were $272, with no issuance costs. The proceeds in the amount of $272 were recorded in the condensed consolidated statements of cash flows as net cash proceeds from issuance of common stock. The Equity Purchase Agreement expired on </w:t>
      </w:r>
      <w:r>
        <w:rPr>
          <w:rStyle w:val="Emphasis"/>
          <w:rFonts w:ascii="Times New Roman;Times;serif" w:hAnsi="Times New Roman;Times;serif"/>
          <w:caps w:val="false"/>
          <w:smallCaps w:val="false"/>
          <w:sz w:val="20"/>
        </w:rPr>
        <w:t xml:space="preserve">July 1, 2022, </w:t>
      </w:r>
      <w:r>
        <w:rPr>
          <w:rFonts w:ascii="Times New Roman;Times;serif" w:hAnsi="Times New Roman;Times;serif"/>
          <w:caps w:val="false"/>
          <w:smallCaps w:val="false"/>
          <w:sz w:val="20"/>
        </w:rPr>
        <w:t xml:space="preserve">and was replaced with the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LPC Purchase Agreement discussed below.</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Times;serif" w:hAnsi="Times New Roman;Times;serif"/>
          <w:i/>
          <w:sz w:val="20"/>
        </w:rPr>
        <w:t>2022</w:t>
      </w:r>
      <w:r>
        <w:rPr>
          <w:rFonts w:ascii="Times New Roman;Times;serif" w:hAnsi="Times New Roman;Times;serif"/>
          <w:i/>
          <w:sz w:val="20"/>
        </w:rPr>
        <w:t xml:space="preserve"> LPC Purchase Agreement with Lincoln Park</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On </w:t>
      </w:r>
      <w:r>
        <w:rPr>
          <w:rStyle w:val="Emphasis"/>
          <w:rFonts w:ascii="Times New Roman;Times;serif" w:hAnsi="Times New Roman;Times;serif"/>
          <w:sz w:val="20"/>
        </w:rPr>
        <w:t xml:space="preserve">July 12, 2022, </w:t>
      </w:r>
      <w:r>
        <w:rPr>
          <w:rFonts w:ascii="Times New Roman;Times;serif" w:hAnsi="Times New Roman;Times;serif"/>
          <w:sz w:val="20"/>
        </w:rPr>
        <w:t xml:space="preserve">the Company entered into the </w:t>
      </w:r>
      <w:r>
        <w:rPr>
          <w:rStyle w:val="Emphasis"/>
          <w:rFonts w:ascii="Times New Roman;Times;serif" w:hAnsi="Times New Roman;Times;serif"/>
          <w:sz w:val="20"/>
        </w:rPr>
        <w:t>2022</w:t>
      </w:r>
      <w:r>
        <w:rPr>
          <w:rFonts w:ascii="Times New Roman;Times;serif" w:hAnsi="Times New Roman;Times;serif"/>
          <w:sz w:val="20"/>
        </w:rPr>
        <w:t xml:space="preserve"> LPC Purchase Agreement with Lincoln Park, as the Equity Purchase Agreement expired on </w:t>
      </w:r>
      <w:r>
        <w:rPr>
          <w:rStyle w:val="Emphasis"/>
          <w:rFonts w:ascii="Times New Roman;Times;serif" w:hAnsi="Times New Roman;Times;serif"/>
          <w:sz w:val="20"/>
        </w:rPr>
        <w:t xml:space="preserve">July 1, 2022. </w:t>
      </w:r>
      <w:r>
        <w:rPr>
          <w:rFonts w:ascii="Times New Roman;Times;serif" w:hAnsi="Times New Roman;Times;serif"/>
          <w:sz w:val="20"/>
        </w:rPr>
        <w:t xml:space="preserve">The </w:t>
      </w:r>
      <w:r>
        <w:rPr>
          <w:rStyle w:val="Emphasis"/>
          <w:rFonts w:ascii="Times New Roman;Times;serif" w:hAnsi="Times New Roman;Times;serif"/>
          <w:sz w:val="20"/>
        </w:rPr>
        <w:t>2022</w:t>
      </w:r>
      <w:r>
        <w:rPr>
          <w:rFonts w:ascii="Times New Roman;Times;serif" w:hAnsi="Times New Roman;Times;serif"/>
          <w:sz w:val="20"/>
        </w:rPr>
        <w:t xml:space="preserve"> LPC Purchase Agreement provides that, upon the terms and subject to the conditions and limitations set forth therein, the Company </w:t>
      </w:r>
      <w:r>
        <w:rPr>
          <w:rStyle w:val="Emphasis"/>
          <w:rFonts w:ascii="Times New Roman;Times;serif" w:hAnsi="Times New Roman;Times;serif"/>
          <w:sz w:val="20"/>
        </w:rPr>
        <w:t xml:space="preserve">may </w:t>
      </w:r>
      <w:r>
        <w:rPr>
          <w:rFonts w:ascii="Times New Roman;Times;serif" w:hAnsi="Times New Roman;Times;serif"/>
          <w:sz w:val="20"/>
        </w:rPr>
        <w:t xml:space="preserve">sell to Lincoln Park up to $11,000 of shares (the “Purchase Shares”) of its common stock, par value $0.0001 per share. Concurrently with entering into the </w:t>
      </w:r>
      <w:r>
        <w:rPr>
          <w:rStyle w:val="Emphasis"/>
          <w:rFonts w:ascii="Times New Roman;Times;serif" w:hAnsi="Times New Roman;Times;serif"/>
          <w:sz w:val="20"/>
        </w:rPr>
        <w:t>2022</w:t>
      </w:r>
      <w:r>
        <w:rPr>
          <w:rFonts w:ascii="Times New Roman;Times;serif" w:hAnsi="Times New Roman;Times;serif"/>
          <w:sz w:val="20"/>
        </w:rPr>
        <w:t xml:space="preserve"> LPC Purchase Agreement, the Company also entered into a registration rights agreement (the </w:t>
      </w:r>
      <w:r>
        <w:rPr>
          <w:rStyle w:val="Emphasis"/>
          <w:rFonts w:ascii="Times New Roman;Times;serif" w:hAnsi="Times New Roman;Times;serif"/>
          <w:sz w:val="20"/>
        </w:rPr>
        <w:t>“2022</w:t>
      </w:r>
      <w:r>
        <w:rPr>
          <w:rFonts w:ascii="Times New Roman;Times;serif" w:hAnsi="Times New Roman;Times;serif"/>
          <w:sz w:val="20"/>
        </w:rPr>
        <w:t xml:space="preserve"> LPC Registration Rights Agreement”) with Lincoln Park, pursuant to which it agreed to provide Lincoln Park with certain registration rights related to the shares issued under the </w:t>
      </w:r>
      <w:r>
        <w:rPr>
          <w:rStyle w:val="Emphasis"/>
          <w:rFonts w:ascii="Times New Roman;Times;serif" w:hAnsi="Times New Roman;Times;serif"/>
          <w:sz w:val="20"/>
        </w:rPr>
        <w:t>2022</w:t>
      </w:r>
      <w:r>
        <w:rPr>
          <w:rFonts w:ascii="Times New Roman;Times;serif" w:hAnsi="Times New Roman;Times;serif"/>
          <w:sz w:val="20"/>
        </w:rPr>
        <w:t xml:space="preserve"> LPC Purchase Agreement. The aggregate number of shares that the Company can issue to Lincoln Park under the </w:t>
      </w:r>
      <w:r>
        <w:rPr>
          <w:rStyle w:val="Emphasis"/>
          <w:rFonts w:ascii="Times New Roman;Times;serif" w:hAnsi="Times New Roman;Times;serif"/>
          <w:sz w:val="20"/>
        </w:rPr>
        <w:t>2022</w:t>
      </w:r>
      <w:r>
        <w:rPr>
          <w:rFonts w:ascii="Times New Roman;Times;serif" w:hAnsi="Times New Roman;Times;serif"/>
          <w:sz w:val="20"/>
        </w:rPr>
        <w:t xml:space="preserve"> LPC Purchase Agreement </w:t>
      </w:r>
      <w:r>
        <w:rPr>
          <w:rStyle w:val="Emphasis"/>
          <w:rFonts w:ascii="Times New Roman;Times;serif" w:hAnsi="Times New Roman;Times;serif"/>
          <w:sz w:val="20"/>
        </w:rPr>
        <w:t>may not</w:t>
      </w:r>
      <w:r>
        <w:rPr>
          <w:rFonts w:ascii="Times New Roman;Times;serif" w:hAnsi="Times New Roman;Times;serif"/>
          <w:sz w:val="20"/>
        </w:rPr>
        <w:t xml:space="preserve"> exceed 858,224 shares of common stock, which is equal to 19.99% of the shares of common stock outstanding immediately prior to the execution of the </w:t>
      </w:r>
      <w:r>
        <w:rPr>
          <w:rStyle w:val="Emphasis"/>
          <w:rFonts w:ascii="Times New Roman;Times;serif" w:hAnsi="Times New Roman;Times;serif"/>
          <w:sz w:val="20"/>
        </w:rPr>
        <w:t>2022</w:t>
      </w:r>
      <w:r>
        <w:rPr>
          <w:rFonts w:ascii="Times New Roman;Times;serif" w:hAnsi="Times New Roman;Times;serif"/>
          <w:sz w:val="20"/>
        </w:rPr>
        <w:t xml:space="preserve"> LPC Purchase Agreement (the </w:t>
      </w:r>
      <w:r>
        <w:rPr>
          <w:rStyle w:val="Emphasis"/>
          <w:rFonts w:ascii="Times New Roman;Times;serif" w:hAnsi="Times New Roman;Times;serif"/>
          <w:sz w:val="20"/>
        </w:rPr>
        <w:t>“2022</w:t>
      </w:r>
      <w:r>
        <w:rPr>
          <w:rFonts w:ascii="Times New Roman;Times;serif" w:hAnsi="Times New Roman;Times;serif"/>
          <w:sz w:val="20"/>
        </w:rPr>
        <w:t xml:space="preserve"> Exchange Cap”), unless (i) stockholder approval is obtained to issue shares of common stock in excess of the </w:t>
      </w:r>
      <w:r>
        <w:rPr>
          <w:rStyle w:val="Emphasis"/>
          <w:rFonts w:ascii="Times New Roman;Times;serif" w:hAnsi="Times New Roman;Times;serif"/>
          <w:sz w:val="20"/>
        </w:rPr>
        <w:t>2022</w:t>
      </w:r>
      <w:r>
        <w:rPr>
          <w:rFonts w:ascii="Times New Roman;Times;serif" w:hAnsi="Times New Roman;Times;serif"/>
          <w:sz w:val="20"/>
        </w:rPr>
        <w:t xml:space="preserve"> Exchange Cap, in which case the </w:t>
      </w:r>
      <w:r>
        <w:rPr>
          <w:rStyle w:val="Emphasis"/>
          <w:rFonts w:ascii="Times New Roman;Times;serif" w:hAnsi="Times New Roman;Times;serif"/>
          <w:sz w:val="20"/>
        </w:rPr>
        <w:t>2022</w:t>
      </w:r>
      <w:r>
        <w:rPr>
          <w:rFonts w:ascii="Times New Roman;Times;serif" w:hAnsi="Times New Roman;Times;serif"/>
          <w:sz w:val="20"/>
        </w:rPr>
        <w:t xml:space="preserve"> Exchange Cap will </w:t>
      </w:r>
      <w:r>
        <w:rPr>
          <w:rStyle w:val="Emphasis"/>
          <w:rFonts w:ascii="Times New Roman;Times;serif" w:hAnsi="Times New Roman;Times;serif"/>
          <w:sz w:val="20"/>
        </w:rPr>
        <w:t>no</w:t>
      </w:r>
      <w:r>
        <w:rPr>
          <w:rFonts w:ascii="Times New Roman;Times;serif" w:hAnsi="Times New Roman;Times;serif"/>
          <w:sz w:val="20"/>
        </w:rPr>
        <w:t xml:space="preserve"> longer apply, or (ii) the average price of all applicable sales of common stock to Lincoln Park under the </w:t>
      </w:r>
      <w:r>
        <w:rPr>
          <w:rStyle w:val="Emphasis"/>
          <w:rFonts w:ascii="Times New Roman;Times;serif" w:hAnsi="Times New Roman;Times;serif"/>
          <w:sz w:val="20"/>
        </w:rPr>
        <w:t>2022</w:t>
      </w:r>
      <w:r>
        <w:rPr>
          <w:rFonts w:ascii="Times New Roman;Times;serif" w:hAnsi="Times New Roman;Times;serif"/>
          <w:sz w:val="20"/>
        </w:rPr>
        <w:t xml:space="preserve"> LPC Purchase Agreement equals or exceeds the lower of (i) the Nasdaq official closing price immediately preceding the execution of the </w:t>
      </w:r>
      <w:r>
        <w:rPr>
          <w:rStyle w:val="Emphasis"/>
          <w:rFonts w:ascii="Times New Roman;Times;serif" w:hAnsi="Times New Roman;Times;serif"/>
          <w:sz w:val="20"/>
        </w:rPr>
        <w:t>2022</w:t>
      </w:r>
      <w:r>
        <w:rPr>
          <w:rFonts w:ascii="Times New Roman;Times;serif" w:hAnsi="Times New Roman;Times;serif"/>
          <w:sz w:val="20"/>
        </w:rPr>
        <w:t xml:space="preserve"> LPC Purchase Agreement or (ii) the arithmetic average of the </w:t>
      </w:r>
      <w:r>
        <w:rPr>
          <w:rStyle w:val="Emphasis"/>
          <w:rFonts w:ascii="Times New Roman;Times;serif" w:hAnsi="Times New Roman;Times;serif"/>
          <w:sz w:val="20"/>
        </w:rPr>
        <w:t>five</w:t>
      </w:r>
      <w:r>
        <w:rPr>
          <w:rFonts w:ascii="Times New Roman;Times;serif" w:hAnsi="Times New Roman;Times;serif"/>
          <w:sz w:val="20"/>
        </w:rPr>
        <w:t xml:space="preserve"> Nasdaq official closing prices for the common stock immediately preceding the execution of the </w:t>
      </w:r>
      <w:r>
        <w:rPr>
          <w:rStyle w:val="Emphasis"/>
          <w:rFonts w:ascii="Times New Roman;Times;serif" w:hAnsi="Times New Roman;Times;serif"/>
          <w:sz w:val="20"/>
        </w:rPr>
        <w:t>2022</w:t>
      </w:r>
      <w:r>
        <w:rPr>
          <w:rFonts w:ascii="Times New Roman;Times;serif" w:hAnsi="Times New Roman;Times;serif"/>
          <w:sz w:val="20"/>
        </w:rPr>
        <w:t xml:space="preserve"> LPC Purchase Agreement, plus an incremental amount to take into account the issuance of the commitment shares to Lincoln Park under the </w:t>
      </w:r>
      <w:r>
        <w:rPr>
          <w:rStyle w:val="Emphasis"/>
          <w:rFonts w:ascii="Times New Roman;Times;serif" w:hAnsi="Times New Roman;Times;serif"/>
          <w:sz w:val="20"/>
        </w:rPr>
        <w:t>2022</w:t>
      </w:r>
      <w:r>
        <w:rPr>
          <w:rFonts w:ascii="Times New Roman;Times;serif" w:hAnsi="Times New Roman;Times;serif"/>
          <w:sz w:val="20"/>
        </w:rPr>
        <w:t xml:space="preserve"> LPC Purchase Agreement, such that the transactions contemplated by the </w:t>
      </w:r>
      <w:r>
        <w:rPr>
          <w:rStyle w:val="Emphasis"/>
          <w:rFonts w:ascii="Times New Roman;Times;serif" w:hAnsi="Times New Roman;Times;serif"/>
          <w:sz w:val="20"/>
        </w:rPr>
        <w:t>2022</w:t>
      </w:r>
      <w:r>
        <w:rPr>
          <w:rFonts w:ascii="Times New Roman;Times;serif" w:hAnsi="Times New Roman;Times;serif"/>
          <w:sz w:val="20"/>
        </w:rPr>
        <w:t xml:space="preserve"> LPC Purchase Agreement are exempt from the </w:t>
      </w:r>
      <w:r>
        <w:rPr>
          <w:rStyle w:val="Emphasis"/>
          <w:rFonts w:ascii="Times New Roman;Times;serif" w:hAnsi="Times New Roman;Times;serif"/>
          <w:sz w:val="20"/>
        </w:rPr>
        <w:t>2022</w:t>
      </w:r>
      <w:r>
        <w:rPr>
          <w:rFonts w:ascii="Times New Roman;Times;serif" w:hAnsi="Times New Roman;Times;serif"/>
          <w:sz w:val="20"/>
        </w:rPr>
        <w:t xml:space="preserve"> Exchange Cap limitation under applicable Nasdaq rules. In all instances, the Company </w:t>
      </w:r>
      <w:r>
        <w:rPr>
          <w:rStyle w:val="Emphasis"/>
          <w:rFonts w:ascii="Times New Roman;Times;serif" w:hAnsi="Times New Roman;Times;serif"/>
          <w:sz w:val="20"/>
        </w:rPr>
        <w:t>may not</w:t>
      </w:r>
      <w:r>
        <w:rPr>
          <w:rFonts w:ascii="Times New Roman;Times;serif" w:hAnsi="Times New Roman;Times;serif"/>
          <w:sz w:val="20"/>
        </w:rPr>
        <w:t xml:space="preserve"> sell shares of its common stock to Lincoln Park under the </w:t>
      </w:r>
      <w:r>
        <w:rPr>
          <w:rStyle w:val="Emphasis"/>
          <w:rFonts w:ascii="Times New Roman;Times;serif" w:hAnsi="Times New Roman;Times;serif"/>
          <w:sz w:val="20"/>
        </w:rPr>
        <w:t>2022</w:t>
      </w:r>
      <w:r>
        <w:rPr>
          <w:rFonts w:ascii="Times New Roman;Times;serif" w:hAnsi="Times New Roman;Times;serif"/>
          <w:sz w:val="20"/>
        </w:rPr>
        <w:t xml:space="preserve"> LPC Purchase Agreement if it would result in Lincoln Park beneficially owning more than 9.99% of the outstanding shares of common stock. Upon execution of the </w:t>
      </w:r>
      <w:r>
        <w:rPr>
          <w:rStyle w:val="Emphasis"/>
          <w:rFonts w:ascii="Times New Roman;Times;serif" w:hAnsi="Times New Roman;Times;serif"/>
          <w:sz w:val="20"/>
        </w:rPr>
        <w:t>2022</w:t>
      </w:r>
      <w:r>
        <w:rPr>
          <w:rFonts w:ascii="Times New Roman;Times;serif" w:hAnsi="Times New Roman;Times;serif"/>
          <w:sz w:val="20"/>
        </w:rPr>
        <w:t xml:space="preserve"> LPC Purchase Agreement, the Company issued 45,701 shares of common stock to Lincoln Park as a commitment fee in connection with entering into the </w:t>
      </w:r>
      <w:r>
        <w:rPr>
          <w:rStyle w:val="Emphasis"/>
          <w:rFonts w:ascii="Times New Roman;Times;serif" w:hAnsi="Times New Roman;Times;serif"/>
          <w:sz w:val="20"/>
        </w:rPr>
        <w:t>2022</w:t>
      </w:r>
      <w:r>
        <w:rPr>
          <w:rFonts w:ascii="Times New Roman;Times;serif" w:hAnsi="Times New Roman;Times;serif"/>
          <w:sz w:val="20"/>
        </w:rPr>
        <w:t xml:space="preserve"> LPC Purchase Agreement at the total amount of $330. Through </w:t>
      </w:r>
      <w:r>
        <w:rPr>
          <w:rStyle w:val="Emphasis"/>
          <w:rFonts w:ascii="Times New Roman;Times;serif" w:hAnsi="Times New Roman;Times;serif"/>
          <w:sz w:val="20"/>
        </w:rPr>
        <w:t xml:space="preserve">December 31, 2022, </w:t>
      </w:r>
      <w:r>
        <w:rPr>
          <w:rFonts w:ascii="Times New Roman;Times;serif" w:hAnsi="Times New Roman;Times;serif"/>
          <w:sz w:val="20"/>
        </w:rPr>
        <w:t xml:space="preserve">the Company issued an additional 433,336 shares of common stock to Lincoln Park at an average price of $4.54 per share for a total value of $1,970. During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2023, </w:t>
      </w:r>
      <w:r>
        <w:rPr>
          <w:rFonts w:ascii="Times New Roman;Times;serif" w:hAnsi="Times New Roman;Times;serif"/>
          <w:sz w:val="20"/>
        </w:rPr>
        <w:t xml:space="preserve">the Company issued an additional 343,116 shares of common stock to Lincoln Park at an average price of $3.23 per share, for a total value of $1,109. Further information regarding the </w:t>
      </w:r>
      <w:r>
        <w:rPr>
          <w:rStyle w:val="Emphasis"/>
          <w:rFonts w:ascii="Times New Roman;Times;serif" w:hAnsi="Times New Roman;Times;serif"/>
          <w:sz w:val="20"/>
        </w:rPr>
        <w:t>2022</w:t>
      </w:r>
      <w:r>
        <w:rPr>
          <w:rFonts w:ascii="Times New Roman;Times;serif" w:hAnsi="Times New Roman;Times;serif"/>
          <w:sz w:val="20"/>
        </w:rPr>
        <w:t xml:space="preserve"> LPC Purchase Agreement is contained in the Company’s Form </w:t>
      </w:r>
      <w:r>
        <w:rPr>
          <w:rStyle w:val="Emphasis"/>
          <w:rFonts w:ascii="Times New Roman;Times;serif" w:hAnsi="Times New Roman;Times;serif"/>
          <w:sz w:val="20"/>
        </w:rPr>
        <w:t>8</w:t>
      </w:r>
      <w:r>
        <w:rPr>
          <w:rFonts w:ascii="Times New Roman;Times;serif" w:hAnsi="Times New Roman;Times;serif"/>
          <w:sz w:val="20"/>
        </w:rPr>
        <w:t xml:space="preserve">-K filed with the SEC on </w:t>
      </w:r>
      <w:r>
        <w:rPr>
          <w:rStyle w:val="Emphasis"/>
          <w:rFonts w:ascii="Times New Roman;Times;serif" w:hAnsi="Times New Roman;Times;serif"/>
          <w:sz w:val="20"/>
        </w:rPr>
        <w:t>July 12,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i/>
          <w:caps w:val="false"/>
          <w:smallCaps w:val="false"/>
          <w:sz w:val="20"/>
        </w:rPr>
        <w:t>The </w:t>
      </w:r>
      <w:r>
        <w:rPr>
          <w:rStyle w:val="Emphasis"/>
          <w:rFonts w:ascii="Times New Roman;Times;serif" w:hAnsi="Times New Roman;Times;serif"/>
          <w:i/>
          <w:caps w:val="false"/>
          <w:smallCaps w:val="false"/>
          <w:sz w:val="20"/>
        </w:rPr>
        <w:t>2021</w:t>
      </w:r>
      <w:r>
        <w:rPr>
          <w:rFonts w:ascii="Times New Roman;Times;serif" w:hAnsi="Times New Roman;Times;serif"/>
          <w:i/>
          <w:caps w:val="false"/>
          <w:smallCaps w:val="false"/>
          <w:sz w:val="20"/>
        </w:rPr>
        <w:t>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On </w:t>
      </w:r>
      <w:r>
        <w:rPr>
          <w:rStyle w:val="Emphasis"/>
          <w:rFonts w:ascii="Times New Roman;Times;serif" w:hAnsi="Times New Roman;Times;serif"/>
          <w:caps w:val="false"/>
          <w:smallCaps w:val="false"/>
          <w:sz w:val="20"/>
        </w:rPr>
        <w:t xml:space="preserve">December 15, 2021, </w:t>
      </w:r>
      <w:r>
        <w:rPr>
          <w:rFonts w:ascii="Times New Roman;Times;serif" w:hAnsi="Times New Roman;Times;serif"/>
          <w:caps w:val="false"/>
          <w:smallCaps w:val="false"/>
          <w:sz w:val="20"/>
        </w:rPr>
        <w:t xml:space="preserve">we entered into a securities purchase agreement pursuant to which we issued and sold to certain investors (collectively the </w:t>
      </w:r>
      <w:r>
        <w:rPr>
          <w:rStyle w:val="Emphasis"/>
          <w:rFonts w:ascii="Times New Roman;Times;serif" w:hAnsi="Times New Roman;Times;serif"/>
          <w:caps w:val="false"/>
          <w:smallCaps w:val="false"/>
          <w:sz w:val="20"/>
        </w:rPr>
        <w:t>"2021</w:t>
      </w:r>
      <w:r>
        <w:rPr>
          <w:rFonts w:ascii="Times New Roman;Times;serif" w:hAnsi="Times New Roman;Times;serif"/>
          <w:caps w:val="false"/>
          <w:smallCaps w:val="false"/>
          <w:sz w:val="20"/>
        </w:rPr>
        <w:t xml:space="preserve"> Investors") an aggregate of 653,894 shares of our common stock and 252,717 shares of our non-voting convertible preferred stock (the “Non-Voting Preferred Stock”), par value $0.0001 per share, which are convertible upon receipt of a valid conversion notice by the Company from a </w:t>
      </w:r>
      <w:r>
        <w:rPr>
          <w:rStyle w:val="Emphasis"/>
          <w:rFonts w:ascii="Times New Roman;Times;serif" w:hAnsi="Times New Roman;Times;serif"/>
          <w:caps w:val="false"/>
          <w:smallCaps w:val="false"/>
          <w:sz w:val="20"/>
        </w:rPr>
        <w:t>2021</w:t>
      </w:r>
      <w:r>
        <w:rPr>
          <w:rFonts w:ascii="Times New Roman;Times;serif" w:hAnsi="Times New Roman;Times;serif"/>
          <w:caps w:val="false"/>
          <w:smallCaps w:val="false"/>
          <w:sz w:val="20"/>
        </w:rPr>
        <w:t xml:space="preserve"> Investor (</w:t>
      </w:r>
      <w:r>
        <w:rPr>
          <w:rStyle w:val="Emphasis"/>
          <w:rFonts w:ascii="Times New Roman;Times;serif" w:hAnsi="Times New Roman;Times;serif"/>
          <w:caps w:val="false"/>
          <w:smallCaps w:val="false"/>
          <w:sz w:val="20"/>
        </w:rPr>
        <w:t>"2021</w:t>
      </w:r>
      <w:r>
        <w:rPr>
          <w:rFonts w:ascii="Times New Roman;Times;serif" w:hAnsi="Times New Roman;Times;serif"/>
          <w:caps w:val="false"/>
          <w:smallCaps w:val="false"/>
          <w:sz w:val="20"/>
        </w:rPr>
        <w:t xml:space="preserve"> Private Placement"). The gross proceeds from the securities sold in the </w:t>
      </w:r>
      <w:r>
        <w:rPr>
          <w:rStyle w:val="Emphasis"/>
          <w:rFonts w:ascii="Times New Roman;Times;serif" w:hAnsi="Times New Roman;Times;serif"/>
          <w:caps w:val="false"/>
          <w:smallCaps w:val="false"/>
          <w:sz w:val="20"/>
        </w:rPr>
        <w:t>2021</w:t>
      </w:r>
      <w:r>
        <w:rPr>
          <w:rFonts w:ascii="Times New Roman;Times;serif" w:hAnsi="Times New Roman;Times;serif"/>
          <w:caps w:val="false"/>
          <w:smallCaps w:val="false"/>
          <w:sz w:val="20"/>
        </w:rPr>
        <w:t xml:space="preserve"> Private Placement was $17.0 million. The costs incurred with respect to the </w:t>
      </w:r>
      <w:r>
        <w:rPr>
          <w:rStyle w:val="Emphasis"/>
          <w:rFonts w:ascii="Times New Roman;Times;serif" w:hAnsi="Times New Roman;Times;serif"/>
          <w:caps w:val="false"/>
          <w:smallCaps w:val="false"/>
          <w:sz w:val="20"/>
        </w:rPr>
        <w:t>2021</w:t>
      </w:r>
      <w:r>
        <w:rPr>
          <w:rFonts w:ascii="Times New Roman;Times;serif" w:hAnsi="Times New Roman;Times;serif"/>
          <w:caps w:val="false"/>
          <w:smallCaps w:val="false"/>
          <w:sz w:val="20"/>
        </w:rPr>
        <w:t xml:space="preserve"> Private Placement totaled $0.3 million and were recorded as a reduction of the </w:t>
      </w:r>
      <w:r>
        <w:rPr>
          <w:rStyle w:val="Emphasis"/>
          <w:rFonts w:ascii="Times New Roman;Times;serif" w:hAnsi="Times New Roman;Times;serif"/>
          <w:caps w:val="false"/>
          <w:smallCaps w:val="false"/>
          <w:sz w:val="20"/>
        </w:rPr>
        <w:t>2021</w:t>
      </w:r>
      <w:r>
        <w:rPr>
          <w:rFonts w:ascii="Times New Roman;Times;serif" w:hAnsi="Times New Roman;Times;serif"/>
          <w:caps w:val="false"/>
          <w:smallCaps w:val="false"/>
          <w:sz w:val="20"/>
        </w:rPr>
        <w:t xml:space="preserve"> Private Placement proceeds in the consolidated statements of stockholders’ equity. These Non-Voting Preferred Stock shares were subsequently converted to common stock upon issuance of the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Private Placement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i/>
          <w:caps w:val="false"/>
          <w:smallCaps w:val="false"/>
          <w:sz w:val="20"/>
        </w:rPr>
        <w:t xml:space="preserve">Preferred Stock issued in </w:t>
      </w:r>
      <w:r>
        <w:rPr>
          <w:rStyle w:val="Emphasis"/>
          <w:rFonts w:ascii="Times New Roman;Times;serif" w:hAnsi="Times New Roman;Times;serif"/>
          <w:i/>
          <w:caps w:val="false"/>
          <w:smallCaps w:val="false"/>
          <w:sz w:val="20"/>
        </w:rPr>
        <w:t>December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As noted above, in </w:t>
      </w:r>
      <w:r>
        <w:rPr>
          <w:rStyle w:val="Emphasis"/>
          <w:rFonts w:ascii="Times New Roman;Times;serif" w:hAnsi="Times New Roman;Times;serif"/>
          <w:caps w:val="false"/>
          <w:smallCaps w:val="false"/>
          <w:sz w:val="20"/>
        </w:rPr>
        <w:t xml:space="preserve">December 2021, </w:t>
      </w:r>
      <w:r>
        <w:rPr>
          <w:rFonts w:ascii="Times New Roman;Times;serif" w:hAnsi="Times New Roman;Times;serif"/>
          <w:caps w:val="false"/>
          <w:smallCaps w:val="false"/>
          <w:sz w:val="20"/>
        </w:rPr>
        <w:t xml:space="preserve">the Company issued and sold to the </w:t>
      </w:r>
      <w:r>
        <w:rPr>
          <w:rStyle w:val="Emphasis"/>
          <w:rFonts w:ascii="Times New Roman;Times;serif" w:hAnsi="Times New Roman;Times;serif"/>
          <w:caps w:val="false"/>
          <w:smallCaps w:val="false"/>
          <w:sz w:val="20"/>
        </w:rPr>
        <w:t>2021</w:t>
      </w:r>
      <w:r>
        <w:rPr>
          <w:rFonts w:ascii="Times New Roman;Times;serif" w:hAnsi="Times New Roman;Times;serif"/>
          <w:caps w:val="false"/>
          <w:smallCaps w:val="false"/>
          <w:sz w:val="20"/>
        </w:rPr>
        <w:t xml:space="preserve"> Investors an aggregate of 252,717 shares of the Non-Voting Preferred Stock. The terms of the Non-Voting Preferred Stock were governed by a Certificate of Designation filed by the Company with the Secretary of State of the State of Delaware on </w:t>
      </w:r>
      <w:r>
        <w:rPr>
          <w:rStyle w:val="Emphasis"/>
          <w:rFonts w:ascii="Times New Roman;Times;serif" w:hAnsi="Times New Roman;Times;serif"/>
          <w:caps w:val="false"/>
          <w:smallCaps w:val="false"/>
          <w:sz w:val="20"/>
        </w:rPr>
        <w:t xml:space="preserve">December 14, 2021. </w:t>
      </w:r>
      <w:r>
        <w:rPr>
          <w:rFonts w:ascii="Times New Roman;Times;serif" w:hAnsi="Times New Roman;Times;serif"/>
          <w:caps w:val="false"/>
          <w:smallCaps w:val="false"/>
          <w:sz w:val="20"/>
        </w:rPr>
        <w:t xml:space="preserve">On </w:t>
      </w:r>
      <w:r>
        <w:rPr>
          <w:rStyle w:val="Emphasis"/>
          <w:rFonts w:ascii="Times New Roman;Times;serif" w:hAnsi="Times New Roman;Times;serif"/>
          <w:caps w:val="false"/>
          <w:smallCaps w:val="false"/>
          <w:sz w:val="20"/>
        </w:rPr>
        <w:t xml:space="preserve">May 15, 2023, </w:t>
      </w:r>
      <w:r>
        <w:rPr>
          <w:rFonts w:ascii="Times New Roman;Times;serif" w:hAnsi="Times New Roman;Times;serif"/>
          <w:caps w:val="false"/>
          <w:smallCaps w:val="false"/>
          <w:sz w:val="20"/>
        </w:rPr>
        <w:t xml:space="preserve">the Company filed with the Delaware Secretary of State a Certificate of Elimination with respect to the Company’s Non-Voting Preferred Stock, thereby returning the unused share balance to the status of authorized but unissued shares of “blank check” preferred stock of the Company. Refer to the Company's Annual Report on Form </w:t>
      </w:r>
      <w:r>
        <w:rPr>
          <w:rStyle w:val="Emphasis"/>
          <w:rFonts w:ascii="Times New Roman;Times;serif" w:hAnsi="Times New Roman;Times;serif"/>
          <w:caps w:val="false"/>
          <w:smallCaps w:val="false"/>
          <w:sz w:val="20"/>
        </w:rPr>
        <w:t>10</w:t>
      </w:r>
      <w:r>
        <w:rPr>
          <w:rFonts w:ascii="Times New Roman;Times;serif" w:hAnsi="Times New Roman;Times;serif"/>
          <w:caps w:val="false"/>
          <w:smallCaps w:val="false"/>
          <w:sz w:val="20"/>
        </w:rPr>
        <w:t xml:space="preserve">-K for the year ended </w:t>
      </w:r>
      <w:r>
        <w:rPr>
          <w:rStyle w:val="Emphasis"/>
          <w:rFonts w:ascii="Times New Roman;Times;serif" w:hAnsi="Times New Roman;Times;serif"/>
          <w:caps w:val="false"/>
          <w:smallCaps w:val="false"/>
          <w:sz w:val="20"/>
        </w:rPr>
        <w:t xml:space="preserve">December 31, 2022 </w:t>
      </w:r>
      <w:r>
        <w:rPr>
          <w:rFonts w:ascii="Times New Roman;Times;serif" w:hAnsi="Times New Roman;Times;serif"/>
          <w:caps w:val="false"/>
          <w:smallCaps w:val="false"/>
          <w:sz w:val="20"/>
        </w:rPr>
        <w:t>filed with the SEC for a summary of the material terms and information regarding the issuance of the Non-Voting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i/>
          <w:caps w:val="false"/>
          <w:smallCaps w:val="false"/>
          <w:sz w:val="20"/>
        </w:rPr>
        <w:t xml:space="preserve">The </w:t>
      </w:r>
      <w:r>
        <w:rPr>
          <w:rStyle w:val="Emphasis"/>
          <w:rFonts w:ascii="Times New Roman;Times;serif" w:hAnsi="Times New Roman;Times;serif"/>
          <w:i/>
          <w:caps w:val="false"/>
          <w:smallCaps w:val="false"/>
          <w:sz w:val="20"/>
        </w:rPr>
        <w:t>2022</w:t>
      </w:r>
      <w:r>
        <w:rPr>
          <w:rFonts w:ascii="Times New Roman;Times;serif" w:hAnsi="Times New Roman;Times;serif"/>
          <w:i/>
          <w:caps w:val="false"/>
          <w:smallCaps w:val="false"/>
          <w:sz w:val="20"/>
        </w:rPr>
        <w:t xml:space="preserve"> Private Placement</w:t>
      </w:r>
    </w:p>
    <w:p>
      <w:pPr>
        <w:pStyle w:val="TextBody"/>
        <w:bidi w:val="0"/>
        <w:spacing w:before="0" w:after="0"/>
        <w:ind w:left="0" w:right="0" w:hanging="0"/>
        <w:jc w:val="both"/>
        <w:rPr/>
      </w:pPr>
      <w:r>
        <w:rPr>
          <w:rFonts w:ascii="Times New Roman;Times;serif" w:hAnsi="Times New Roman;Times;serif"/>
          <w:caps w:val="false"/>
          <w:smallCaps w:val="false"/>
          <w:sz w:val="20"/>
        </w:rPr>
        <w:br/>
        <w:t xml:space="preserve">In </w:t>
      </w:r>
      <w:r>
        <w:rPr>
          <w:rStyle w:val="Emphasis"/>
          <w:rFonts w:ascii="Times New Roman;Times;serif" w:hAnsi="Times New Roman;Times;serif"/>
          <w:caps w:val="false"/>
          <w:smallCaps w:val="false"/>
          <w:sz w:val="20"/>
        </w:rPr>
        <w:t>November 2022, </w:t>
      </w:r>
      <w:r>
        <w:rPr>
          <w:rFonts w:ascii="Times New Roman;Times;serif" w:hAnsi="Times New Roman;Times;serif"/>
          <w:caps w:val="false"/>
          <w:smallCaps w:val="false"/>
          <w:sz w:val="20"/>
        </w:rPr>
        <w:t xml:space="preserve">we entered into a securities purchase agreement with certain investors (collectively, the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Investors”) pursuant to which the Company issued and sold to the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Investors an aggregate of 116,668 shares of common stock, par value $0.0001 per share, and 3,185,000 shares of voting convertible preferred stock, par value $0.0001 per share (the "Voting Preferred Stock"), which are convertible into 2,123,443 shares of common stock upon receipt of a valid conversion notice from a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Investor or at the option of the Company within </w:t>
      </w:r>
      <w:r>
        <w:rPr>
          <w:rStyle w:val="Emphasis"/>
          <w:rFonts w:ascii="Times New Roman;Times;serif" w:hAnsi="Times New Roman;Times;serif"/>
          <w:caps w:val="false"/>
          <w:smallCaps w:val="false"/>
          <w:sz w:val="20"/>
        </w:rPr>
        <w:t>30</w:t>
      </w:r>
      <w:r>
        <w:rPr>
          <w:rFonts w:ascii="Times New Roman;Times;serif" w:hAnsi="Times New Roman;Times;serif"/>
          <w:caps w:val="false"/>
          <w:smallCaps w:val="false"/>
          <w:sz w:val="20"/>
        </w:rPr>
        <w:t xml:space="preserve"> days following the occurrence of certain events (the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Private Placement"). The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Private Placement was completed on </w:t>
      </w:r>
      <w:r>
        <w:rPr>
          <w:rStyle w:val="Emphasis"/>
          <w:rFonts w:ascii="Times New Roman;Times;serif" w:hAnsi="Times New Roman;Times;serif"/>
          <w:caps w:val="false"/>
          <w:smallCaps w:val="false"/>
          <w:sz w:val="20"/>
        </w:rPr>
        <w:t xml:space="preserve">November 18, 2022. </w:t>
      </w:r>
      <w:r>
        <w:rPr>
          <w:rFonts w:ascii="Times New Roman;Times;serif" w:hAnsi="Times New Roman;Times;serif"/>
          <w:caps w:val="false"/>
          <w:smallCaps w:val="false"/>
          <w:sz w:val="20"/>
        </w:rPr>
        <w:t xml:space="preserve">The gross proceeds from the securities sold in the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Private Placement was $6,720. The costs incurred with respect to the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Private Placement totaled $202 and were recorded as a reduction of the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Private Placement proceeds in the consolidated statements of stockholders’ equity. Further information regarding the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Private Placement is contained in the Company’s Form </w:t>
      </w:r>
      <w:r>
        <w:rPr>
          <w:rStyle w:val="Emphasis"/>
          <w:rFonts w:ascii="Times New Roman;Times;serif" w:hAnsi="Times New Roman;Times;serif"/>
          <w:caps w:val="false"/>
          <w:smallCaps w:val="false"/>
          <w:sz w:val="20"/>
        </w:rPr>
        <w:t>8</w:t>
      </w:r>
      <w:r>
        <w:rPr>
          <w:rFonts w:ascii="Times New Roman;Times;serif" w:hAnsi="Times New Roman;Times;serif"/>
          <w:caps w:val="false"/>
          <w:smallCaps w:val="false"/>
          <w:sz w:val="20"/>
        </w:rPr>
        <w:t xml:space="preserve">-K filed with the SEC on </w:t>
      </w:r>
      <w:r>
        <w:rPr>
          <w:rStyle w:val="Emphasis"/>
          <w:rFonts w:ascii="Times New Roman;Times;serif" w:hAnsi="Times New Roman;Times;serif"/>
          <w:caps w:val="false"/>
          <w:smallCaps w:val="false"/>
          <w:sz w:val="20"/>
        </w:rPr>
        <w:t>November 18,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i/>
          <w:caps w:val="false"/>
          <w:smallCaps w:val="false"/>
          <w:sz w:val="20"/>
        </w:rPr>
        <w:t xml:space="preserve">Voting Preferred Stock issued in </w:t>
      </w:r>
      <w:r>
        <w:rPr>
          <w:rStyle w:val="Emphasis"/>
          <w:rFonts w:ascii="Times New Roman;Times;serif" w:hAnsi="Times New Roman;Times;serif"/>
          <w:i/>
          <w:caps w:val="false"/>
          <w:smallCaps w:val="false"/>
          <w:sz w:val="20"/>
        </w:rPr>
        <w:t>November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As noted above, in </w:t>
      </w:r>
      <w:r>
        <w:rPr>
          <w:rStyle w:val="Emphasis"/>
          <w:rFonts w:ascii="Times New Roman;Times;serif" w:hAnsi="Times New Roman;Times;serif"/>
          <w:caps w:val="false"/>
          <w:smallCaps w:val="false"/>
          <w:sz w:val="20"/>
        </w:rPr>
        <w:t xml:space="preserve">November 2022, </w:t>
      </w:r>
      <w:r>
        <w:rPr>
          <w:rFonts w:ascii="Times New Roman;Times;serif" w:hAnsi="Times New Roman;Times;serif"/>
          <w:caps w:val="false"/>
          <w:smallCaps w:val="false"/>
          <w:sz w:val="20"/>
        </w:rPr>
        <w:t xml:space="preserve">the Company issued and sold to certain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Investors an aggregate of 3,185,000 shares of Voting Preferred Stock. The terms of the Voting Preferred Stock are governed by a Certificate of Designation filed by the Company with the Secretary of State of the State of Delaware on </w:t>
      </w:r>
      <w:r>
        <w:rPr>
          <w:rStyle w:val="Emphasis"/>
          <w:rFonts w:ascii="Times New Roman;Times;serif" w:hAnsi="Times New Roman;Times;serif"/>
          <w:caps w:val="false"/>
          <w:smallCaps w:val="false"/>
          <w:sz w:val="20"/>
        </w:rPr>
        <w:t xml:space="preserve">November 17, 2022. </w:t>
      </w:r>
      <w:r>
        <w:rPr>
          <w:rFonts w:ascii="Times New Roman;Times;serif" w:hAnsi="Times New Roman;Times;serif"/>
          <w:caps w:val="false"/>
          <w:smallCaps w:val="false"/>
          <w:sz w:val="20"/>
        </w:rPr>
        <w:t>The following is a summary of the material terms of the Voting Preferred Stock:</w:t>
      </w:r>
    </w:p>
    <w:p>
      <w:pPr>
        <w:pStyle w:val="TextBody"/>
        <w:bidi w:val="0"/>
        <w:spacing w:before="0" w:after="0"/>
        <w:ind w:left="0" w:right="0" w:hanging="0"/>
        <w:jc w:val="left"/>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60"/>
        <w:gridCol w:w="110"/>
        <w:gridCol w:w="80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Voting Rights.</w:t>
            </w:r>
            <w:r>
              <w:rPr>
                <w:rFonts w:ascii="Times New Roman;Times;serif" w:hAnsi="Times New Roman;Times;serif"/>
                <w:caps w:val="false"/>
                <w:smallCaps w:val="false"/>
                <w:sz w:val="20"/>
              </w:rPr>
              <w:t> The Voting Preferred Stock votes with the Common Stock on an as-converted basis.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Liquidation.</w:t>
            </w:r>
            <w:r>
              <w:rPr>
                <w:rFonts w:ascii="Times New Roman;Times;serif" w:hAnsi="Times New Roman;Times;serif"/>
                <w:caps w:val="false"/>
                <w:smallCaps w:val="false"/>
                <w:sz w:val="20"/>
              </w:rPr>
              <w:t> Each share of Voting Preferred Stock carries a liquidation preference, senior to the Common Stock in an amount equal to the greater of (a) $30.00 (being the issuance price) and (b) the amount that would be distributed in respect of such share of Voting Preferred Stock if it were converted into Common Stock and participated in such liquidating distribution with the other shares of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pPr>
            <w:r>
              <w:rPr>
                <w:rFonts w:ascii="Times New Roman;Times;serif" w:hAnsi="Times New Roman;Times;serif"/>
                <w:i/>
                <w:caps w:val="false"/>
                <w:smallCaps w:val="false"/>
                <w:sz w:val="20"/>
              </w:rPr>
              <w:t>Conversion</w:t>
            </w:r>
            <w:r>
              <w:rPr>
                <w:rFonts w:ascii="Times New Roman;Times;serif" w:hAnsi="Times New Roman;Times;serif"/>
                <w:caps w:val="false"/>
                <w:smallCaps w:val="false"/>
                <w:sz w:val="20"/>
              </w:rPr>
              <w:t xml:space="preserve">. The Voting Preferred Stock will convert into shares of Common Stock on a </w:t>
            </w:r>
            <w:r>
              <w:rPr>
                <w:rStyle w:val="Emphasis"/>
                <w:rFonts w:ascii="Times New Roman;Times;serif" w:hAnsi="Times New Roman;Times;serif"/>
                <w:caps w:val="false"/>
                <w:smallCaps w:val="false"/>
                <w:sz w:val="20"/>
              </w:rPr>
              <w:t>one</w:t>
            </w:r>
            <w:r>
              <w:rPr>
                <w:rFonts w:ascii="Times New Roman;Times;serif" w:hAnsi="Times New Roman;Times;serif"/>
                <w:caps w:val="false"/>
                <w:smallCaps w:val="false"/>
                <w:sz w:val="20"/>
              </w:rPr>
              <w:t xml:space="preserve"> for 0.6667 basis (i) at the option of a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Investor upon delivery of a valid conversion notice to the Company or (ii) at the option of the Company within </w:t>
            </w:r>
            <w:r>
              <w:rPr>
                <w:rStyle w:val="Emphasis"/>
                <w:rFonts w:ascii="Times New Roman;Times;serif" w:hAnsi="Times New Roman;Times;serif"/>
                <w:caps w:val="false"/>
                <w:smallCaps w:val="false"/>
                <w:sz w:val="20"/>
              </w:rPr>
              <w:t>30</w:t>
            </w:r>
            <w:r>
              <w:rPr>
                <w:rFonts w:ascii="Times New Roman;Times;serif" w:hAnsi="Times New Roman;Times;serif"/>
                <w:caps w:val="false"/>
                <w:smallCaps w:val="false"/>
                <w:sz w:val="20"/>
              </w:rPr>
              <w:t xml:space="preserve"> days following the earlier to occur of (a) the date on which the volume-weighted average price of the Common Stock has been greater than or equal to $18.75 for </w:t>
            </w:r>
            <w:r>
              <w:rPr>
                <w:rStyle w:val="Emphasis"/>
                <w:rFonts w:ascii="Times New Roman;Times;serif" w:hAnsi="Times New Roman;Times;serif"/>
                <w:caps w:val="false"/>
                <w:smallCaps w:val="false"/>
                <w:sz w:val="20"/>
              </w:rPr>
              <w:t>30</w:t>
            </w:r>
            <w:r>
              <w:rPr>
                <w:rFonts w:ascii="Times New Roman;Times;serif" w:hAnsi="Times New Roman;Times;serif"/>
                <w:caps w:val="false"/>
                <w:smallCaps w:val="false"/>
                <w:sz w:val="20"/>
              </w:rPr>
              <w:t xml:space="preserve"> consecutive trading days and (b) the date on which the Company has reported </w:t>
            </w:r>
            <w:r>
              <w:rPr>
                <w:rStyle w:val="Emphasis"/>
                <w:rFonts w:ascii="Times New Roman;Times;serif" w:hAnsi="Times New Roman;Times;serif"/>
                <w:caps w:val="false"/>
                <w:smallCaps w:val="false"/>
                <w:sz w:val="20"/>
              </w:rPr>
              <w:t>two</w:t>
            </w:r>
            <w:r>
              <w:rPr>
                <w:rFonts w:ascii="Times New Roman;Times;serif" w:hAnsi="Times New Roman;Times;serif"/>
                <w:caps w:val="false"/>
                <w:smallCaps w:val="false"/>
                <w:sz w:val="20"/>
              </w:rPr>
              <w:t xml:space="preserve"> consecutive fiscal quarters of positive cash flow.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 xml:space="preserve">Dividends. </w:t>
            </w:r>
            <w:r>
              <w:rPr>
                <w:rFonts w:ascii="Times New Roman;Times;serif" w:hAnsi="Times New Roman;Times;serif"/>
                <w:caps w:val="false"/>
                <w:smallCaps w:val="false"/>
                <w:sz w:val="20"/>
              </w:rPr>
              <w:t>Each share of Voting Preferred Stock is entitled to participate in dividends and other non-liquidating distributions (if, as and when declared by the Board of the Company) on an as-converted basis, pari passu with the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015" w:type="dxa"/>
        <w:jc w:val="left"/>
        <w:tblInd w:w="0" w:type="dxa"/>
        <w:tblLayout w:type="fixed"/>
        <w:tblCellMar>
          <w:top w:w="0" w:type="dxa"/>
          <w:left w:w="0" w:type="dxa"/>
          <w:bottom w:w="0" w:type="dxa"/>
          <w:right w:w="0" w:type="dxa"/>
        </w:tblCellMar>
      </w:tblPr>
      <w:tblGrid>
        <w:gridCol w:w="60"/>
        <w:gridCol w:w="110"/>
        <w:gridCol w:w="98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45" w:type="dxa"/>
            <w:tcBorders/>
            <w:vAlign w:val="center"/>
          </w:tcPr>
          <w:p>
            <w:pPr>
              <w:pStyle w:val="TableContents"/>
              <w:bidi w:val="0"/>
              <w:spacing w:before="0" w:after="0"/>
              <w:ind w:left="0" w:right="0" w:hanging="0"/>
              <w:jc w:val="both"/>
              <w:rPr/>
            </w:pPr>
            <w:r>
              <w:rPr>
                <w:rFonts w:ascii="Times New Roman;Times;serif" w:hAnsi="Times New Roman;Times;serif"/>
                <w:i/>
                <w:caps w:val="false"/>
                <w:smallCaps w:val="false"/>
                <w:sz w:val="20"/>
              </w:rPr>
              <w:t>Redemption</w:t>
            </w:r>
            <w:r>
              <w:rPr>
                <w:rFonts w:ascii="Times New Roman;Times;serif" w:hAnsi="Times New Roman;Times;serif"/>
                <w:caps w:val="false"/>
                <w:smallCaps w:val="false"/>
                <w:sz w:val="20"/>
              </w:rPr>
              <w:t xml:space="preserve">. The Voting Preferred Stock is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redeemable at the election of the Company or at the election of the holder.</w:t>
            </w:r>
          </w:p>
        </w:tc>
      </w:tr>
    </w:tbl>
    <w:p>
      <w:pPr>
        <w:pStyle w:val="TextBody"/>
        <w:bidi w:val="0"/>
        <w:spacing w:before="0" w:after="0"/>
        <w:ind w:left="0" w:right="0" w:hanging="0"/>
        <w:jc w:val="left"/>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60"/>
        <w:gridCol w:w="110"/>
        <w:gridCol w:w="5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Maturity.</w:t>
            </w:r>
            <w:r>
              <w:rPr>
                <w:rFonts w:ascii="Times New Roman;Times;serif" w:hAnsi="Times New Roman;Times;serif"/>
                <w:caps w:val="false"/>
                <w:smallCaps w:val="false"/>
                <w:sz w:val="20"/>
              </w:rPr>
              <w:t> The Voting Preferred Stock shall be perpetual unless converted.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i/>
          <w:caps w:val="false"/>
          <w:smallCaps w:val="false"/>
          <w:sz w:val="20"/>
        </w:rPr>
        <w:t xml:space="preserve">The </w:t>
      </w:r>
      <w:r>
        <w:rPr>
          <w:rStyle w:val="Emphasis"/>
          <w:rFonts w:ascii="Times New Roman;Times;serif" w:hAnsi="Times New Roman;Times;serif"/>
          <w:i/>
          <w:caps w:val="false"/>
          <w:smallCaps w:val="false"/>
          <w:sz w:val="20"/>
        </w:rPr>
        <w:t>2023</w:t>
      </w:r>
      <w:r>
        <w:rPr>
          <w:rFonts w:ascii="Times New Roman;Times;serif" w:hAnsi="Times New Roman;Times;serif"/>
          <w:i/>
          <w:caps w:val="false"/>
          <w:smallCaps w:val="false"/>
          <w:sz w:val="20"/>
        </w:rPr>
        <w:t xml:space="preserve"> Multi-Tranche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In </w:t>
      </w:r>
      <w:r>
        <w:rPr>
          <w:rStyle w:val="Emphasis"/>
          <w:rFonts w:ascii="Times New Roman;Times;serif" w:hAnsi="Times New Roman;Times;serif"/>
          <w:caps w:val="false"/>
          <w:smallCaps w:val="false"/>
          <w:sz w:val="20"/>
        </w:rPr>
        <w:t xml:space="preserve">May 2023, </w:t>
      </w:r>
      <w:r>
        <w:rPr>
          <w:rFonts w:ascii="Times New Roman;Times;serif" w:hAnsi="Times New Roman;Times;serif"/>
          <w:caps w:val="false"/>
          <w:smallCaps w:val="false"/>
          <w:sz w:val="20"/>
        </w:rPr>
        <w:t xml:space="preserve">we entered into a securities purchase agreement (the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 xml:space="preserve"> Multi-Tranche Private Placement Stock Purchase Agreement") with certain investors (collectively, the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 xml:space="preserve"> Investors") pursuant to which the Company </w:t>
      </w:r>
      <w:r>
        <w:rPr>
          <w:rStyle w:val="Emphasis"/>
          <w:rFonts w:ascii="Times New Roman;Times;serif" w:hAnsi="Times New Roman;Times;serif"/>
          <w:caps w:val="false"/>
          <w:smallCaps w:val="false"/>
          <w:sz w:val="20"/>
        </w:rPr>
        <w:t xml:space="preserve">may </w:t>
      </w:r>
      <w:r>
        <w:rPr>
          <w:rFonts w:ascii="Times New Roman;Times;serif" w:hAnsi="Times New Roman;Times;serif"/>
          <w:caps w:val="false"/>
          <w:smallCaps w:val="false"/>
          <w:sz w:val="20"/>
        </w:rPr>
        <w:t xml:space="preserve">issue and sell to the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 xml:space="preserve"> Investors up to $9,000,000 in shares (the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 xml:space="preserve"> Multi-Tranche Private Placement") of newly-created senior convertible preferred stock, par value $0.0001 per share (the “Senior Preferred Stock”), in multiple tranches from time to time until </w:t>
      </w:r>
      <w:r>
        <w:rPr>
          <w:rStyle w:val="Emphasis"/>
          <w:rFonts w:ascii="Times New Roman;Times;serif" w:hAnsi="Times New Roman;Times;serif"/>
          <w:caps w:val="false"/>
          <w:smallCaps w:val="false"/>
          <w:sz w:val="20"/>
        </w:rPr>
        <w:t xml:space="preserve">December 31, 2025, </w:t>
      </w:r>
      <w:r>
        <w:rPr>
          <w:rFonts w:ascii="Times New Roman;Times;serif" w:hAnsi="Times New Roman;Times;serif"/>
          <w:caps w:val="false"/>
          <w:smallCaps w:val="false"/>
          <w:sz w:val="20"/>
        </w:rPr>
        <w:t xml:space="preserve">subject to a minimum aggregate purchase amount of $500,000 in each tranche. The initial sale in the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 xml:space="preserve"> Multi-Tranche Private Placement occurred on </w:t>
      </w:r>
      <w:r>
        <w:rPr>
          <w:rStyle w:val="Emphasis"/>
          <w:rFonts w:ascii="Times New Roman;Times;serif" w:hAnsi="Times New Roman;Times;serif"/>
          <w:caps w:val="false"/>
          <w:smallCaps w:val="false"/>
          <w:sz w:val="20"/>
        </w:rPr>
        <w:t xml:space="preserve">May 15, 2023, </w:t>
      </w:r>
      <w:r>
        <w:rPr>
          <w:rFonts w:ascii="Times New Roman;Times;serif" w:hAnsi="Times New Roman;Times;serif"/>
          <w:caps w:val="false"/>
          <w:smallCaps w:val="false"/>
          <w:sz w:val="20"/>
        </w:rPr>
        <w:t xml:space="preserve">under which the Company sold the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 xml:space="preserve"> Investors 280,899 shares of Senior Preferred Stock for an aggregate purchase price of $2,000,000 (the "Initial Placement"). The Company expects to use the proceeds of the Initial Placement, after the payment of transaction expenses, for general working capital purposes. The following is a summary of the material terms of the Senior Preferred Stock:</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pPr>
            <w:r>
              <w:rPr>
                <w:rFonts w:ascii="Times New Roman;Times;serif" w:hAnsi="Times New Roman;Times;serif"/>
                <w:i/>
                <w:caps w:val="false"/>
                <w:smallCaps w:val="false"/>
                <w:sz w:val="20"/>
              </w:rPr>
              <w:t>Voting Rights.</w:t>
            </w:r>
            <w:r>
              <w:rPr>
                <w:rFonts w:ascii="Times New Roman;Times;serif" w:hAnsi="Times New Roman;Times;serif"/>
                <w:caps w:val="false"/>
                <w:smallCaps w:val="false"/>
                <w:sz w:val="20"/>
              </w:rPr>
              <w:t xml:space="preserve"> The Senior Preferred Stock has aggregate number of votes equal to the product of (a) the quotient of (i) the aggregate purchase price paid under the Stock Purchase Agreement for all shares of Senior Preferred Stock issued and outstanding as of such time, divided by (ii) the highest purchase price paid by a holder for a share of Senior Preferred Stock prior to or as of such time, multiplied by (b) two. Such formula ensures that </w:t>
            </w:r>
            <w:r>
              <w:rPr>
                <w:rStyle w:val="Emphasis"/>
                <w:rFonts w:ascii="Times New Roman;Times;serif" w:hAnsi="Times New Roman;Times;serif"/>
                <w:caps w:val="false"/>
                <w:smallCaps w:val="false"/>
                <w:sz w:val="20"/>
              </w:rPr>
              <w:t>no</w:t>
            </w:r>
            <w:r>
              <w:rPr>
                <w:rFonts w:ascii="Times New Roman;Times;serif" w:hAnsi="Times New Roman;Times;serif"/>
                <w:caps w:val="false"/>
                <w:smallCaps w:val="false"/>
                <w:sz w:val="20"/>
              </w:rPr>
              <w:t xml:space="preserve"> share of senior preferred stock will ever have more than </w:t>
            </w:r>
            <w:r>
              <w:rPr>
                <w:rStyle w:val="Emphasis"/>
                <w:rFonts w:ascii="Times New Roman;Times;serif" w:hAnsi="Times New Roman;Times;serif"/>
                <w:caps w:val="false"/>
                <w:smallCaps w:val="false"/>
                <w:sz w:val="20"/>
              </w:rPr>
              <w:t>two</w:t>
            </w:r>
            <w:r>
              <w:rPr>
                <w:rFonts w:ascii="Times New Roman;Times;serif" w:hAnsi="Times New Roman;Times;serif"/>
                <w:caps w:val="false"/>
                <w:smallCaps w:val="false"/>
                <w:sz w:val="20"/>
              </w:rPr>
              <w:t xml:space="preserve"> votes per share, with such number of votes subject to reduction (but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increase) depending on the pricing of future sales of Senior Preferred Stock in the Private Placement. The Senior Preferred Stock votes with the Company’s common stock on all matters submitted to holders of common stock and does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vote as a separate class.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Liquidation.</w:t>
            </w:r>
            <w:r>
              <w:rPr>
                <w:rFonts w:ascii="Times New Roman;Times;serif" w:hAnsi="Times New Roman;Times;serif"/>
                <w:caps w:val="false"/>
                <w:smallCaps w:val="false"/>
                <w:sz w:val="20"/>
              </w:rPr>
              <w:t> Each share of Senior Preferred Stock carries a liquidation preference, senior to the Common Stock and Voting Preferred Stock, in an amount equal to the product of the Purchase Price for such share, multiplied by 2.50.</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pPr>
            <w:r>
              <w:rPr>
                <w:rFonts w:ascii="Times New Roman;Times;serif" w:hAnsi="Times New Roman;Times;serif"/>
                <w:i/>
                <w:caps w:val="false"/>
                <w:smallCaps w:val="false"/>
                <w:sz w:val="20"/>
              </w:rPr>
              <w:t>Conversion</w:t>
            </w:r>
            <w:r>
              <w:rPr>
                <w:rFonts w:ascii="Times New Roman;Times;serif" w:hAnsi="Times New Roman;Times;serif"/>
                <w:caps w:val="false"/>
                <w:smallCaps w:val="false"/>
                <w:sz w:val="20"/>
              </w:rPr>
              <w:t xml:space="preserve">. The Senior Preferred Stock will convert into shares of Common Stock on a </w:t>
            </w:r>
            <w:r>
              <w:rPr>
                <w:rStyle w:val="Emphasis"/>
                <w:rFonts w:ascii="Times New Roman;Times;serif" w:hAnsi="Times New Roman;Times;serif"/>
                <w:caps w:val="false"/>
                <w:smallCaps w:val="false"/>
                <w:sz w:val="20"/>
              </w:rPr>
              <w:t>one</w:t>
            </w:r>
            <w:r>
              <w:rPr>
                <w:rFonts w:ascii="Times New Roman;Times;serif" w:hAnsi="Times New Roman;Times;serif"/>
                <w:caps w:val="false"/>
                <w:smallCaps w:val="false"/>
                <w:sz w:val="20"/>
              </w:rPr>
              <w:t xml:space="preserve"> for 2.6667 basis at the option of (a) the investors at any time or (b) the Company within </w:t>
            </w:r>
            <w:r>
              <w:rPr>
                <w:rStyle w:val="Emphasis"/>
                <w:rFonts w:ascii="Times New Roman;Times;serif" w:hAnsi="Times New Roman;Times;serif"/>
                <w:caps w:val="false"/>
                <w:smallCaps w:val="false"/>
                <w:sz w:val="20"/>
              </w:rPr>
              <w:t>30</w:t>
            </w:r>
            <w:r>
              <w:rPr>
                <w:rFonts w:ascii="Times New Roman;Times;serif" w:hAnsi="Times New Roman;Times;serif"/>
                <w:caps w:val="false"/>
                <w:smallCaps w:val="false"/>
                <w:sz w:val="20"/>
              </w:rPr>
              <w:t xml:space="preserve"> days following the date on which the </w:t>
            </w:r>
            <w:r>
              <w:rPr>
                <w:rStyle w:val="Emphasis"/>
                <w:rFonts w:ascii="Times New Roman;Times;serif" w:hAnsi="Times New Roman;Times;serif"/>
                <w:caps w:val="false"/>
                <w:smallCaps w:val="false"/>
                <w:sz w:val="20"/>
              </w:rPr>
              <w:t>30</w:t>
            </w:r>
            <w:r>
              <w:rPr>
                <w:rFonts w:ascii="Times New Roman;Times;serif" w:hAnsi="Times New Roman;Times;serif"/>
                <w:caps w:val="false"/>
                <w:smallCaps w:val="false"/>
                <w:sz w:val="20"/>
              </w:rPr>
              <w:t>-day volume-weighted average price of the common stock exceeds the product of (i) the Purchase Price for the shares of senior preferred stock to be converted, multiplied by (ii) 2.75.</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Dividends. </w:t>
            </w:r>
            <w:r>
              <w:rPr>
                <w:rFonts w:ascii="Times New Roman;Times;serif" w:hAnsi="Times New Roman;Times;serif"/>
                <w:caps w:val="false"/>
                <w:smallCaps w:val="false"/>
                <w:sz w:val="20"/>
              </w:rPr>
              <w:t>Each share of Senior Preferred Stock is entitled to participate in dividends and other non-liquidating distributions (if, as and when declared by the Board of the Company) on an as-converted basis, pari passu with the Common Stock and Voting Preferred Stock.</w:t>
            </w:r>
          </w:p>
        </w:tc>
      </w:tr>
    </w:tbl>
    <w:p>
      <w:pPr>
        <w:pStyle w:val="TextBody"/>
        <w:bidi w:val="0"/>
        <w:spacing w:before="0" w:after="0"/>
        <w:ind w:left="0" w:right="0" w:hanging="0"/>
        <w:jc w:val="left"/>
        <w:rPr/>
      </w:pPr>
      <w:r>
        <w:rPr/>
        <w:t> </w:t>
      </w:r>
    </w:p>
    <w:tbl>
      <w:tblPr>
        <w:tblW w:w="9970" w:type="dxa"/>
        <w:jc w:val="left"/>
        <w:tblInd w:w="0" w:type="dxa"/>
        <w:tblLayout w:type="fixed"/>
        <w:tblCellMar>
          <w:top w:w="0" w:type="dxa"/>
          <w:left w:w="0" w:type="dxa"/>
          <w:bottom w:w="0" w:type="dxa"/>
          <w:right w:w="0" w:type="dxa"/>
        </w:tblCellMar>
      </w:tblPr>
      <w:tblGrid>
        <w:gridCol w:w="60"/>
        <w:gridCol w:w="110"/>
        <w:gridCol w:w="980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00" w:type="dxa"/>
            <w:tcBorders/>
            <w:vAlign w:val="center"/>
          </w:tcPr>
          <w:p>
            <w:pPr>
              <w:pStyle w:val="TableContents"/>
              <w:bidi w:val="0"/>
              <w:spacing w:before="0" w:after="0"/>
              <w:ind w:left="0" w:right="0" w:hanging="0"/>
              <w:jc w:val="both"/>
              <w:rPr/>
            </w:pPr>
            <w:r>
              <w:rPr>
                <w:rFonts w:ascii="Times New Roman;Times;serif" w:hAnsi="Times New Roman;Times;serif"/>
                <w:i/>
                <w:caps w:val="false"/>
                <w:smallCaps w:val="false"/>
                <w:sz w:val="20"/>
              </w:rPr>
              <w:t>Redemption</w:t>
            </w:r>
            <w:r>
              <w:rPr>
                <w:rFonts w:ascii="Times New Roman;Times;serif" w:hAnsi="Times New Roman;Times;serif"/>
                <w:caps w:val="false"/>
                <w:smallCaps w:val="false"/>
                <w:sz w:val="20"/>
              </w:rPr>
              <w:t xml:space="preserve">. The Senior Preferred Stock is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redeemable at the election of the Company or at the election of the holder.</w:t>
            </w:r>
          </w:p>
        </w:tc>
      </w:tr>
    </w:tbl>
    <w:p>
      <w:pPr>
        <w:pStyle w:val="TextBody"/>
        <w:bidi w:val="0"/>
        <w:spacing w:before="0" w:after="0"/>
        <w:ind w:left="0" w:right="0" w:hanging="0"/>
        <w:jc w:val="left"/>
        <w:rPr/>
      </w:pPr>
      <w:r>
        <w:rPr/>
        <w:t> </w:t>
      </w:r>
    </w:p>
    <w:tbl>
      <w:tblPr>
        <w:tblW w:w="6100" w:type="dxa"/>
        <w:jc w:val="left"/>
        <w:tblInd w:w="0" w:type="dxa"/>
        <w:tblLayout w:type="fixed"/>
        <w:tblCellMar>
          <w:top w:w="0" w:type="dxa"/>
          <w:left w:w="0" w:type="dxa"/>
          <w:bottom w:w="0" w:type="dxa"/>
          <w:right w:w="0" w:type="dxa"/>
        </w:tblCellMar>
      </w:tblPr>
      <w:tblGrid>
        <w:gridCol w:w="60"/>
        <w:gridCol w:w="110"/>
        <w:gridCol w:w="59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Maturity.</w:t>
            </w:r>
            <w:r>
              <w:rPr>
                <w:rFonts w:ascii="Times New Roman;Times;serif" w:hAnsi="Times New Roman;Times;serif"/>
                <w:caps w:val="false"/>
                <w:smallCaps w:val="false"/>
                <w:sz w:val="20"/>
              </w:rPr>
              <w:t> The Senior Preferred Stock shall be perpetual unless converted.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i/>
          <w:caps w:val="false"/>
          <w:smallCaps w:val="false"/>
          <w:sz w:val="20"/>
        </w:rPr>
        <w:t>2010</w:t>
      </w:r>
      <w:r>
        <w:rPr>
          <w:rFonts w:ascii="Times New Roman;Times;serif" w:hAnsi="Times New Roman;Times;serif"/>
          <w:i/>
          <w:caps w:val="false"/>
          <w:smallCaps w:val="false"/>
          <w:sz w:val="20"/>
        </w:rPr>
        <w:t xml:space="preserve"> Share Option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In </w:t>
      </w:r>
      <w:r>
        <w:rPr>
          <w:rStyle w:val="Emphasis"/>
          <w:rFonts w:ascii="Times New Roman;Times;serif" w:hAnsi="Times New Roman;Times;serif"/>
          <w:caps w:val="false"/>
          <w:smallCaps w:val="false"/>
          <w:sz w:val="20"/>
        </w:rPr>
        <w:t xml:space="preserve">November 2010, </w:t>
      </w:r>
      <w:r>
        <w:rPr>
          <w:rFonts w:ascii="Times New Roman;Times;serif" w:hAnsi="Times New Roman;Times;serif"/>
          <w:caps w:val="false"/>
          <w:smallCaps w:val="false"/>
          <w:sz w:val="20"/>
        </w:rPr>
        <w:t>the Board adopted a share option plan (the </w:t>
      </w:r>
      <w:r>
        <w:rPr>
          <w:rStyle w:val="Emphasis"/>
          <w:rFonts w:ascii="Times New Roman;Times;serif" w:hAnsi="Times New Roman;Times;serif"/>
          <w:caps w:val="false"/>
          <w:smallCaps w:val="false"/>
          <w:sz w:val="20"/>
        </w:rPr>
        <w:t>“2010</w:t>
      </w:r>
      <w:r>
        <w:rPr>
          <w:rFonts w:ascii="Times New Roman;Times;serif" w:hAnsi="Times New Roman;Times;serif"/>
          <w:caps w:val="false"/>
          <w:smallCaps w:val="false"/>
          <w:sz w:val="20"/>
        </w:rPr>
        <w:t xml:space="preserve"> Share Option Plan”) pursuant to which shares of the Company’s common stock are reserved for issuance upon the exercise of options to be granted to directors, officers, employees and consultants of the Company. The </w:t>
      </w:r>
      <w:r>
        <w:rPr>
          <w:rStyle w:val="Emphasis"/>
          <w:rFonts w:ascii="Times New Roman;Times;serif" w:hAnsi="Times New Roman;Times;serif"/>
          <w:caps w:val="false"/>
          <w:smallCaps w:val="false"/>
          <w:sz w:val="20"/>
        </w:rPr>
        <w:t>2010</w:t>
      </w:r>
      <w:r>
        <w:rPr>
          <w:rFonts w:ascii="Times New Roman;Times;serif" w:hAnsi="Times New Roman;Times;serif"/>
          <w:caps w:val="false"/>
          <w:smallCaps w:val="false"/>
          <w:sz w:val="20"/>
        </w:rPr>
        <w:t xml:space="preserve"> Share Option Plan is administered by the Board, which designates the options and dates of grant. Options granted vest over a period determined by the Board, originally had a contractual life of seven years, which was extended to ten years in </w:t>
      </w:r>
      <w:r>
        <w:rPr>
          <w:rStyle w:val="Emphasis"/>
          <w:rFonts w:ascii="Times New Roman;Times;serif" w:hAnsi="Times New Roman;Times;serif"/>
          <w:caps w:val="false"/>
          <w:smallCaps w:val="false"/>
          <w:sz w:val="20"/>
        </w:rPr>
        <w:t xml:space="preserve">November 2017 </w:t>
      </w:r>
      <w:r>
        <w:rPr>
          <w:rFonts w:ascii="Times New Roman;Times;serif" w:hAnsi="Times New Roman;Times;serif"/>
          <w:caps w:val="false"/>
          <w:smallCaps w:val="false"/>
          <w:sz w:val="20"/>
        </w:rPr>
        <w:t xml:space="preserve">and are non-assignable except by the laws of descent. The Board has the authority to prescribe, amend and rescind rules and regulations relating to the </w:t>
      </w:r>
      <w:r>
        <w:rPr>
          <w:rStyle w:val="Emphasis"/>
          <w:rFonts w:ascii="Times New Roman;Times;serif" w:hAnsi="Times New Roman;Times;serif"/>
          <w:caps w:val="false"/>
          <w:smallCaps w:val="false"/>
          <w:sz w:val="20"/>
        </w:rPr>
        <w:t>2010</w:t>
      </w:r>
      <w:r>
        <w:rPr>
          <w:rFonts w:ascii="Times New Roman;Times;serif" w:hAnsi="Times New Roman;Times;serif"/>
          <w:caps w:val="false"/>
          <w:smallCaps w:val="false"/>
          <w:sz w:val="20"/>
        </w:rPr>
        <w:t xml:space="preserve"> Share Option Plan, provided that any such amendment or rescindment that would adversely affect the rights of an optionee that has received or been granted an option shall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be made without the optionee’s written consent. As of </w:t>
      </w:r>
      <w:r>
        <w:rPr>
          <w:rStyle w:val="Emphasis"/>
          <w:rFonts w:ascii="Times New Roman;Times;serif" w:hAnsi="Times New Roman;Times;serif"/>
          <w:caps w:val="false"/>
          <w:smallCaps w:val="false"/>
          <w:sz w:val="20"/>
        </w:rPr>
        <w:t>June 30, 2023</w:t>
      </w:r>
      <w:r>
        <w:rPr>
          <w:rFonts w:ascii="Times New Roman;Times;serif" w:hAnsi="Times New Roman;Times;serif"/>
          <w:caps w:val="false"/>
          <w:smallCaps w:val="false"/>
          <w:sz w:val="20"/>
        </w:rPr>
        <w:t xml:space="preserve">, the number of shares of the Company’s common stock reserved for issuance and available for grant under the </w:t>
      </w:r>
      <w:r>
        <w:rPr>
          <w:rStyle w:val="Emphasis"/>
          <w:rFonts w:ascii="Times New Roman;Times;serif" w:hAnsi="Times New Roman;Times;serif"/>
          <w:caps w:val="false"/>
          <w:smallCaps w:val="false"/>
          <w:sz w:val="20"/>
        </w:rPr>
        <w:t>2010</w:t>
      </w:r>
      <w:r>
        <w:rPr>
          <w:rFonts w:ascii="Times New Roman;Times;serif" w:hAnsi="Times New Roman;Times;serif"/>
          <w:caps w:val="false"/>
          <w:smallCaps w:val="false"/>
          <w:sz w:val="20"/>
        </w:rPr>
        <w:t xml:space="preserve"> Share Option Plan was 2,738 (6,284 as of </w:t>
      </w:r>
      <w:r>
        <w:rPr>
          <w:rStyle w:val="Emphasis"/>
          <w:rFonts w:ascii="Times New Roman;Times;serif" w:hAnsi="Times New Roman;Times;serif"/>
          <w:caps w:val="false"/>
          <w:smallCaps w:val="false"/>
          <w:sz w:val="20"/>
        </w:rPr>
        <w:t>December 31, 2022</w:t>
      </w:r>
      <w:r>
        <w:rPr>
          <w:rFonts w:ascii="Times New Roman;Times;serif" w:hAnsi="Times New Roman;Time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Times;serif" w:hAnsi="Times New Roman;Times;serif"/>
          <w:i/>
          <w:caps w:val="false"/>
          <w:smallCaps w:val="false"/>
          <w:sz w:val="20"/>
        </w:rPr>
        <w:t>2019</w:t>
      </w:r>
      <w:r>
        <w:rPr>
          <w:rFonts w:ascii="Times New Roman;Times;serif" w:hAnsi="Times New Roman;Times;serif"/>
          <w:caps w:val="false"/>
          <w:smallCaps w:val="false"/>
          <w:sz w:val="20"/>
        </w:rPr>
        <w:t xml:space="preserve"> </w:t>
      </w:r>
      <w:r>
        <w:rPr>
          <w:rFonts w:ascii="Times New Roman;Times;serif" w:hAnsi="Times New Roman;Times;serif"/>
          <w:i/>
          <w:caps w:val="false"/>
          <w:smallCaps w:val="false"/>
          <w:sz w:val="20"/>
        </w:rPr>
        <w:t>Incentive Award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The </w:t>
      </w:r>
      <w:r>
        <w:rPr>
          <w:rStyle w:val="Emphasis"/>
          <w:rFonts w:ascii="Times New Roman;Times;serif" w:hAnsi="Times New Roman;Times;serif"/>
          <w:caps w:val="false"/>
          <w:smallCaps w:val="false"/>
          <w:sz w:val="20"/>
        </w:rPr>
        <w:t>2019</w:t>
      </w:r>
      <w:r>
        <w:rPr>
          <w:rFonts w:ascii="Times New Roman;Times;serif" w:hAnsi="Times New Roman;Times;serif"/>
          <w:caps w:val="false"/>
          <w:smallCaps w:val="false"/>
          <w:sz w:val="20"/>
        </w:rPr>
        <w:t xml:space="preserve"> Incentive Award Plan (the </w:t>
      </w:r>
      <w:r>
        <w:rPr>
          <w:rStyle w:val="Emphasis"/>
          <w:rFonts w:ascii="Times New Roman;Times;serif" w:hAnsi="Times New Roman;Times;serif"/>
          <w:caps w:val="false"/>
          <w:smallCaps w:val="false"/>
          <w:sz w:val="20"/>
        </w:rPr>
        <w:t>“2019</w:t>
      </w:r>
      <w:r>
        <w:rPr>
          <w:rFonts w:ascii="Times New Roman;Times;serif" w:hAnsi="Times New Roman;Times;serif"/>
          <w:caps w:val="false"/>
          <w:smallCaps w:val="false"/>
          <w:sz w:val="20"/>
        </w:rPr>
        <w:t xml:space="preserve"> Plan”) was originally established under the name Restoration Robotics, Inc., as the </w:t>
      </w:r>
      <w:r>
        <w:rPr>
          <w:rStyle w:val="Emphasis"/>
          <w:rFonts w:ascii="Times New Roman;Times;serif" w:hAnsi="Times New Roman;Times;serif"/>
          <w:caps w:val="false"/>
          <w:smallCaps w:val="false"/>
          <w:sz w:val="20"/>
        </w:rPr>
        <w:t>2017</w:t>
      </w:r>
      <w:r>
        <w:rPr>
          <w:rFonts w:ascii="Times New Roman;Times;serif" w:hAnsi="Times New Roman;Times;serif"/>
          <w:caps w:val="false"/>
          <w:smallCaps w:val="false"/>
          <w:sz w:val="20"/>
        </w:rPr>
        <w:t xml:space="preserve"> Incentive Award Plan. It was adopted by the Board on </w:t>
      </w:r>
      <w:r>
        <w:rPr>
          <w:rStyle w:val="Emphasis"/>
          <w:rFonts w:ascii="Times New Roman;Times;serif" w:hAnsi="Times New Roman;Times;serif"/>
          <w:caps w:val="false"/>
          <w:smallCaps w:val="false"/>
          <w:sz w:val="20"/>
        </w:rPr>
        <w:t>September 12,</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2017</w:t>
      </w:r>
      <w:r>
        <w:rPr>
          <w:rFonts w:ascii="Times New Roman;Times;serif" w:hAnsi="Times New Roman;Times;serif"/>
          <w:caps w:val="false"/>
          <w:smallCaps w:val="false"/>
          <w:sz w:val="20"/>
        </w:rPr>
        <w:t xml:space="preserve"> and approved by the Company’s stockholders on </w:t>
      </w:r>
      <w:r>
        <w:rPr>
          <w:rStyle w:val="Emphasis"/>
          <w:rFonts w:ascii="Times New Roman;Times;serif" w:hAnsi="Times New Roman;Times;serif"/>
          <w:caps w:val="false"/>
          <w:smallCaps w:val="false"/>
          <w:sz w:val="20"/>
        </w:rPr>
        <w:t>September 14,</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2017.</w:t>
      </w:r>
      <w:r>
        <w:rPr>
          <w:rFonts w:ascii="Times New Roman;Times;serif" w:hAnsi="Times New Roman;Times;serif"/>
          <w:caps w:val="false"/>
          <w:smallCaps w:val="false"/>
          <w:sz w:val="20"/>
        </w:rPr>
        <w:t xml:space="preserve"> The </w:t>
      </w:r>
      <w:r>
        <w:rPr>
          <w:rStyle w:val="Emphasis"/>
          <w:rFonts w:ascii="Times New Roman;Times;serif" w:hAnsi="Times New Roman;Times;serif"/>
          <w:caps w:val="false"/>
          <w:smallCaps w:val="false"/>
          <w:sz w:val="20"/>
        </w:rPr>
        <w:t>2017</w:t>
      </w:r>
      <w:r>
        <w:rPr>
          <w:rFonts w:ascii="Times New Roman;Times;serif" w:hAnsi="Times New Roman;Times;serif"/>
          <w:caps w:val="false"/>
          <w:smallCaps w:val="false"/>
          <w:sz w:val="20"/>
        </w:rPr>
        <w:t xml:space="preserve"> Incentive Award Plan was amended, restated, and renamed as set forth above, and was approved by the Company’s stockholders on </w:t>
      </w:r>
      <w:r>
        <w:rPr>
          <w:rStyle w:val="Emphasis"/>
          <w:rFonts w:ascii="Times New Roman;Times;serif" w:hAnsi="Times New Roman;Times;serif"/>
          <w:caps w:val="false"/>
          <w:smallCaps w:val="false"/>
          <w:sz w:val="20"/>
        </w:rPr>
        <w:t>October 4, 2019.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Under the </w:t>
      </w:r>
      <w:r>
        <w:rPr>
          <w:rStyle w:val="Emphasis"/>
          <w:rFonts w:ascii="Times New Roman;Times;serif" w:hAnsi="Times New Roman;Times;serif"/>
          <w:caps w:val="false"/>
          <w:smallCaps w:val="false"/>
          <w:sz w:val="20"/>
        </w:rPr>
        <w:t>2019</w:t>
      </w:r>
      <w:r>
        <w:rPr>
          <w:rFonts w:ascii="Times New Roman;Times;serif" w:hAnsi="Times New Roman;Times;serif"/>
          <w:caps w:val="false"/>
          <w:smallCaps w:val="false"/>
          <w:sz w:val="20"/>
        </w:rPr>
        <w:t xml:space="preserve"> Plan, 30,000 shares of common stock were initially reserved for issuance pursuant to a variety of stock-based compensation awards, including stock options, stock appreciation rights, performance stock awards, performance stock unit awards, restricted stock awards, restricted stock unit awards and other stock-based awards, plus the number of shares remaining available for future awards under the </w:t>
      </w:r>
      <w:r>
        <w:rPr>
          <w:rStyle w:val="Emphasis"/>
          <w:rFonts w:ascii="Times New Roman;Times;serif" w:hAnsi="Times New Roman;Times;serif"/>
          <w:caps w:val="false"/>
          <w:smallCaps w:val="false"/>
          <w:sz w:val="20"/>
        </w:rPr>
        <w:t>2019</w:t>
      </w:r>
      <w:r>
        <w:rPr>
          <w:rFonts w:ascii="Times New Roman;Times;serif" w:hAnsi="Times New Roman;Times;serif"/>
          <w:caps w:val="false"/>
          <w:smallCaps w:val="false"/>
          <w:sz w:val="20"/>
        </w:rPr>
        <w:t xml:space="preserve"> Plan as of the date we completed our business combination with Venus Ltd. and the business of Venus Ltd. became the primary business of the Company (the “Merger”). As of </w:t>
      </w:r>
      <w:r>
        <w:rPr>
          <w:rStyle w:val="Emphasis"/>
          <w:rFonts w:ascii="Times New Roman;Times;serif" w:hAnsi="Times New Roman;Times;serif"/>
          <w:caps w:val="false"/>
          <w:smallCaps w:val="false"/>
          <w:sz w:val="20"/>
        </w:rPr>
        <w:t>June 30, 2023</w:t>
      </w:r>
      <w:r>
        <w:rPr>
          <w:rFonts w:ascii="Times New Roman;Times;serif" w:hAnsi="Times New Roman;Times;serif"/>
          <w:caps w:val="false"/>
          <w:smallCaps w:val="false"/>
          <w:sz w:val="20"/>
        </w:rPr>
        <w:t xml:space="preserve">, there were 61,554 shares of common stock available under the </w:t>
      </w:r>
      <w:r>
        <w:rPr>
          <w:rStyle w:val="Emphasis"/>
          <w:rFonts w:ascii="Times New Roman;Times;serif" w:hAnsi="Times New Roman;Times;serif"/>
          <w:caps w:val="false"/>
          <w:smallCaps w:val="false"/>
          <w:sz w:val="20"/>
        </w:rPr>
        <w:t>2019</w:t>
      </w:r>
      <w:r>
        <w:rPr>
          <w:rFonts w:ascii="Times New Roman;Times;serif" w:hAnsi="Times New Roman;Times;serif"/>
          <w:caps w:val="false"/>
          <w:smallCaps w:val="false"/>
          <w:sz w:val="20"/>
        </w:rPr>
        <w:t xml:space="preserve"> Plan (18,715 as of </w:t>
      </w:r>
      <w:r>
        <w:rPr>
          <w:rStyle w:val="Emphasis"/>
          <w:rFonts w:ascii="Times New Roman;Times;serif" w:hAnsi="Times New Roman;Times;serif"/>
          <w:caps w:val="false"/>
          <w:smallCaps w:val="false"/>
          <w:sz w:val="20"/>
        </w:rPr>
        <w:t>December 31, 2022</w:t>
      </w:r>
      <w:r>
        <w:rPr>
          <w:rFonts w:ascii="Times New Roman;Times;serif" w:hAnsi="Times New Roman;Times;serif"/>
          <w:caps w:val="false"/>
          <w:smallCaps w:val="false"/>
          <w:sz w:val="20"/>
        </w:rPr>
        <w:t xml:space="preserve">). The </w:t>
      </w:r>
      <w:r>
        <w:rPr>
          <w:rStyle w:val="Emphasis"/>
          <w:rFonts w:ascii="Times New Roman;Times;serif" w:hAnsi="Times New Roman;Times;serif"/>
          <w:caps w:val="false"/>
          <w:smallCaps w:val="false"/>
          <w:sz w:val="20"/>
        </w:rPr>
        <w:t>2019</w:t>
      </w:r>
      <w:r>
        <w:rPr>
          <w:rFonts w:ascii="Times New Roman;Times;serif" w:hAnsi="Times New Roman;Times;serif"/>
          <w:caps w:val="false"/>
          <w:smallCaps w:val="false"/>
          <w:sz w:val="20"/>
        </w:rPr>
        <w:t xml:space="preserve"> Plan contains an “evergreen” provision, pursuant to which the number of shares of common stock reserved for issuance pursuant to awards under such plan shall be increased on the </w:t>
      </w:r>
      <w:r>
        <w:rPr>
          <w:rStyle w:val="Emphasis"/>
          <w:rFonts w:ascii="Times New Roman;Times;serif" w:hAnsi="Times New Roman;Times;serif"/>
          <w:caps w:val="false"/>
          <w:smallCaps w:val="false"/>
          <w:sz w:val="20"/>
        </w:rPr>
        <w:t>first</w:t>
      </w:r>
      <w:r>
        <w:rPr>
          <w:rFonts w:ascii="Times New Roman;Times;serif" w:hAnsi="Times New Roman;Times;serif"/>
          <w:caps w:val="false"/>
          <w:smallCaps w:val="false"/>
          <w:sz w:val="20"/>
        </w:rPr>
        <w:t xml:space="preserve"> day of each year from </w:t>
      </w:r>
      <w:r>
        <w:rPr>
          <w:rStyle w:val="Emphasis"/>
          <w:rFonts w:ascii="Times New Roman;Times;serif" w:hAnsi="Times New Roman;Times;serif"/>
          <w:caps w:val="false"/>
          <w:smallCaps w:val="false"/>
          <w:sz w:val="20"/>
        </w:rPr>
        <w:t>2020</w:t>
      </w:r>
      <w:r>
        <w:rPr>
          <w:rFonts w:ascii="Times New Roman;Times;serif" w:hAnsi="Times New Roman;Times;serif"/>
          <w:caps w:val="false"/>
          <w:smallCaps w:val="false"/>
          <w:sz w:val="20"/>
        </w:rPr>
        <w:t xml:space="preserve"> and ending in </w:t>
      </w:r>
      <w:r>
        <w:rPr>
          <w:rStyle w:val="Emphasis"/>
          <w:rFonts w:ascii="Times New Roman;Times;serif" w:hAnsi="Times New Roman;Times;serif"/>
          <w:caps w:val="false"/>
          <w:smallCaps w:val="false"/>
          <w:sz w:val="20"/>
        </w:rPr>
        <w:t>2029</w:t>
      </w:r>
      <w:r>
        <w:rPr>
          <w:rFonts w:ascii="Times New Roman;Times;serif" w:hAnsi="Times New Roman;Times;serif"/>
          <w:caps w:val="false"/>
          <w:smallCaps w:val="false"/>
          <w:sz w:val="20"/>
        </w:rPr>
        <w:t xml:space="preserve"> equal to the lesser of (A) </w:t>
      </w:r>
      <w:r>
        <w:rPr>
          <w:rStyle w:val="Emphasis"/>
          <w:rFonts w:ascii="Times New Roman;Times;serif" w:hAnsi="Times New Roman;Times;serif"/>
          <w:caps w:val="false"/>
          <w:smallCaps w:val="false"/>
          <w:sz w:val="20"/>
        </w:rPr>
        <w:t>four</w:t>
      </w:r>
      <w:r>
        <w:rPr>
          <w:rFonts w:ascii="Times New Roman;Times;serif" w:hAnsi="Times New Roman;Times;serif"/>
          <w:caps w:val="false"/>
          <w:smallCaps w:val="false"/>
          <w:sz w:val="20"/>
        </w:rPr>
        <w:t xml:space="preserve"> percent (4.00%) of the shares of stock outstanding on the last day of the immediately preceding fiscal year and (B) such smaller number of shares of stock as determined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recognized stock-based compensation for its employees and non-employees in the accompanying unaudited condensed consolidated statements of operations as follows:</w:t>
      </w:r>
    </w:p>
    <w:p>
      <w:pPr>
        <w:pStyle w:val="TextBody"/>
        <w:bidi w:val="0"/>
        <w:spacing w:before="0" w:after="0"/>
        <w:ind w:left="0" w:right="0" w:hanging="0"/>
        <w:jc w:val="left"/>
        <w:rPr>
          <w:caps w:val="false"/>
          <w:smallCaps w:val="false"/>
        </w:rPr>
      </w:pPr>
      <w:r>
        <w:rPr>
          <w:caps w:val="false"/>
          <w:smallCaps w:val="false"/>
        </w:rPr>
        <w:t> </w:t>
      </w:r>
    </w:p>
    <w:tbl>
      <w:tblPr>
        <w:tblW w:w="7687" w:type="dxa"/>
        <w:jc w:val="left"/>
        <w:tblInd w:w="0" w:type="dxa"/>
        <w:tblLayout w:type="fixed"/>
        <w:tblCellMar>
          <w:top w:w="0" w:type="dxa"/>
          <w:left w:w="0" w:type="dxa"/>
          <w:bottom w:w="0" w:type="dxa"/>
          <w:right w:w="0" w:type="dxa"/>
        </w:tblCellMar>
      </w:tblPr>
      <w:tblGrid>
        <w:gridCol w:w="2645"/>
        <w:gridCol w:w="60"/>
        <w:gridCol w:w="301"/>
        <w:gridCol w:w="808"/>
        <w:gridCol w:w="144"/>
        <w:gridCol w:w="144"/>
        <w:gridCol w:w="301"/>
        <w:gridCol w:w="808"/>
        <w:gridCol w:w="60"/>
        <w:gridCol w:w="60"/>
        <w:gridCol w:w="241"/>
        <w:gridCol w:w="647"/>
        <w:gridCol w:w="115"/>
        <w:gridCol w:w="115"/>
        <w:gridCol w:w="241"/>
        <w:gridCol w:w="937"/>
        <w:gridCol w:w="60"/>
      </w:tblGrid>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44"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11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11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sales</w:t>
            </w:r>
          </w:p>
        </w:tc>
        <w:tc>
          <w:tcPr>
            <w:tcW w:w="60" w:type="dxa"/>
            <w:tcBorders/>
            <w:shd w:fill="CCEEFF" w:val="clear"/>
            <w:vAlign w:val="center"/>
          </w:tcPr>
          <w:p>
            <w:pPr>
              <w:pStyle w:val="TableContents"/>
              <w:bidi w:val="0"/>
              <w:spacing w:before="0" w:after="283"/>
              <w:ind w:left="0" w:right="0" w:hanging="0"/>
              <w:jc w:val="left"/>
              <w:rPr/>
            </w:pPr>
            <w:r>
              <w:rPr/>
              <w:t> </w:t>
            </w:r>
          </w:p>
        </w:tc>
        <w:tc>
          <w:tcPr>
            <w:tcW w:w="30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30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Selling and marketing</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ind w:left="0" w:right="0" w:hanging="0"/>
              <w:jc w:val="left"/>
              <w:rPr/>
            </w:pPr>
            <w:r>
              <w:rPr/>
              <w:t> </w:t>
            </w:r>
          </w:p>
        </w:tc>
        <w:tc>
          <w:tcPr>
            <w:tcW w:w="8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w:t>
            </w:r>
          </w:p>
        </w:tc>
        <w:tc>
          <w:tcPr>
            <w:tcW w:w="144"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ind w:left="0" w:right="0" w:hanging="0"/>
              <w:jc w:val="left"/>
              <w:rPr/>
            </w:pPr>
            <w:r>
              <w:rPr/>
              <w:t> </w:t>
            </w:r>
          </w:p>
        </w:tc>
        <w:tc>
          <w:tcPr>
            <w:tcW w:w="8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93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ind w:left="0" w:right="0" w:hanging="0"/>
              <w:jc w:val="left"/>
              <w:rPr/>
            </w:pPr>
            <w:r>
              <w:rPr/>
              <w:t> </w:t>
            </w:r>
          </w:p>
        </w:tc>
        <w:tc>
          <w:tcPr>
            <w:tcW w:w="8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ind w:left="0" w:right="0" w:hanging="0"/>
              <w:jc w:val="left"/>
              <w:rPr/>
            </w:pPr>
            <w:r>
              <w:rPr/>
              <w:t> </w:t>
            </w:r>
          </w:p>
        </w:tc>
        <w:tc>
          <w:tcPr>
            <w:tcW w:w="8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551</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9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551</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w:t>
            </w:r>
          </w:p>
        </w:tc>
        <w:tc>
          <w:tcPr>
            <w:tcW w:w="144"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3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stock-based compensation</w:t>
            </w:r>
          </w:p>
        </w:tc>
        <w:tc>
          <w:tcPr>
            <w:tcW w:w="60" w:type="dxa"/>
            <w:tcBorders/>
            <w:shd w:fill="CCEEFF" w:val="clear"/>
            <w:vAlign w:val="center"/>
          </w:tcPr>
          <w:p>
            <w:pPr>
              <w:pStyle w:val="TableContents"/>
              <w:bidi w:val="0"/>
              <w:spacing w:before="0" w:after="283"/>
              <w:ind w:left="0" w:right="0" w:hanging="0"/>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369</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850</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fair value of each option is estimated at the date of grant using the Black-Scholes option pricing formula with the following assumptions</w:t>
      </w:r>
      <w:r>
        <w:rPr>
          <w:rFonts w:ascii="Times New Roman;Times;serif" w:hAnsi="Times New Roman;Times;serif"/>
          <w:caps w:val="false"/>
          <w:smallCaps w:val="false"/>
          <w:position w:val="-2"/>
          <w:sz w:val="16"/>
          <w:sz w:val="20"/>
        </w:rPr>
        <w:t>:</w:t>
      </w:r>
    </w:p>
    <w:p>
      <w:pPr>
        <w:pStyle w:val="TextBody"/>
        <w:bidi w:val="0"/>
        <w:spacing w:before="0" w:after="0"/>
        <w:ind w:left="0" w:right="0" w:hanging="0"/>
        <w:jc w:val="both"/>
        <w:rPr>
          <w:caps w:val="false"/>
          <w:smallCaps w:val="false"/>
        </w:rPr>
      </w:pPr>
      <w:r>
        <w:rPr>
          <w:caps w:val="false"/>
          <w:smallCaps w:val="false"/>
        </w:rPr>
        <w:t> </w:t>
      </w:r>
    </w:p>
    <w:tbl>
      <w:tblPr>
        <w:tblW w:w="7278" w:type="dxa"/>
        <w:jc w:val="left"/>
        <w:tblInd w:w="0" w:type="dxa"/>
        <w:tblLayout w:type="fixed"/>
        <w:tblCellMar>
          <w:top w:w="0" w:type="dxa"/>
          <w:left w:w="0" w:type="dxa"/>
          <w:bottom w:w="0" w:type="dxa"/>
          <w:right w:w="0" w:type="dxa"/>
        </w:tblCellMar>
      </w:tblPr>
      <w:tblGrid>
        <w:gridCol w:w="1985"/>
        <w:gridCol w:w="60"/>
        <w:gridCol w:w="112"/>
        <w:gridCol w:w="911"/>
        <w:gridCol w:w="347"/>
        <w:gridCol w:w="112"/>
        <w:gridCol w:w="112"/>
        <w:gridCol w:w="911"/>
        <w:gridCol w:w="185"/>
        <w:gridCol w:w="60"/>
        <w:gridCol w:w="70"/>
        <w:gridCol w:w="936"/>
        <w:gridCol w:w="216"/>
        <w:gridCol w:w="70"/>
        <w:gridCol w:w="70"/>
        <w:gridCol w:w="936"/>
        <w:gridCol w:w="185"/>
      </w:tblGrid>
      <w:tr>
        <w:trPr/>
        <w:tc>
          <w:tcPr>
            <w:tcW w:w="1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185" w:type="dxa"/>
            <w:tcBorders/>
            <w:shd w:fill="FFFF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347"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10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216"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00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185"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term (in years)</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6.00</w:t>
            </w:r>
          </w:p>
        </w:tc>
        <w:tc>
          <w:tcPr>
            <w:tcW w:w="347"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6.00</w:t>
            </w:r>
          </w:p>
        </w:tc>
        <w:tc>
          <w:tcPr>
            <w:tcW w:w="216"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6.00</w:t>
            </w:r>
          </w:p>
        </w:tc>
        <w:tc>
          <w:tcPr>
            <w:tcW w:w="185"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Risk-free interest rate</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3.37</w:t>
            </w:r>
          </w:p>
        </w:tc>
        <w:tc>
          <w:tcPr>
            <w:tcW w:w="34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2.92</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3.37-3.41</w:t>
            </w:r>
          </w:p>
        </w:tc>
        <w:tc>
          <w:tcPr>
            <w:tcW w:w="2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2.56-2.92</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9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volatility</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42.72</w:t>
            </w:r>
          </w:p>
        </w:tc>
        <w:tc>
          <w:tcPr>
            <w:tcW w:w="34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42.89</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42.98</w:t>
            </w:r>
          </w:p>
        </w:tc>
        <w:tc>
          <w:tcPr>
            <w:tcW w:w="21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42.56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9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dividend rate</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w:t>
            </w:r>
          </w:p>
        </w:tc>
        <w:tc>
          <w:tcPr>
            <w:tcW w:w="34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w:t>
            </w:r>
          </w:p>
        </w:tc>
        <w:tc>
          <w:tcPr>
            <w:tcW w:w="2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Expected Term</w:t>
      </w:r>
      <w:r>
        <w:rPr>
          <w:rFonts w:ascii="Times New Roman;Times;serif" w:hAnsi="Times New Roman;Times;serif"/>
          <w:caps w:val="false"/>
          <w:smallCaps w:val="false"/>
          <w:sz w:val="20"/>
        </w:rPr>
        <w:t>—The expected term represents management’s best estimate for the options to be exercised by option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i/>
          <w:caps w:val="false"/>
          <w:smallCaps w:val="false"/>
          <w:sz w:val="20"/>
        </w:rPr>
        <w:t>Volatility</w:t>
      </w:r>
      <w:r>
        <w:rPr>
          <w:rFonts w:ascii="Times New Roman;Times;serif" w:hAnsi="Times New Roman;Times;serif"/>
          <w:caps w:val="false"/>
          <w:smallCaps w:val="false"/>
          <w:sz w:val="20"/>
        </w:rPr>
        <w:t xml:space="preserve">—Since the Company does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have a trading history for its common stock, the expected volatility was derived from the historical stock volatilities of comparable peer public companies within its industry that are considered to be comparable to the Company’s business over a period equivalent to the expected term of the stock-based awards.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i/>
          <w:caps w:val="false"/>
          <w:smallCaps w:val="false"/>
          <w:sz w:val="20"/>
        </w:rPr>
        <w:t>Risk-Free Interest Rate</w:t>
      </w:r>
      <w:r>
        <w:rPr>
          <w:rFonts w:ascii="Times New Roman;Times;serif" w:hAnsi="Times New Roman;Times;serif"/>
          <w:caps w:val="false"/>
          <w:smallCaps w:val="false"/>
          <w:sz w:val="20"/>
        </w:rPr>
        <w:t xml:space="preserve">—The risk-free interest rate is based on the U.S. Treasury yield curve in effect at the date of grant for </w:t>
      </w:r>
      <w:r>
        <w:rPr>
          <w:rStyle w:val="Emphasis"/>
          <w:rFonts w:ascii="Times New Roman;Times;serif" w:hAnsi="Times New Roman;Times;serif"/>
          <w:caps w:val="false"/>
          <w:smallCaps w:val="false"/>
          <w:sz w:val="20"/>
        </w:rPr>
        <w:t>zero</w:t>
      </w:r>
      <w:r>
        <w:rPr>
          <w:rFonts w:ascii="Times New Roman;Times;serif" w:hAnsi="Times New Roman;Times;serif"/>
          <w:caps w:val="false"/>
          <w:smallCaps w:val="false"/>
          <w:sz w:val="20"/>
        </w:rPr>
        <w:t>-coupon U.S. Treasury notes with maturities approximately equal to the stock-based awards’ expected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i/>
          <w:caps w:val="false"/>
          <w:smallCaps w:val="false"/>
          <w:sz w:val="20"/>
        </w:rPr>
        <w:t>Dividend Rate</w:t>
      </w:r>
      <w:r>
        <w:rPr>
          <w:rFonts w:ascii="Times New Roman;Times;serif" w:hAnsi="Times New Roman;Times;serif"/>
          <w:caps w:val="false"/>
          <w:smallCaps w:val="false"/>
          <w:sz w:val="20"/>
        </w:rPr>
        <w:t xml:space="preserve">—The expected dividend is zero as the Company has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paid nor does it anticipate paying any dividends on its common stock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Fair Value of Common Stock</w:t>
      </w:r>
      <w:r>
        <w:rPr>
          <w:rFonts w:ascii="Times New Roman;Times;serif" w:hAnsi="Times New Roman;Times;serif"/>
          <w:caps w:val="false"/>
          <w:smallCaps w:val="false"/>
          <w:sz w:val="20"/>
        </w:rPr>
        <w:t>— Prior to the Merger, Venus Ltd. used the price per share in its latest sale of securities as an estimate of the fair value of its ordinary shares. After the closing of the Merger, the fair value of the Company’s common stock is used to estimate the fair value of the stock-based awards at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following table summarizes stock option activity under the Company’s stock option plans: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59"/>
        <w:gridCol w:w="60"/>
        <w:gridCol w:w="78"/>
        <w:gridCol w:w="1115"/>
        <w:gridCol w:w="80"/>
        <w:gridCol w:w="60"/>
        <w:gridCol w:w="484"/>
        <w:gridCol w:w="1885"/>
        <w:gridCol w:w="60"/>
        <w:gridCol w:w="60"/>
        <w:gridCol w:w="345"/>
        <w:gridCol w:w="2204"/>
        <w:gridCol w:w="60"/>
        <w:gridCol w:w="60"/>
        <w:gridCol w:w="414"/>
        <w:gridCol w:w="1115"/>
        <w:gridCol w:w="66"/>
      </w:tblGrid>
      <w:tr>
        <w:trPr/>
        <w:tc>
          <w:tcPr>
            <w:tcW w:w="20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9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 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 Average Exercise Price per Share,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 Average Remaining Contractual Term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Aggregate Intrinsic Value</w:t>
            </w:r>
          </w:p>
        </w:tc>
        <w:tc>
          <w:tcPr>
            <w:tcW w:w="66" w:type="dxa"/>
            <w:tcBorders/>
            <w:shd w:fill="FFFFFF" w:val="clear"/>
            <w:vAlign w:val="center"/>
          </w:tcPr>
          <w:p>
            <w:pPr>
              <w:pStyle w:val="TableContents"/>
              <w:bidi w:val="0"/>
              <w:spacing w:before="0" w:after="283"/>
              <w:jc w:val="left"/>
              <w:rPr/>
            </w:pPr>
            <w:r>
              <w:rPr/>
              <w:t> </w:t>
            </w:r>
          </w:p>
        </w:tc>
      </w:tr>
      <w:tr>
        <w:trPr/>
        <w:tc>
          <w:tcPr>
            <w:tcW w:w="205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 January 1, 2023</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849,600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ind w:left="0" w:right="0" w:hanging="0"/>
              <w:jc w:val="left"/>
              <w:rPr/>
            </w:pPr>
            <w:r>
              <w:rPr/>
              <w:t> </w:t>
            </w:r>
          </w:p>
        </w:tc>
        <w:tc>
          <w:tcPr>
            <w:tcW w:w="22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1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w:t>
            </w:r>
          </w:p>
        </w:tc>
        <w:tc>
          <w:tcPr>
            <w:tcW w:w="66" w:type="dxa"/>
            <w:tcBorders/>
            <w:shd w:fill="CCEEFF" w:val="clear"/>
            <w:vAlign w:val="center"/>
          </w:tcPr>
          <w:p>
            <w:pPr>
              <w:pStyle w:val="TableContents"/>
              <w:bidi w:val="0"/>
              <w:spacing w:before="0" w:after="283"/>
              <w:jc w:val="left"/>
              <w:rPr/>
            </w:pPr>
            <w:r>
              <w:rPr/>
              <w:t> </w:t>
            </w:r>
          </w:p>
        </w:tc>
      </w:tr>
      <w:tr>
        <w:trPr/>
        <w:tc>
          <w:tcPr>
            <w:tcW w:w="2059"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granted</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211,031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left"/>
              <w:rPr/>
            </w:pPr>
            <w:r>
              <w:rPr/>
              <w:t> </w:t>
            </w:r>
          </w:p>
        </w:tc>
        <w:tc>
          <w:tcPr>
            <w:tcW w:w="18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2204"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w:t>
            </w:r>
          </w:p>
        </w:tc>
        <w:tc>
          <w:tcPr>
            <w:tcW w:w="66" w:type="dxa"/>
            <w:tcBorders/>
            <w:shd w:fill="FFFFFF" w:val="clear"/>
            <w:vAlign w:val="center"/>
          </w:tcPr>
          <w:p>
            <w:pPr>
              <w:pStyle w:val="TableContents"/>
              <w:bidi w:val="0"/>
              <w:spacing w:before="0" w:after="283"/>
              <w:jc w:val="left"/>
              <w:rPr/>
            </w:pPr>
            <w:r>
              <w:rPr/>
              <w:t> </w:t>
            </w:r>
          </w:p>
        </w:tc>
      </w:tr>
      <w:tr>
        <w:trPr/>
        <w:tc>
          <w:tcPr>
            <w:tcW w:w="20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exercised</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left"/>
              <w:rPr/>
            </w:pPr>
            <w:r>
              <w:rPr/>
              <w:t> </w:t>
            </w:r>
          </w:p>
        </w:tc>
        <w:tc>
          <w:tcPr>
            <w:tcW w:w="18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2204"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4"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w:t>
            </w:r>
          </w:p>
        </w:tc>
        <w:tc>
          <w:tcPr>
            <w:tcW w:w="66" w:type="dxa"/>
            <w:tcBorders/>
            <w:shd w:fill="CCEEFF" w:val="clear"/>
            <w:vAlign w:val="center"/>
          </w:tcPr>
          <w:p>
            <w:pPr>
              <w:pStyle w:val="TableContents"/>
              <w:bidi w:val="0"/>
              <w:spacing w:before="0" w:after="283"/>
              <w:jc w:val="left"/>
              <w:rPr/>
            </w:pPr>
            <w:r>
              <w:rPr/>
              <w:t> </w:t>
            </w:r>
          </w:p>
        </w:tc>
      </w:tr>
      <w:tr>
        <w:trPr/>
        <w:tc>
          <w:tcPr>
            <w:tcW w:w="2059"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forfeited/cancelled</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(43,462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left"/>
              <w:rPr/>
            </w:pPr>
            <w:r>
              <w:rPr/>
              <w:t> </w:t>
            </w:r>
          </w:p>
        </w:tc>
        <w:tc>
          <w:tcPr>
            <w:tcW w:w="18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2204"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w:t>
            </w:r>
          </w:p>
        </w:tc>
        <w:tc>
          <w:tcPr>
            <w:tcW w:w="66" w:type="dxa"/>
            <w:tcBorders/>
            <w:shd w:fill="FFFFFF" w:val="clear"/>
            <w:vAlign w:val="center"/>
          </w:tcPr>
          <w:p>
            <w:pPr>
              <w:pStyle w:val="TableContents"/>
              <w:bidi w:val="0"/>
              <w:spacing w:before="0" w:after="283"/>
              <w:jc w:val="left"/>
              <w:rPr/>
            </w:pPr>
            <w:r>
              <w:rPr/>
              <w:t> </w:t>
            </w:r>
          </w:p>
        </w:tc>
      </w:tr>
      <w:tr>
        <w:trPr/>
        <w:tc>
          <w:tcPr>
            <w:tcW w:w="20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 June 30, 2023</w:t>
            </w:r>
          </w:p>
        </w:tc>
        <w:tc>
          <w:tcPr>
            <w:tcW w:w="60" w:type="dxa"/>
            <w:tcBorders/>
            <w:shd w:fill="CCEEFF" w:val="clear"/>
            <w:vAlign w:val="center"/>
          </w:tcPr>
          <w:p>
            <w:pPr>
              <w:pStyle w:val="TableContents"/>
              <w:bidi w:val="0"/>
              <w:spacing w:before="0" w:after="283"/>
              <w:ind w:left="0" w:right="0" w:hanging="0"/>
              <w:jc w:val="left"/>
              <w:rPr/>
            </w:pPr>
            <w:r>
              <w:rPr/>
              <w:t> </w:t>
            </w:r>
          </w:p>
        </w:tc>
        <w:tc>
          <w:tcPr>
            <w:tcW w:w="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15"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1,017,169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885"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204"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66" w:type="dxa"/>
            <w:tcBorders/>
            <w:shd w:fill="CCEEFF" w:val="clear"/>
            <w:vAlign w:val="center"/>
          </w:tcPr>
          <w:p>
            <w:pPr>
              <w:pStyle w:val="TableContents"/>
              <w:bidi w:val="0"/>
              <w:spacing w:before="0" w:after="283"/>
              <w:jc w:val="left"/>
              <w:rPr/>
            </w:pPr>
            <w:r>
              <w:rPr/>
              <w:t> </w:t>
            </w:r>
          </w:p>
        </w:tc>
      </w:tr>
      <w:tr>
        <w:trPr/>
        <w:tc>
          <w:tcPr>
            <w:tcW w:w="2059"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 June 30, 2023</w:t>
            </w:r>
          </w:p>
        </w:tc>
        <w:tc>
          <w:tcPr>
            <w:tcW w:w="60" w:type="dxa"/>
            <w:tcBorders/>
            <w:shd w:fill="FFFFFF" w:val="clear"/>
            <w:vAlign w:val="center"/>
          </w:tcPr>
          <w:p>
            <w:pPr>
              <w:pStyle w:val="TableContents"/>
              <w:bidi w:val="0"/>
              <w:spacing w:before="0" w:after="283"/>
              <w:ind w:left="0" w:right="0" w:hanging="0"/>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15"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276,841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885"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48.22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2204"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double" w:sz="6" w:space="0" w:color="000000"/>
            </w:tcBorders>
            <w:shd w:fill="FFFFFF" w:val="clear"/>
            <w:tcMar>
              <w:bottom w:w="28" w:type="dxa"/>
            </w:tcMar>
            <w:vAlign w:val="center"/>
          </w:tcPr>
          <w:p>
            <w:pPr>
              <w:pStyle w:val="TableContents"/>
              <w:bidi w:val="0"/>
              <w:spacing w:before="0" w:after="0"/>
              <w:jc w:val="right"/>
              <w:rPr/>
            </w:pPr>
            <w:r>
              <w:rPr/>
              <w:t>—</w:t>
            </w:r>
          </w:p>
        </w:tc>
        <w:tc>
          <w:tcPr>
            <w:tcW w:w="66" w:type="dxa"/>
            <w:tcBorders/>
            <w:shd w:fill="FFFFFF" w:val="clear"/>
            <w:vAlign w:val="center"/>
          </w:tcPr>
          <w:p>
            <w:pPr>
              <w:pStyle w:val="TableContents"/>
              <w:bidi w:val="0"/>
              <w:spacing w:before="0" w:after="283"/>
              <w:jc w:val="left"/>
              <w:rPr/>
            </w:pPr>
            <w:r>
              <w:rPr/>
              <w:t> </w:t>
            </w:r>
          </w:p>
        </w:tc>
      </w:tr>
      <w:tr>
        <w:trPr/>
        <w:tc>
          <w:tcPr>
            <w:tcW w:w="20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to vest – after June 30, 2023</w:t>
            </w:r>
          </w:p>
        </w:tc>
        <w:tc>
          <w:tcPr>
            <w:tcW w:w="60" w:type="dxa"/>
            <w:tcBorders/>
            <w:shd w:fill="CCEEFF" w:val="clear"/>
            <w:vAlign w:val="center"/>
          </w:tcPr>
          <w:p>
            <w:pPr>
              <w:pStyle w:val="TableContents"/>
              <w:bidi w:val="0"/>
              <w:spacing w:before="0" w:after="283"/>
              <w:ind w:left="0" w:right="0" w:hanging="0"/>
              <w:jc w:val="left"/>
              <w:rPr/>
            </w:pPr>
            <w:r>
              <w:rPr/>
              <w:t> </w:t>
            </w:r>
          </w:p>
        </w:tc>
        <w:tc>
          <w:tcPr>
            <w:tcW w:w="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15"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740,328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85"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204"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6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caps w:val="false"/>
          <w:smallCaps w:val="false"/>
          <w:sz w:val="20"/>
        </w:rPr>
        <w:t xml:space="preserve">The following tables summarize information about stock options outstanding and exercisable at </w:t>
      </w:r>
      <w:r>
        <w:rPr>
          <w:rStyle w:val="Emphasis"/>
          <w:rFonts w:ascii="Times New Roman;Times;serif" w:hAnsi="Times New Roman;Times;serif"/>
          <w:caps w:val="false"/>
          <w:smallCaps w:val="false"/>
          <w:sz w:val="20"/>
        </w:rPr>
        <w:t>June 30, 2023</w:t>
      </w:r>
      <w:r>
        <w:rPr>
          <w:rFonts w:ascii="Times New Roman;Times;serif" w:hAnsi="Times New Roman;Time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1"/>
        <w:gridCol w:w="60"/>
        <w:gridCol w:w="60"/>
        <w:gridCol w:w="845"/>
        <w:gridCol w:w="60"/>
        <w:gridCol w:w="60"/>
        <w:gridCol w:w="253"/>
        <w:gridCol w:w="1616"/>
        <w:gridCol w:w="60"/>
        <w:gridCol w:w="60"/>
        <w:gridCol w:w="230"/>
        <w:gridCol w:w="1088"/>
        <w:gridCol w:w="60"/>
        <w:gridCol w:w="60"/>
        <w:gridCol w:w="90"/>
        <w:gridCol w:w="1060"/>
        <w:gridCol w:w="60"/>
        <w:gridCol w:w="60"/>
        <w:gridCol w:w="253"/>
        <w:gridCol w:w="1616"/>
        <w:gridCol w:w="60"/>
        <w:gridCol w:w="60"/>
        <w:gridCol w:w="230"/>
        <w:gridCol w:w="1088"/>
        <w:gridCol w:w="65"/>
      </w:tblGrid>
      <w:tr>
        <w:trPr/>
        <w:tc>
          <w:tcPr>
            <w:tcW w:w="10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3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 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7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 Exercisable</w:t>
            </w:r>
          </w:p>
        </w:tc>
        <w:tc>
          <w:tcPr>
            <w:tcW w:w="65" w:type="dxa"/>
            <w:tcBorders/>
            <w:shd w:fill="FFFFFF" w:val="clear"/>
            <w:vAlign w:val="center"/>
          </w:tcPr>
          <w:p>
            <w:pPr>
              <w:pStyle w:val="TableContents"/>
              <w:bidi w:val="0"/>
              <w:spacing w:before="0" w:after="283"/>
              <w:jc w:val="left"/>
              <w:rPr/>
            </w:pPr>
            <w:r>
              <w:rPr/>
              <w:t> </w:t>
            </w:r>
          </w:p>
        </w:tc>
      </w:tr>
      <w:tr>
        <w:trPr/>
        <w:tc>
          <w:tcPr>
            <w:tcW w:w="10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 Price Range</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remaining contractual term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Exercise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 exercisable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remaining contractual term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Exercise Price</w:t>
            </w:r>
          </w:p>
        </w:tc>
        <w:tc>
          <w:tcPr>
            <w:tcW w:w="65" w:type="dxa"/>
            <w:tcBorders/>
            <w:shd w:fill="FFFFFF" w:val="clear"/>
            <w:vAlign w:val="center"/>
          </w:tcPr>
          <w:p>
            <w:pPr>
              <w:pStyle w:val="TableContents"/>
              <w:bidi w:val="0"/>
              <w:spacing w:before="0" w:after="283"/>
              <w:jc w:val="left"/>
              <w:rPr/>
            </w:pPr>
            <w:r>
              <w:rPr/>
              <w:t> </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$2.82 - $54.60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ind w:left="0" w:right="0" w:hanging="0"/>
              <w:jc w:val="left"/>
              <w:rPr/>
            </w:pPr>
            <w:r>
              <w:rPr/>
              <w:t> </w:t>
            </w:r>
          </w:p>
        </w:tc>
        <w:tc>
          <w:tcPr>
            <w:tcW w:w="16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228,587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ind w:left="0" w:right="0" w:hanging="0"/>
              <w:jc w:val="left"/>
              <w:rPr/>
            </w:pPr>
            <w:r>
              <w:rPr/>
              <w:t> </w:t>
            </w:r>
          </w:p>
        </w:tc>
        <w:tc>
          <w:tcPr>
            <w:tcW w:w="16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33.94</w:t>
            </w:r>
          </w:p>
        </w:tc>
        <w:tc>
          <w:tcPr>
            <w:tcW w:w="65" w:type="dxa"/>
            <w:tcBorders/>
            <w:shd w:fill="CCEEFF" w:val="clear"/>
            <w:vAlign w:val="center"/>
          </w:tcPr>
          <w:p>
            <w:pPr>
              <w:pStyle w:val="TableContents"/>
              <w:bidi w:val="0"/>
              <w:spacing w:before="0" w:after="283"/>
              <w:ind w:left="0" w:right="0" w:hanging="0"/>
              <w:jc w:val="left"/>
              <w:rPr/>
            </w:pPr>
            <w:r>
              <w:rPr/>
              <w:t> </w:t>
            </w:r>
          </w:p>
        </w:tc>
      </w:tr>
      <w:tr>
        <w:trPr/>
        <w:tc>
          <w:tcPr>
            <w:tcW w:w="105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$63.90 - $119.25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46,638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53" w:type="dxa"/>
            <w:tcBorders/>
            <w:shd w:fill="FFFFFF" w:val="clear"/>
            <w:vAlign w:val="center"/>
          </w:tcPr>
          <w:p>
            <w:pPr>
              <w:pStyle w:val="TableContents"/>
              <w:bidi w:val="0"/>
              <w:spacing w:before="0" w:after="0"/>
              <w:ind w:left="0" w:right="0" w:hanging="0"/>
              <w:jc w:val="left"/>
              <w:rPr/>
            </w:pPr>
            <w:r>
              <w:rPr/>
              <w:t> </w:t>
            </w:r>
          </w:p>
        </w:tc>
        <w:tc>
          <w:tcPr>
            <w:tcW w:w="1616"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088"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99.45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6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45,473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53" w:type="dxa"/>
            <w:tcBorders/>
            <w:shd w:fill="FFFFFF" w:val="clear"/>
            <w:vAlign w:val="center"/>
          </w:tcPr>
          <w:p>
            <w:pPr>
              <w:pStyle w:val="TableContents"/>
              <w:bidi w:val="0"/>
              <w:spacing w:before="0" w:after="0"/>
              <w:ind w:left="0" w:right="0" w:hanging="0"/>
              <w:jc w:val="left"/>
              <w:rPr/>
            </w:pPr>
            <w:r>
              <w:rPr/>
              <w:t> </w:t>
            </w:r>
          </w:p>
        </w:tc>
        <w:tc>
          <w:tcPr>
            <w:tcW w:w="1616"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088"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99.76</w:t>
            </w:r>
          </w:p>
        </w:tc>
        <w:tc>
          <w:tcPr>
            <w:tcW w:w="65" w:type="dxa"/>
            <w:tcBorders/>
            <w:shd w:fill="FFFFFF" w:val="clear"/>
            <w:vAlign w:val="center"/>
          </w:tcPr>
          <w:p>
            <w:pPr>
              <w:pStyle w:val="TableContents"/>
              <w:bidi w:val="0"/>
              <w:spacing w:before="0" w:after="0"/>
              <w:ind w:left="0" w:right="0" w:hanging="0"/>
              <w:jc w:val="left"/>
              <w:rPr/>
            </w:pPr>
            <w:r>
              <w:rPr/>
              <w:t> </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$186.75 - $382.50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53" w:type="dxa"/>
            <w:tcBorders/>
            <w:shd w:fill="CCEEFF" w:val="clear"/>
            <w:vAlign w:val="center"/>
          </w:tcPr>
          <w:p>
            <w:pPr>
              <w:pStyle w:val="TableContents"/>
              <w:bidi w:val="0"/>
              <w:spacing w:before="0" w:after="0"/>
              <w:ind w:left="0" w:right="0" w:hanging="0"/>
              <w:jc w:val="left"/>
              <w:rPr/>
            </w:pPr>
            <w:r>
              <w:rPr/>
              <w:t> </w:t>
            </w:r>
          </w:p>
        </w:tc>
        <w:tc>
          <w:tcPr>
            <w:tcW w:w="1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10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271.36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53" w:type="dxa"/>
            <w:tcBorders/>
            <w:shd w:fill="CCEEFF" w:val="clear"/>
            <w:vAlign w:val="center"/>
          </w:tcPr>
          <w:p>
            <w:pPr>
              <w:pStyle w:val="TableContents"/>
              <w:bidi w:val="0"/>
              <w:spacing w:before="0" w:after="0"/>
              <w:ind w:left="0" w:right="0" w:hanging="0"/>
              <w:jc w:val="left"/>
              <w:rPr/>
            </w:pPr>
            <w:r>
              <w:rPr/>
              <w:t> </w:t>
            </w:r>
          </w:p>
        </w:tc>
        <w:tc>
          <w:tcPr>
            <w:tcW w:w="1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10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271.36</w:t>
            </w:r>
          </w:p>
        </w:tc>
        <w:tc>
          <w:tcPr>
            <w:tcW w:w="65" w:type="dxa"/>
            <w:tcBorders/>
            <w:shd w:fill="CCEEFF" w:val="clear"/>
            <w:vAlign w:val="center"/>
          </w:tcPr>
          <w:p>
            <w:pPr>
              <w:pStyle w:val="TableContents"/>
              <w:bidi w:val="0"/>
              <w:spacing w:before="0" w:after="0"/>
              <w:ind w:left="0" w:right="0" w:hanging="0"/>
              <w:jc w:val="left"/>
              <w:rPr/>
            </w:pPr>
            <w:r>
              <w:rPr/>
              <w:t> </w:t>
            </w:r>
          </w:p>
        </w:tc>
      </w:tr>
      <w:tr>
        <w:trPr/>
        <w:tc>
          <w:tcPr>
            <w:tcW w:w="105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$405.00 - $438.75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53" w:type="dxa"/>
            <w:tcBorders/>
            <w:shd w:fill="FFFFFF" w:val="clear"/>
            <w:vAlign w:val="center"/>
          </w:tcPr>
          <w:p>
            <w:pPr>
              <w:pStyle w:val="TableContents"/>
              <w:bidi w:val="0"/>
              <w:spacing w:before="0" w:after="0"/>
              <w:ind w:left="0" w:right="0" w:hanging="0"/>
              <w:jc w:val="left"/>
              <w:rPr/>
            </w:pPr>
            <w:r>
              <w:rPr/>
              <w:t> </w:t>
            </w:r>
          </w:p>
        </w:tc>
        <w:tc>
          <w:tcPr>
            <w:tcW w:w="1616"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088"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405.21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6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53" w:type="dxa"/>
            <w:tcBorders/>
            <w:shd w:fill="FFFFFF" w:val="clear"/>
            <w:vAlign w:val="center"/>
          </w:tcPr>
          <w:p>
            <w:pPr>
              <w:pStyle w:val="TableContents"/>
              <w:bidi w:val="0"/>
              <w:spacing w:before="0" w:after="0"/>
              <w:ind w:left="0" w:right="0" w:hanging="0"/>
              <w:jc w:val="left"/>
              <w:rPr/>
            </w:pPr>
            <w:r>
              <w:rPr/>
              <w:t> </w:t>
            </w:r>
          </w:p>
        </w:tc>
        <w:tc>
          <w:tcPr>
            <w:tcW w:w="1616"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088"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405.21</w:t>
            </w:r>
          </w:p>
        </w:tc>
        <w:tc>
          <w:tcPr>
            <w:tcW w:w="65" w:type="dxa"/>
            <w:tcBorders/>
            <w:shd w:fill="FFFFFF" w:val="clear"/>
            <w:vAlign w:val="center"/>
          </w:tcPr>
          <w:p>
            <w:pPr>
              <w:pStyle w:val="TableContents"/>
              <w:bidi w:val="0"/>
              <w:spacing w:before="0" w:after="0"/>
              <w:ind w:left="0" w:right="0" w:hanging="0"/>
              <w:jc w:val="left"/>
              <w:rPr/>
            </w:pPr>
            <w:r>
              <w:rPr/>
              <w:t> </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$540.00 - $958.50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691.99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691.99</w:t>
            </w:r>
          </w:p>
        </w:tc>
        <w:tc>
          <w:tcPr>
            <w:tcW w:w="65" w:type="dxa"/>
            <w:tcBorders/>
            <w:shd w:fill="CCEEFF" w:val="clear"/>
            <w:vAlign w:val="center"/>
          </w:tcPr>
          <w:p>
            <w:pPr>
              <w:pStyle w:val="TableContents"/>
              <w:bidi w:val="0"/>
              <w:spacing w:before="0" w:after="0"/>
              <w:ind w:left="0" w:right="0" w:hanging="0"/>
              <w:jc w:val="left"/>
              <w:rPr/>
            </w:pPr>
            <w:r>
              <w:rPr/>
              <w:t> </w:t>
            </w:r>
          </w:p>
        </w:tc>
      </w:tr>
      <w:tr>
        <w:trPr/>
        <w:tc>
          <w:tcPr>
            <w:tcW w:w="105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rStyle w:val="Emphasis"/>
              </w:rPr>
              <w:t> </w:t>
            </w:r>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1,017,169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5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61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6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276,841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5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61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48.22</w:t>
            </w:r>
          </w:p>
        </w:tc>
        <w:tc>
          <w:tcPr>
            <w:tcW w:w="65"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The aggregate intrinsic value of options is calculated as the difference between the exercise price of the stock options and the fair value of the Company’s common stock for those options that had exercise prices lower than the fair value of the Company’s common stock. The total intrinsic value of options exercised were</w:t>
      </w:r>
      <w:r>
        <w:rPr>
          <w:rFonts w:ascii="Times New Roman;Times;serif" w:hAnsi="Times New Roman;Times;serif"/>
          <w:caps w:val="false"/>
          <w:smallCaps w:val="false"/>
          <w:sz w:val="20"/>
          <w:shd w:fill="FFFFFF" w:val="clear"/>
        </w:rPr>
        <w:t> $nil </w:t>
      </w:r>
      <w:r>
        <w:rPr>
          <w:rFonts w:ascii="Times New Roman;Times;serif" w:hAnsi="Times New Roman;Times;serif"/>
          <w:caps w:val="false"/>
          <w:smallCaps w:val="false"/>
          <w:sz w:val="20"/>
        </w:rPr>
        <w:t xml:space="preserve">and $nil for the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 xml:space="preserve">June 30, 2023 </w:t>
      </w:r>
      <w:r>
        <w:rPr>
          <w:rFonts w:ascii="Times New Roman;Times;serif" w:hAnsi="Times New Roman;Times;serif"/>
          <w:caps w:val="false"/>
          <w:smallCaps w:val="false"/>
          <w:sz w:val="20"/>
        </w:rPr>
        <w:t xml:space="preserve">and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respectively. The total intrinsic value of options exercised were $nil and $nil for the </w:t>
      </w:r>
      <w:r>
        <w:rPr>
          <w:rStyle w:val="Emphasis"/>
          <w:rFonts w:ascii="Times New Roman;Times;serif" w:hAnsi="Times New Roman;Times;serif"/>
          <w:caps w:val="false"/>
          <w:smallCaps w:val="false"/>
          <w:sz w:val="20"/>
        </w:rPr>
        <w:t>six</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 xml:space="preserve">June 30, 2023 </w:t>
      </w:r>
      <w:r>
        <w:rPr>
          <w:rFonts w:ascii="Times New Roman;Times;serif" w:hAnsi="Times New Roman;Times;serif"/>
          <w:caps w:val="false"/>
          <w:smallCaps w:val="false"/>
          <w:sz w:val="20"/>
        </w:rPr>
        <w:t xml:space="preserve">and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The weighted-average grant date fair value of options granted was $3.38</w:t>
      </w:r>
      <w:r>
        <w:rPr>
          <w:rFonts w:ascii="Times New Roman;Times;serif" w:hAnsi="Times New Roman;Times;serif"/>
          <w:caps w:val="false"/>
          <w:smallCaps w:val="false"/>
          <w:sz w:val="20"/>
          <w:shd w:fill="FFFFFF" w:val="clear"/>
        </w:rPr>
        <w:t> </w:t>
      </w:r>
      <w:r>
        <w:rPr>
          <w:rFonts w:ascii="Times New Roman;Times;serif" w:hAnsi="Times New Roman;Times;serif"/>
          <w:caps w:val="false"/>
          <w:smallCaps w:val="false"/>
          <w:sz w:val="20"/>
        </w:rPr>
        <w:t xml:space="preserve">and $10.05 per share for the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 xml:space="preserve">June 30, 2023 </w:t>
      </w:r>
      <w:r>
        <w:rPr>
          <w:rFonts w:ascii="Times New Roman;Times;serif" w:hAnsi="Times New Roman;Times;serif"/>
          <w:caps w:val="false"/>
          <w:smallCaps w:val="false"/>
          <w:sz w:val="20"/>
        </w:rPr>
        <w:t xml:space="preserve">and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respectively. The weighted-average grant date fair value of options granted was $2.89 and $20.10 per share for the </w:t>
      </w:r>
      <w:r>
        <w:rPr>
          <w:rStyle w:val="Emphasis"/>
          <w:rFonts w:ascii="Times New Roman;Times;serif" w:hAnsi="Times New Roman;Times;serif"/>
          <w:caps w:val="false"/>
          <w:smallCaps w:val="false"/>
          <w:sz w:val="20"/>
        </w:rPr>
        <w:t>six</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 xml:space="preserve">June 30, 2023 </w:t>
      </w:r>
      <w:r>
        <w:rPr>
          <w:rFonts w:ascii="Times New Roman;Times;serif" w:hAnsi="Times New Roman;Times;serif"/>
          <w:caps w:val="false"/>
          <w:smallCaps w:val="false"/>
          <w:sz w:val="20"/>
        </w:rPr>
        <w:t xml:space="preserve">and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respectively. The fair value of options vested during the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 xml:space="preserve">June 30, 2023 </w:t>
      </w:r>
      <w:r>
        <w:rPr>
          <w:rFonts w:ascii="Times New Roman;Times;serif" w:hAnsi="Times New Roman;Times;serif"/>
          <w:caps w:val="false"/>
          <w:smallCaps w:val="false"/>
          <w:sz w:val="20"/>
        </w:rPr>
        <w:t xml:space="preserve">and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was $322 and $411, respectively. The fair value of options vested during the </w:t>
      </w:r>
      <w:r>
        <w:rPr>
          <w:rStyle w:val="Emphasis"/>
          <w:rFonts w:ascii="Times New Roman;Times;serif" w:hAnsi="Times New Roman;Times;serif"/>
          <w:caps w:val="false"/>
          <w:smallCaps w:val="false"/>
          <w:sz w:val="20"/>
        </w:rPr>
        <w:t>six</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 xml:space="preserve">June 30, 2023 </w:t>
      </w:r>
      <w:r>
        <w:rPr>
          <w:rFonts w:ascii="Times New Roman;Times;serif" w:hAnsi="Times New Roman;Times;serif"/>
          <w:caps w:val="false"/>
          <w:smallCaps w:val="false"/>
          <w:sz w:val="20"/>
        </w:rPr>
        <w:t xml:space="preserve">and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was $681 and $775,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Units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The following table summarizes information about RSUs outstanding at </w:t>
      </w:r>
      <w:r>
        <w:rPr>
          <w:rStyle w:val="Emphasis"/>
          <w:rFonts w:ascii="Times New Roman;Times;serif" w:hAnsi="Times New Roman;Times;serif"/>
          <w:caps w:val="false"/>
          <w:smallCaps w:val="false"/>
          <w:sz w:val="20"/>
        </w:rPr>
        <w:t>June 30, 2023</w:t>
      </w:r>
      <w:r>
        <w:rPr>
          <w:rFonts w:ascii="Times New Roman;Times;serif" w:hAnsi="Times New Roman;Times;serif"/>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2510"/>
        <w:gridCol w:w="60"/>
        <w:gridCol w:w="125"/>
        <w:gridCol w:w="1364"/>
        <w:gridCol w:w="80"/>
        <w:gridCol w:w="60"/>
        <w:gridCol w:w="933"/>
        <w:gridCol w:w="3631"/>
        <w:gridCol w:w="60"/>
      </w:tblGrid>
      <w:tr>
        <w:trPr/>
        <w:tc>
          <w:tcPr>
            <w:tcW w:w="2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 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 Grant Date Fair Value per Share, $</w:t>
            </w:r>
          </w:p>
        </w:tc>
        <w:tc>
          <w:tcPr>
            <w:tcW w:w="60"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 January 1, 2023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3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6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19.50</w:t>
            </w:r>
          </w:p>
        </w:tc>
        <w:tc>
          <w:tcPr>
            <w:tcW w:w="60"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RSUs granted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36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ind w:left="0" w:right="0" w:hanging="0"/>
              <w:jc w:val="left"/>
              <w:rPr/>
            </w:pPr>
            <w:r>
              <w:rPr/>
              <w:t> </w:t>
            </w:r>
          </w:p>
        </w:tc>
        <w:tc>
          <w:tcPr>
            <w:tcW w:w="363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RSUs forfeited/cancelled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3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ind w:left="0" w:right="0" w:hanging="0"/>
              <w:jc w:val="left"/>
              <w:rPr/>
            </w:pPr>
            <w:r>
              <w:rPr/>
              <w:t> </w:t>
            </w:r>
          </w:p>
        </w:tc>
        <w:tc>
          <w:tcPr>
            <w:tcW w:w="36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20.70</w:t>
            </w:r>
          </w:p>
        </w:tc>
        <w:tc>
          <w:tcPr>
            <w:tcW w:w="60"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RSUs exercised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9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6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20.70</w:t>
            </w:r>
          </w:p>
        </w:tc>
        <w:tc>
          <w:tcPr>
            <w:tcW w:w="60"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 June 30, 2023</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6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15.</w:t>
      </w:r>
      <w:r>
        <w:rPr>
          <w:rFonts w:ascii="Times New Roman" w:hAnsi="Times New Roman"/>
          <w:b/>
          <w:caps w:val="false"/>
          <w:smallCaps w:val="false"/>
          <w:sz w:val="20"/>
        </w:rPr>
        <w:t xml:space="preserve"> INCOME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 generated a loss and recognize</w:t>
      </w:r>
      <w:r>
        <w:rPr>
          <w:rFonts w:ascii="Times New Roman" w:hAnsi="Times New Roman"/>
          <w:caps w:val="false"/>
          <w:smallCaps w:val="false"/>
          <w:sz w:val="20"/>
          <w:shd w:fill="FFFFFF" w:val="clear"/>
        </w:rPr>
        <w:t xml:space="preserve">d $189 of tax expense for the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rPr>
        <w:t>June 30, 2023</w:t>
      </w:r>
      <w:r>
        <w:rPr>
          <w:rFonts w:ascii="Times New Roman" w:hAnsi="Times New Roman"/>
          <w:caps w:val="false"/>
          <w:smallCaps w:val="false"/>
          <w:sz w:val="20"/>
          <w:shd w:fill="FFFFFF" w:val="clear"/>
        </w:rPr>
        <w:t xml:space="preserve">, and $18 of tax benefit for the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rPr>
        <w:t>June 30, 2022</w:t>
      </w:r>
      <w:r>
        <w:rPr>
          <w:rFonts w:ascii="Times New Roman" w:hAnsi="Times New Roman"/>
          <w:caps w:val="false"/>
          <w:smallCaps w:val="false"/>
          <w:sz w:val="20"/>
          <w:shd w:fill="FFFFFF" w:val="clear"/>
        </w:rPr>
        <w:t xml:space="preserve">, respectively. The Company generated a loss and recognized $424 of tax expense for the </w:t>
      </w:r>
      <w:r>
        <w:rPr>
          <w:rStyle w:val="Emphasis"/>
          <w:rFonts w:ascii="Times New Roman" w:hAnsi="Times New Roman"/>
          <w:caps w:val="false"/>
          <w:smallCaps w:val="false"/>
          <w:sz w:val="20"/>
          <w:shd w:fill="FFFFFF" w:val="clear"/>
        </w:rPr>
        <w:t>six</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 xml:space="preserve">June 30, 2023, </w:t>
      </w:r>
      <w:r>
        <w:rPr>
          <w:rFonts w:ascii="Times New Roman" w:hAnsi="Times New Roman"/>
          <w:caps w:val="false"/>
          <w:smallCaps w:val="false"/>
          <w:sz w:val="20"/>
          <w:shd w:fill="FFFFFF" w:val="clear"/>
        </w:rPr>
        <w:t xml:space="preserve">and $254 of tax expense for the </w:t>
      </w:r>
      <w:r>
        <w:rPr>
          <w:rStyle w:val="Emphasis"/>
          <w:rFonts w:ascii="Times New Roman" w:hAnsi="Times New Roman"/>
          <w:caps w:val="false"/>
          <w:smallCaps w:val="false"/>
          <w:sz w:val="20"/>
          <w:shd w:fill="FFFFFF" w:val="clear"/>
        </w:rPr>
        <w:t>six</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 xml:space="preserve">June 30, 2022, </w:t>
      </w:r>
      <w:r>
        <w:rPr>
          <w:rFonts w:ascii="Times New Roman" w:hAnsi="Times New Roman"/>
          <w:caps w:val="false"/>
          <w:smallCaps w:val="false"/>
          <w:sz w:val="20"/>
          <w:shd w:fill="FFFFFF" w:val="clear"/>
        </w:rPr>
        <w:t>respectively.  A reconciliation of income tax (benefit) expense is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42"/>
        <w:gridCol w:w="60"/>
        <w:gridCol w:w="191"/>
        <w:gridCol w:w="837"/>
        <w:gridCol w:w="122"/>
        <w:gridCol w:w="92"/>
        <w:gridCol w:w="191"/>
        <w:gridCol w:w="998"/>
        <w:gridCol w:w="80"/>
        <w:gridCol w:w="60"/>
        <w:gridCol w:w="166"/>
        <w:gridCol w:w="865"/>
        <w:gridCol w:w="105"/>
        <w:gridCol w:w="79"/>
        <w:gridCol w:w="166"/>
        <w:gridCol w:w="865"/>
        <w:gridCol w:w="86"/>
      </w:tblGrid>
      <w:tr>
        <w:trPr/>
        <w:tc>
          <w:tcPr>
            <w:tcW w:w="52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3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4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86" w:type="dxa"/>
            <w:tcBorders/>
            <w:shd w:fill="FFFFFF" w:val="clear"/>
            <w:vAlign w:val="center"/>
          </w:tcPr>
          <w:p>
            <w:pPr>
              <w:pStyle w:val="TableContents"/>
              <w:bidi w:val="0"/>
              <w:spacing w:before="0" w:after="283"/>
              <w:jc w:val="left"/>
              <w:rPr/>
            </w:pPr>
            <w:r>
              <w:rPr/>
              <w:t> </w:t>
            </w:r>
          </w:p>
        </w:tc>
      </w:tr>
      <w:tr>
        <w:trPr/>
        <w:tc>
          <w:tcPr>
            <w:tcW w:w="52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2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0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6" w:type="dxa"/>
            <w:tcBorders/>
            <w:shd w:fill="FFFFFF" w:val="clear"/>
            <w:vAlign w:val="center"/>
          </w:tcPr>
          <w:p>
            <w:pPr>
              <w:pStyle w:val="TableContents"/>
              <w:bidi w:val="0"/>
              <w:spacing w:before="0" w:after="283"/>
              <w:ind w:left="0" w:right="0" w:hanging="0"/>
              <w:jc w:val="left"/>
              <w:rPr/>
            </w:pPr>
            <w:r>
              <w:rPr/>
              <w:t> </w:t>
            </w:r>
          </w:p>
        </w:tc>
      </w:tr>
      <w:tr>
        <w:trPr/>
        <w:tc>
          <w:tcPr>
            <w:tcW w:w="524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(7,132</w:t>
            </w:r>
          </w:p>
        </w:tc>
        <w:tc>
          <w:tcPr>
            <w:tcW w:w="12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(10,530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(16,520</w:t>
            </w:r>
          </w:p>
        </w:tc>
        <w:tc>
          <w:tcPr>
            <w:tcW w:w="10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(18,894</w:t>
            </w:r>
          </w:p>
        </w:tc>
        <w:tc>
          <w:tcPr>
            <w:tcW w:w="8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524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Theoretical tax expense at the statutory rate (21% in 2023 and 2022)</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83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(1,484</w:t>
            </w:r>
          </w:p>
        </w:tc>
        <w:tc>
          <w:tcPr>
            <w:tcW w:w="12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2"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(2,211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86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(3,456</w:t>
            </w:r>
          </w:p>
        </w:tc>
        <w:tc>
          <w:tcPr>
            <w:tcW w:w="1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86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(3,968</w:t>
            </w:r>
          </w:p>
        </w:tc>
        <w:tc>
          <w:tcPr>
            <w:tcW w:w="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24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Differences in jurisdictional tax rates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8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(281</w:t>
            </w:r>
          </w:p>
        </w:tc>
        <w:tc>
          <w:tcPr>
            <w:tcW w:w="12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8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(548</w:t>
            </w:r>
          </w:p>
        </w:tc>
        <w:tc>
          <w:tcPr>
            <w:tcW w:w="10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8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(593</w:t>
            </w:r>
          </w:p>
        </w:tc>
        <w:tc>
          <w:tcPr>
            <w:tcW w:w="8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24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Valuation allowance</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83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1,890</w:t>
            </w:r>
          </w:p>
        </w:tc>
        <w:tc>
          <w:tcPr>
            <w:tcW w:w="12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8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4,332</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8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4,185</w:t>
            </w:r>
          </w:p>
        </w:tc>
        <w:tc>
          <w:tcPr>
            <w:tcW w:w="86" w:type="dxa"/>
            <w:tcBorders/>
            <w:shd w:fill="FFFFFF" w:val="clear"/>
            <w:vAlign w:val="center"/>
          </w:tcPr>
          <w:p>
            <w:pPr>
              <w:pStyle w:val="TableContents"/>
              <w:bidi w:val="0"/>
              <w:spacing w:before="0" w:after="283"/>
              <w:jc w:val="left"/>
              <w:rPr/>
            </w:pPr>
            <w:r>
              <w:rPr/>
              <w:t> </w:t>
            </w:r>
          </w:p>
        </w:tc>
      </w:tr>
      <w:tr>
        <w:trPr/>
        <w:tc>
          <w:tcPr>
            <w:tcW w:w="524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Non-deductible expenses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8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w:t>
            </w:r>
          </w:p>
        </w:tc>
        <w:tc>
          <w:tcPr>
            <w:tcW w:w="12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8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w:t>
            </w:r>
          </w:p>
        </w:tc>
        <w:tc>
          <w:tcPr>
            <w:tcW w:w="1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8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631</w:t>
            </w:r>
          </w:p>
        </w:tc>
        <w:tc>
          <w:tcPr>
            <w:tcW w:w="86" w:type="dxa"/>
            <w:tcBorders/>
            <w:shd w:fill="CCEEFF" w:val="clear"/>
            <w:vAlign w:val="center"/>
          </w:tcPr>
          <w:p>
            <w:pPr>
              <w:pStyle w:val="TableContents"/>
              <w:bidi w:val="0"/>
              <w:spacing w:before="0" w:after="283"/>
              <w:ind w:left="0" w:right="0" w:hanging="0"/>
              <w:jc w:val="left"/>
              <w:rPr/>
            </w:pPr>
            <w:r>
              <w:rPr/>
              <w:t> </w:t>
            </w:r>
          </w:p>
        </w:tc>
      </w:tr>
      <w:tr>
        <w:trPr/>
        <w:tc>
          <w:tcPr>
            <w:tcW w:w="524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37"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w:t>
            </w:r>
          </w:p>
        </w:tc>
        <w:tc>
          <w:tcPr>
            <w:tcW w:w="12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2" w:type="dxa"/>
            <w:tcBorders/>
            <w:shd w:fill="FFFFFF" w:val="clear"/>
            <w:vAlign w:val="center"/>
          </w:tcPr>
          <w:p>
            <w:pPr>
              <w:pStyle w:val="TableContents"/>
              <w:bidi w:val="0"/>
              <w:spacing w:before="0" w:after="283"/>
              <w:ind w:left="0" w:right="0" w:hanging="0"/>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98"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6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w:t>
            </w:r>
          </w:p>
        </w:tc>
        <w:tc>
          <w:tcPr>
            <w:tcW w:w="1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9" w:type="dxa"/>
            <w:tcBorders/>
            <w:shd w:fill="FFFFFF" w:val="clear"/>
            <w:vAlign w:val="center"/>
          </w:tcPr>
          <w:p>
            <w:pPr>
              <w:pStyle w:val="TableContents"/>
              <w:bidi w:val="0"/>
              <w:spacing w:before="0" w:after="283"/>
              <w:ind w:left="0" w:right="0" w:hanging="0"/>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6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w:t>
            </w:r>
          </w:p>
        </w:tc>
        <w:tc>
          <w:tcPr>
            <w:tcW w:w="8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524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income tax provision (recovery)</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7"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189</w:t>
            </w:r>
          </w:p>
        </w:tc>
        <w:tc>
          <w:tcPr>
            <w:tcW w:w="12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8"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424</w:t>
            </w:r>
          </w:p>
        </w:tc>
        <w:tc>
          <w:tcPr>
            <w:tcW w:w="1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254</w:t>
            </w:r>
          </w:p>
        </w:tc>
        <w:tc>
          <w:tcPr>
            <w:tcW w:w="86" w:type="dxa"/>
            <w:tcBorders/>
            <w:shd w:fill="CCEEFF" w:val="clear"/>
            <w:vAlign w:val="center"/>
          </w:tcPr>
          <w:p>
            <w:pPr>
              <w:pStyle w:val="TableContents"/>
              <w:bidi w:val="0"/>
              <w:spacing w:before="0" w:after="283"/>
              <w:ind w:left="0" w:right="0" w:hanging="0"/>
              <w:jc w:val="left"/>
              <w:rPr/>
            </w:pPr>
            <w:r>
              <w:rPr/>
              <w:t> </w:t>
            </w:r>
          </w:p>
        </w:tc>
      </w:tr>
      <w:tr>
        <w:trPr/>
        <w:tc>
          <w:tcPr>
            <w:tcW w:w="524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37"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(7,321</w:t>
            </w:r>
          </w:p>
        </w:tc>
        <w:tc>
          <w:tcPr>
            <w:tcW w:w="12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2" w:type="dxa"/>
            <w:tcBorders/>
            <w:shd w:fill="FFFF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98"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(10,512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65"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(16,944</w:t>
            </w:r>
          </w:p>
        </w:tc>
        <w:tc>
          <w:tcPr>
            <w:tcW w:w="1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9" w:type="dxa"/>
            <w:tcBorders/>
            <w:shd w:fill="FFFFFF" w:val="clear"/>
            <w:vAlign w:val="center"/>
          </w:tcPr>
          <w:p>
            <w:pPr>
              <w:pStyle w:val="TableContents"/>
              <w:bidi w:val="0"/>
              <w:spacing w:before="0" w:after="283"/>
              <w:ind w:left="0" w:right="0" w:hanging="0"/>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65"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(19,148</w:t>
            </w:r>
          </w:p>
        </w:tc>
        <w:tc>
          <w:tcPr>
            <w:tcW w:w="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Income tax expense or benefit is recognized based on the actual loss incurred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16.</w:t>
      </w:r>
      <w:r>
        <w:rPr>
          <w:rFonts w:ascii="Times New Roman" w:hAnsi="Times New Roman"/>
          <w:b/>
          <w:caps w:val="false"/>
          <w:smallCaps w:val="false"/>
          <w:sz w:val="20"/>
        </w:rPr>
        <w:t xml:space="preserve"> SEGMENT AND GEOGRAPHIC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it operates in a single operating segment and has one reportable segment, as the CODM reviews financial information presented on a consolidated basis accompanied by disaggregated information about revenues by geography and type for purposes of making operating decisions, allocating resources, and evaluating financial performance.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assess the performance of individual product lines on measures of profit or loss, or asset-based metrics. Therefore, the information below is presented only for revenues by geography and type.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 by geographic location, which is based on the product shipped to location, is summarized as follows:</w:t>
      </w:r>
    </w:p>
    <w:p>
      <w:pPr>
        <w:pStyle w:val="TextBody"/>
        <w:bidi w:val="0"/>
        <w:spacing w:before="0" w:after="0"/>
        <w:ind w:left="0" w:right="0" w:hanging="0"/>
        <w:jc w:val="left"/>
        <w:rPr>
          <w:caps w:val="false"/>
          <w:smallCaps w:val="false"/>
        </w:rPr>
      </w:pPr>
      <w:r>
        <w:rPr>
          <w:caps w:val="false"/>
          <w:smallCaps w:val="false"/>
        </w:rPr>
        <w:t> </w:t>
      </w:r>
    </w:p>
    <w:tbl>
      <w:tblPr>
        <w:tblW w:w="6191" w:type="dxa"/>
        <w:jc w:val="left"/>
        <w:tblInd w:w="0" w:type="dxa"/>
        <w:tblLayout w:type="fixed"/>
        <w:tblCellMar>
          <w:top w:w="0" w:type="dxa"/>
          <w:left w:w="0" w:type="dxa"/>
          <w:bottom w:w="0" w:type="dxa"/>
          <w:right w:w="0" w:type="dxa"/>
        </w:tblCellMar>
      </w:tblPr>
      <w:tblGrid>
        <w:gridCol w:w="1145"/>
        <w:gridCol w:w="60"/>
        <w:gridCol w:w="202"/>
        <w:gridCol w:w="955"/>
        <w:gridCol w:w="97"/>
        <w:gridCol w:w="97"/>
        <w:gridCol w:w="202"/>
        <w:gridCol w:w="955"/>
        <w:gridCol w:w="60"/>
        <w:gridCol w:w="60"/>
        <w:gridCol w:w="185"/>
        <w:gridCol w:w="875"/>
        <w:gridCol w:w="89"/>
        <w:gridCol w:w="89"/>
        <w:gridCol w:w="185"/>
        <w:gridCol w:w="875"/>
        <w:gridCol w:w="60"/>
      </w:tblGrid>
      <w:tr>
        <w:trPr/>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11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United States</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9,757</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20,498</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26,546</w:t>
            </w:r>
          </w:p>
        </w:tc>
        <w:tc>
          <w:tcPr>
            <w:tcW w:w="60" w:type="dxa"/>
            <w:tcBorders/>
            <w:shd w:fill="CCEE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International</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10,318</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20,108</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27,126</w:t>
            </w:r>
          </w:p>
        </w:tc>
        <w:tc>
          <w:tcPr>
            <w:tcW w:w="60" w:type="dxa"/>
            <w:tcBorders/>
            <w:shd w:fill="FFFFFF" w:val="clear"/>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20,075</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27,266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40,606</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53,672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2023</w:t>
      </w:r>
      <w:r>
        <w:rPr>
          <w:rFonts w:ascii="Times New Roman" w:hAnsi="Times New Roman"/>
          <w:caps w:val="false"/>
          <w:smallCaps w:val="false"/>
          <w:sz w:val="20"/>
        </w:rPr>
        <w:t>, long-lived assets in the amount of $10,562</w:t>
      </w:r>
      <w:r>
        <w:rPr>
          <w:rFonts w:ascii="Times New Roman" w:hAnsi="Times New Roman"/>
          <w:caps w:val="false"/>
          <w:smallCaps w:val="false"/>
          <w:sz w:val="20"/>
          <w:shd w:fill="FFFFFF" w:val="clear"/>
        </w:rPr>
        <w:t> were located in the United States and $1,275 </w:t>
      </w:r>
      <w:r>
        <w:rPr>
          <w:rFonts w:ascii="Times New Roman" w:hAnsi="Times New Roman"/>
          <w:caps w:val="false"/>
          <w:smallCaps w:val="false"/>
          <w:sz w:val="20"/>
        </w:rPr>
        <w:t xml:space="preserve">were located in foreign locations. As of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long-lived assets in the amount of $12,346 were located in the United States and $1,431 were located in foreign locations.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Revenue by type is a key indicator for providing management with an understanding of the Company’s financial performance, which is organized into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different categories: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 w:hAnsi="Times New Roman"/>
          <w:caps w:val="false"/>
          <w:smallCaps w:val="false"/>
          <w:sz w:val="20"/>
        </w:rPr>
        <w:t>1.</w:t>
      </w:r>
      <w:r>
        <w:rPr>
          <w:rFonts w:ascii="Times New Roman" w:hAnsi="Times New Roman"/>
          <w:caps w:val="false"/>
          <w:smallCaps w:val="false"/>
          <w:sz w:val="20"/>
        </w:rPr>
        <w:t>    Lease revenue – includes all system sales with typical lease terms of 36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 w:hAnsi="Times New Roman"/>
          <w:caps w:val="false"/>
          <w:smallCaps w:val="false"/>
          <w:sz w:val="20"/>
        </w:rPr>
        <w:t>2.</w:t>
      </w:r>
      <w:r>
        <w:rPr>
          <w:rFonts w:ascii="Times New Roman" w:hAnsi="Times New Roman"/>
          <w:caps w:val="false"/>
          <w:smallCaps w:val="false"/>
          <w:sz w:val="20"/>
        </w:rPr>
        <w:t>    System revenue – includes all systems sales with payment terms within 12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 w:hAnsi="Times New Roman"/>
          <w:caps w:val="false"/>
          <w:smallCaps w:val="false"/>
          <w:sz w:val="20"/>
        </w:rPr>
        <w:t>3.</w:t>
      </w:r>
      <w:r>
        <w:rPr>
          <w:rFonts w:ascii="Times New Roman" w:hAnsi="Times New Roman"/>
          <w:caps w:val="false"/>
          <w:smallCaps w:val="false"/>
          <w:sz w:val="20"/>
        </w:rPr>
        <w:t>    Product revenue – includes skincare, hair and other consumables payable upon receipt.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 w:hAnsi="Times New Roman"/>
          <w:caps w:val="false"/>
          <w:smallCaps w:val="false"/>
          <w:sz w:val="20"/>
        </w:rPr>
        <w:t>4.</w:t>
      </w:r>
      <w:r>
        <w:rPr>
          <w:rFonts w:ascii="Times New Roman" w:hAnsi="Times New Roman"/>
          <w:caps w:val="false"/>
          <w:smallCaps w:val="false"/>
          <w:sz w:val="20"/>
        </w:rPr>
        <w:t>    Service revenue – includes NeoGraft technician services, ad agency services and extended warranty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presents revenue by type:</w:t>
      </w:r>
    </w:p>
    <w:p>
      <w:pPr>
        <w:pStyle w:val="TextBody"/>
        <w:bidi w:val="0"/>
        <w:spacing w:before="0" w:after="0"/>
        <w:ind w:left="0" w:right="0" w:hanging="0"/>
        <w:jc w:val="left"/>
        <w:rPr>
          <w:caps w:val="false"/>
          <w:smallCaps w:val="false"/>
        </w:rPr>
      </w:pPr>
      <w:r>
        <w:rPr>
          <w:caps w:val="false"/>
          <w:smallCaps w:val="false"/>
        </w:rPr>
        <w:t> </w:t>
      </w:r>
    </w:p>
    <w:tbl>
      <w:tblPr>
        <w:tblW w:w="6386" w:type="dxa"/>
        <w:jc w:val="left"/>
        <w:tblInd w:w="0" w:type="dxa"/>
        <w:tblLayout w:type="fixed"/>
        <w:tblCellMar>
          <w:top w:w="0" w:type="dxa"/>
          <w:left w:w="0" w:type="dxa"/>
          <w:bottom w:w="0" w:type="dxa"/>
          <w:right w:w="0" w:type="dxa"/>
        </w:tblCellMar>
      </w:tblPr>
      <w:tblGrid>
        <w:gridCol w:w="1340"/>
        <w:gridCol w:w="60"/>
        <w:gridCol w:w="202"/>
        <w:gridCol w:w="955"/>
        <w:gridCol w:w="97"/>
        <w:gridCol w:w="97"/>
        <w:gridCol w:w="202"/>
        <w:gridCol w:w="955"/>
        <w:gridCol w:w="60"/>
        <w:gridCol w:w="60"/>
        <w:gridCol w:w="185"/>
        <w:gridCol w:w="875"/>
        <w:gridCol w:w="89"/>
        <w:gridCol w:w="89"/>
        <w:gridCol w:w="185"/>
        <w:gridCol w:w="875"/>
        <w:gridCol w:w="60"/>
      </w:tblGrid>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11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4,311</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10,072</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22,297</w:t>
            </w:r>
          </w:p>
        </w:tc>
        <w:tc>
          <w:tcPr>
            <w:tcW w:w="6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System revenue</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12,313</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23,377</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23,422</w:t>
            </w:r>
          </w:p>
        </w:tc>
        <w:tc>
          <w:tcPr>
            <w:tcW w:w="6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Product revenue</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2,586</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5,532</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6,577</w:t>
            </w:r>
          </w:p>
        </w:tc>
        <w:tc>
          <w:tcPr>
            <w:tcW w:w="6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Service revenue</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865</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1,625</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1,376</w:t>
            </w:r>
          </w:p>
        </w:tc>
        <w:tc>
          <w:tcPr>
            <w:tcW w:w="6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20,075</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27,266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40,606</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53,672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17.</w:t>
      </w:r>
      <w:r>
        <w:rPr>
          <w:rFonts w:ascii="Times New Roman" w:hAnsi="Times New Roman"/>
          <w:b/>
          <w:caps w:val="false"/>
          <w:smallCaps w:val="false"/>
          <w:sz w:val="20"/>
        </w:rPr>
        <w:t xml:space="preserve">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amounts were recorded at the exchange amount, which is the amount established and agreed to by the related parties. The following are transactions between the Company and parties related through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Distribution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January 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the Company entered into a Distribution Agreement with Technicalbiomed Co., Ltd. (“TBC”), pursuant to which TBC will continue to distribute the Company’s products in Thailand. A former senior officer of the Company is a 30.0% shareholder of TBC.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TBC purchased products in the amoun</w:t>
      </w:r>
      <w:r>
        <w:rPr>
          <w:rFonts w:ascii="Times New Roman" w:hAnsi="Times New Roman"/>
          <w:caps w:val="false"/>
          <w:smallCaps w:val="false"/>
          <w:sz w:val="20"/>
          <w:shd w:fill="FFFFFF" w:val="clear"/>
        </w:rPr>
        <w:t xml:space="preserve">t of $114 and $329, respectively, under this distribution agreement. These sales are included in products and services revenue. For the </w:t>
      </w:r>
      <w:r>
        <w:rPr>
          <w:rStyle w:val="Emphasis"/>
          <w:rFonts w:ascii="Times New Roman" w:hAnsi="Times New Roman"/>
          <w:caps w:val="false"/>
          <w:smallCaps w:val="false"/>
          <w:sz w:val="20"/>
          <w:shd w:fill="FFFFFF" w:val="clear"/>
        </w:rPr>
        <w:t>six</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 xml:space="preserve">June 30, 2023 </w:t>
      </w:r>
      <w:r>
        <w:rPr>
          <w:rFonts w:ascii="Times New Roman" w:hAnsi="Times New Roman"/>
          <w:caps w:val="false"/>
          <w:smallCaps w:val="false"/>
          <w:sz w:val="20"/>
          <w:shd w:fill="FFFFFF" w:val="clear"/>
        </w:rPr>
        <w:t xml:space="preserve">and </w:t>
      </w:r>
      <w:r>
        <w:rPr>
          <w:rStyle w:val="Emphasis"/>
          <w:rFonts w:ascii="Times New Roman" w:hAnsi="Times New Roman"/>
          <w:caps w:val="false"/>
          <w:smallCaps w:val="false"/>
          <w:sz w:val="20"/>
          <w:shd w:fill="FFFFFF" w:val="clear"/>
        </w:rPr>
        <w:t>2022,</w:t>
      </w:r>
      <w:r>
        <w:rPr>
          <w:rFonts w:ascii="Times New Roman" w:hAnsi="Times New Roman"/>
          <w:caps w:val="false"/>
          <w:smallCaps w:val="false"/>
          <w:sz w:val="20"/>
          <w:shd w:fill="FFFFFF" w:val="clear"/>
        </w:rPr>
        <w:t xml:space="preserve"> TBC purchased products in the amount of $322 and $736, respectively, under this distribution agreement. </w:t>
      </w:r>
      <w:r>
        <w:rPr>
          <w:rFonts w:ascii="Times New Roman" w:hAnsi="Times New Roman"/>
          <w:caps w:val="false"/>
          <w:smallCaps w:val="false"/>
          <w:sz w:val="20"/>
        </w:rPr>
        <w:t>These sales are included in products and services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the Company made several strategic decisions to divest itself of underperforming direct sales offices and sold its share in several subsidiaries, including its 55.0% shareholding in Venus Concept Singapore Pte. Ltd. ("Venus Singapore"). On </w:t>
      </w:r>
      <w:r>
        <w:rPr>
          <w:rStyle w:val="Emphasis"/>
          <w:rFonts w:ascii="Times New Roman" w:hAnsi="Times New Roman"/>
          <w:caps w:val="false"/>
          <w:smallCaps w:val="false"/>
          <w:sz w:val="20"/>
        </w:rPr>
        <w:t xml:space="preserve">January 1, 2021, </w:t>
      </w:r>
      <w:r>
        <w:rPr>
          <w:rFonts w:ascii="Times New Roman" w:hAnsi="Times New Roman"/>
          <w:caps w:val="false"/>
          <w:smallCaps w:val="false"/>
          <w:sz w:val="20"/>
        </w:rPr>
        <w:t>the Company entered into a distribution agreement with Aexel Biomed Pte Ltd. (“Aexel Biomed”), formerly Venus Singapore, pursuant to which Aexel Biomed</w:t>
      </w:r>
      <w:r>
        <w:rPr>
          <w:rFonts w:ascii="Times New Roman" w:hAnsi="Times New Roman"/>
          <w:caps w:val="false"/>
          <w:smallCaps w:val="false"/>
          <w:sz w:val="20"/>
          <w:shd w:fill="FFFFFF" w:val="clear"/>
        </w:rPr>
        <w:t xml:space="preserve"> will continue to distribute the Company’s products in Singapore. A former senior officer of the Company is a 45.0% shareholder of Aexel Biomed. During the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shd w:fill="FFFFFF" w:val="clear"/>
        </w:rPr>
        <w:t xml:space="preserve">, Aexel Biomed purchased products in the amount of $62 and $141, respectively, under the distribution agreement. During the </w:t>
      </w:r>
      <w:r>
        <w:rPr>
          <w:rStyle w:val="Emphasis"/>
          <w:rFonts w:ascii="Times New Roman" w:hAnsi="Times New Roman"/>
          <w:caps w:val="false"/>
          <w:smallCaps w:val="false"/>
          <w:sz w:val="20"/>
          <w:shd w:fill="FFFFFF" w:val="clear"/>
        </w:rPr>
        <w:t>six</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 xml:space="preserve">June 30, 2023 </w:t>
      </w:r>
      <w:r>
        <w:rPr>
          <w:rFonts w:ascii="Times New Roman" w:hAnsi="Times New Roman"/>
          <w:caps w:val="false"/>
          <w:smallCaps w:val="false"/>
          <w:sz w:val="20"/>
          <w:shd w:fill="FFFFFF" w:val="clear"/>
        </w:rPr>
        <w:t xml:space="preserve">and </w:t>
      </w:r>
      <w:r>
        <w:rPr>
          <w:rStyle w:val="Emphasis"/>
          <w:rFonts w:ascii="Times New Roman" w:hAnsi="Times New Roman"/>
          <w:caps w:val="false"/>
          <w:smallCaps w:val="false"/>
          <w:sz w:val="20"/>
          <w:shd w:fill="FFFFFF" w:val="clear"/>
        </w:rPr>
        <w:t>2022,</w:t>
      </w:r>
      <w:r>
        <w:rPr>
          <w:rFonts w:ascii="Times New Roman" w:hAnsi="Times New Roman"/>
          <w:caps w:val="false"/>
          <w:smallCaps w:val="false"/>
          <w:sz w:val="20"/>
          <w:shd w:fill="FFFFFF" w:val="clear"/>
        </w:rPr>
        <w:t xml:space="preserve"> Aexel Biomed purchased products in the amount of $122 and $319, respectively, under the distributions agreement. These sales are included in products and services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18.</w:t>
      </w:r>
      <w:r>
        <w:rPr>
          <w:rFonts w:ascii="Times New Roman;Times;serif" w:hAnsi="Times New Roman;Times;serif"/>
          <w:b/>
          <w:sz w:val="20"/>
        </w:rPr>
        <w:t xml:space="preserve">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6, 2023, </w:t>
      </w:r>
      <w:r>
        <w:rPr>
          <w:rFonts w:ascii="Times New Roman" w:hAnsi="Times New Roman"/>
          <w:caps w:val="false"/>
          <w:smallCaps w:val="false"/>
          <w:sz w:val="20"/>
        </w:rPr>
        <w:t xml:space="preserve">the Company and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Investors entered into an amendment to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Multi-Tranche Private Placement Stock Purchase Agreement (the “Amendment”). The Amendment (a) clarifies the appropriate date pursuant to which the purchase price for each share of Senior Preferred Stock to be sold in the Private Placement is determined (such that the purchase price shall be equal to the “Minimum Price” as set forth in Nasdaq Listing Rule </w:t>
      </w:r>
      <w:r>
        <w:rPr>
          <w:rStyle w:val="Emphasis"/>
          <w:rFonts w:ascii="Times New Roman" w:hAnsi="Times New Roman"/>
          <w:caps w:val="false"/>
          <w:smallCaps w:val="false"/>
          <w:sz w:val="20"/>
        </w:rPr>
        <w:t>5635</w:t>
      </w:r>
      <w:r>
        <w:rPr>
          <w:rFonts w:ascii="Times New Roman" w:hAnsi="Times New Roman"/>
          <w:caps w:val="false"/>
          <w:smallCaps w:val="false"/>
          <w:sz w:val="20"/>
        </w:rPr>
        <w:t xml:space="preserve">(d)) and (b) permits the Company to specify a desired closing date (subject to approval by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Investors) for each sale in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Multi-Tranche Private Placement.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12, 2023, </w:t>
      </w:r>
      <w:r>
        <w:rPr>
          <w:rFonts w:ascii="Times New Roman" w:hAnsi="Times New Roman"/>
          <w:caps w:val="false"/>
          <w:smallCaps w:val="false"/>
          <w:sz w:val="20"/>
        </w:rPr>
        <w:t xml:space="preserve">the Company and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Investors consummated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tranche in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Multi-Tranche Private Placement, under which the Company sold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Investors 500,000 shares of Senior Preferred Stock for an aggregate purchase price of $2,000,000 (the “Second Placement”). The Company expects to use the proceeds of the Second Placement, after the payment of transaction expenses, for general working capital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This report contains forward-looking statements within the meaning of the United States Private Securities Litigation Reform Act of 1995 that reflect our plans, estimates and beliefs and involve numerous risks and uncertainties, including but not limited to those described in in Part I, Item IA “Risk Factors” of our Annual Report on Form 10-K. Any statements contained in this Quarterly Report on Form 10-Q that are not historical facts may be deemed to be forward-looking statements. In some cases, you can identify these statements by words such as such as “anticipates,” “believes,” “plans,” “expects,” “projects,” “future,” “intends,” “may,” “should,” “could,” “estimates,” “predicts,” “potential,” “continue,” “guidance,” and other similar expressions that are predictions of or indicate future events and future trends.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factors which we currently believe could have a material adverse effect on our business operations and financial performance and condition include, but are not limited to, the following 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our dependency on the subscription-based model, which exposes us to the credit risk of our customers over the life of each subscription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our customers’ failure to make payments under their subscription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our need to obtain, maintain and enforce our intellectual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the extensive governmental regulation and oversight in the countries in which we operate and our ability to comply with the applicable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the possibility that our systems may cause or contribute to adverse medical events that could harm our reputation,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a significant portion of our operations are located in Israel and therefore our business, financial condition and results of operations may be adversely affected by political, economic and military conditions there;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our ability to come into, and remain in, compliance with the listing requirements of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the volatility of our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caps w:val="false"/>
          <w:smallCaps w:val="false"/>
          <w:sz w:val="20"/>
        </w:rPr>
        <w:t>our dependency on one major contract manufacturer in Israel exposes us to supply disruptions should that facility be subject to a strike, shutdown, fire flood or other natural disaster;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our reliance on the expertise and retention of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our ability to access the capital markets and/or obtain credit on favorable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inflation, currency fluctuations and currency exchange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global supply disruptions;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global economic and political conditions and uncertainties, including but not limited to the Russia-Ukraine conflict; and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the expected timing, proceeds and other details with respect to future sales of senior preferred stock, if any, in the 2023 Multi-Tranche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You are urged to consider these factors carefully in evaluating the forward-looking statements and are cautioned not to place undue reliance on these statements. The forward-looking statements are based on information available to us as of the filing date of this Quarterly Report on Form 10-Q. Unless required by law, we do not intend to publicly update or revise any forward-looking statements to reflect new information or future events or otherwise. You should, however, review the factors and risks we describe in the reports we will file from time to time with the SEC after the date of this Quarterly Report on Form 10-Q.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caps w:val="false"/>
          <w:smallCaps w:val="false"/>
          <w:sz w:val="20"/>
        </w:rPr>
      </w:pPr>
      <w:bookmarkStart w:id="11" w:name="item2"/>
      <w:bookmarkEnd w:id="11"/>
      <w:r>
        <w:rPr>
          <w:rFonts w:ascii="Times New Roman;Times;serif" w:hAnsi="Times New Roman;Times;serif"/>
          <w:b/>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The following discussion contains management</w:t>
      </w:r>
      <w:r>
        <w:rPr>
          <w:rFonts w:ascii="Times New Roman;Times;serif" w:hAnsi="Times New Roman;Times;serif"/>
          <w:caps w:val="false"/>
          <w:smallCaps w:val="false"/>
          <w:sz w:val="20"/>
        </w:rPr>
        <w:t>’</w:t>
      </w:r>
      <w:r>
        <w:rPr>
          <w:rFonts w:ascii="Times New Roman;Times;serif" w:hAnsi="Times New Roman;Times;serif"/>
          <w:i/>
          <w:caps w:val="false"/>
          <w:smallCaps w:val="false"/>
          <w:sz w:val="20"/>
        </w:rPr>
        <w:t>s discussion and analysis of our financial condition and results of operations and should be read together with the unaudited condensed consolidated financial statements and the notes thereto included elsewhere in this Quarterly Report on Form 10-Q for the quarter ended</w:t>
      </w:r>
      <w:r>
        <w:rPr>
          <w:rFonts w:ascii="Times New Roman;Times;serif" w:hAnsi="Times New Roman;Times;serif"/>
          <w:caps w:val="false"/>
          <w:smallCaps w:val="false"/>
          <w:sz w:val="20"/>
        </w:rPr>
        <w:t xml:space="preserve"> June 30, 2023 </w:t>
      </w:r>
      <w:r>
        <w:rPr>
          <w:rFonts w:ascii="Times New Roman;Times;serif" w:hAnsi="Times New Roman;Times;serif"/>
          <w:i/>
          <w:caps w:val="false"/>
          <w:smallCaps w:val="false"/>
          <w:sz w:val="20"/>
        </w:rPr>
        <w:t>(</w:t>
      </w:r>
      <w:r>
        <w:rPr>
          <w:rFonts w:ascii="Times New Roman;Times;serif" w:hAnsi="Times New Roman;Times;serif"/>
          <w:caps w:val="false"/>
          <w:smallCaps w:val="false"/>
          <w:sz w:val="20"/>
        </w:rPr>
        <w:t>“</w:t>
      </w:r>
      <w:r>
        <w:rPr>
          <w:rFonts w:ascii="Times New Roman;Times;serif" w:hAnsi="Times New Roman;Times;serif"/>
          <w:i/>
          <w:caps w:val="false"/>
          <w:smallCaps w:val="false"/>
          <w:sz w:val="20"/>
        </w:rPr>
        <w:t>Form 10-Q</w:t>
      </w:r>
      <w:r>
        <w:rPr>
          <w:rFonts w:ascii="Times New Roman;Times;serif" w:hAnsi="Times New Roman;Times;serif"/>
          <w:caps w:val="false"/>
          <w:smallCaps w:val="false"/>
          <w:sz w:val="20"/>
        </w:rPr>
        <w:t>”</w:t>
      </w:r>
      <w:r>
        <w:rPr>
          <w:rFonts w:ascii="Times New Roman;Times;serif" w:hAnsi="Times New Roman;Times;serif"/>
          <w:i/>
          <w:caps w:val="false"/>
          <w:smallCaps w:val="false"/>
          <w:sz w:val="20"/>
        </w:rPr>
        <w:t>), with our audited consolidated financial statements and notes thereto in our Annual Report on Form 10-K for the year ended</w:t>
      </w:r>
      <w:r>
        <w:rPr>
          <w:rFonts w:ascii="Times New Roman;Times;serif" w:hAnsi="Times New Roman;Times;serif"/>
          <w:caps w:val="false"/>
          <w:smallCaps w:val="false"/>
          <w:sz w:val="20"/>
        </w:rPr>
        <w:t xml:space="preserve"> December 31, 2022 </w:t>
      </w:r>
      <w:r>
        <w:rPr>
          <w:rFonts w:ascii="Times New Roman;Times;serif" w:hAnsi="Times New Roman;Times;serif"/>
          <w:i/>
          <w:caps w:val="false"/>
          <w:smallCaps w:val="false"/>
          <w:sz w:val="20"/>
        </w:rPr>
        <w:t>(</w:t>
      </w:r>
      <w:r>
        <w:rPr>
          <w:rFonts w:ascii="Times New Roman;Times;serif" w:hAnsi="Times New Roman;Times;serif"/>
          <w:caps w:val="false"/>
          <w:smallCaps w:val="false"/>
          <w:sz w:val="20"/>
        </w:rPr>
        <w:t>“</w:t>
      </w:r>
      <w:r>
        <w:rPr>
          <w:rFonts w:ascii="Times New Roman;Times;serif" w:hAnsi="Times New Roman;Times;serif"/>
          <w:i/>
          <w:caps w:val="false"/>
          <w:smallCaps w:val="false"/>
          <w:sz w:val="20"/>
        </w:rPr>
        <w:t>Form 10-K</w:t>
      </w:r>
      <w:r>
        <w:rPr>
          <w:rFonts w:ascii="Times New Roman;Times;serif" w:hAnsi="Times New Roman;Times;serif"/>
          <w:caps w:val="false"/>
          <w:smallCaps w:val="false"/>
          <w:sz w:val="20"/>
        </w:rPr>
        <w:t>”</w:t>
      </w:r>
      <w:r>
        <w:rPr>
          <w:rFonts w:ascii="Times New Roman;Times;serif" w:hAnsi="Times New Roman;Times;serif"/>
          <w:i/>
          <w:caps w:val="false"/>
          <w:smallCaps w:val="false"/>
          <w:sz w:val="20"/>
        </w:rPr>
        <w:t>) and other filings we have made with the SEC.</w:t>
      </w:r>
      <w:r>
        <w:rPr>
          <w:rFonts w:ascii="Times New Roman;Times;serif" w:hAnsi="Times New Roman;Times;serif"/>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are an innovative global medical technology company that develops, commercializes and delivers minimally invasive and non-invasive medical aesthetic and hair restoration technologies and related services. Our systems have been designed on cost-effective, proprietary and flexible platforms that enable us to expand beyond the aesthetic industry’s traditional markets of dermatology and plastic surgery, and into non-traditional markets, including family and general practitioners and aesthetic medical spas. In the three and six months ended June 30, 2023 and 2022, respectively, a substantial majority of our systems delivered in North America were in non-traditional markets. As we grow our ARTAS hair restoration business and expand robotics offerings through the AI.ME™ platform we expect our penetration into the core practices of dermatology and plastic surgery to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had recurring net operating losses and negative cash flows from operations. As of June 30, 2023 and December 31, 2022, we had an accumulated deficit o</w:t>
      </w:r>
      <w:r>
        <w:rPr>
          <w:rFonts w:ascii="Times New Roman" w:hAnsi="Times New Roman"/>
          <w:caps w:val="false"/>
          <w:smallCaps w:val="false"/>
          <w:sz w:val="20"/>
          <w:shd w:fill="FFFFFF" w:val="clear"/>
        </w:rPr>
        <w:t xml:space="preserve">f $241.7 million and $224.1 million, respectively. Until we generate revenue at a level to support our cost structure, we expect to continue to incur substantial operating losses and negative cash flows from operations. In order to continue our operations, we must achieve profitability and/or obtain additional equity investment or debt financing. Until we achieve profitability, we plan to fund our operations and capital expenditures with cash on hand, borrowings and issuances of capital stock. As of </w:t>
      </w:r>
      <w:r>
        <w:rPr>
          <w:rFonts w:ascii="Times New Roman" w:hAnsi="Times New Roman"/>
          <w:caps w:val="false"/>
          <w:smallCaps w:val="false"/>
          <w:sz w:val="20"/>
        </w:rPr>
        <w:t>June 30, 2023</w:t>
      </w:r>
      <w:r>
        <w:rPr>
          <w:rFonts w:ascii="Times New Roman" w:hAnsi="Times New Roman"/>
          <w:caps w:val="false"/>
          <w:smallCaps w:val="false"/>
          <w:sz w:val="20"/>
          <w:shd w:fill="FFFFFF" w:val="clear"/>
        </w:rPr>
        <w:t xml:space="preserve"> and </w:t>
      </w:r>
      <w:r>
        <w:rPr>
          <w:rFonts w:ascii="Times New Roman" w:hAnsi="Times New Roman"/>
          <w:caps w:val="false"/>
          <w:smallCaps w:val="false"/>
          <w:sz w:val="20"/>
        </w:rPr>
        <w:t>December 31, 2022</w:t>
      </w:r>
      <w:r>
        <w:rPr>
          <w:rFonts w:ascii="Times New Roman" w:hAnsi="Times New Roman"/>
          <w:caps w:val="false"/>
          <w:smallCaps w:val="false"/>
          <w:sz w:val="20"/>
          <w:shd w:fill="FFFFFF" w:val="clear"/>
        </w:rPr>
        <w:t>, we had cash and cash equivalents of $6.1 million and $11.6 million,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global economy, including the financial and credit markets, has recently experienced extreme volatility and disruptions, including increases to inflation rates, rising interest rates, foreign currency impacts and declines in consumer confidence, and declines in economic growth. All these factors point to uncertainty about economic stability, and the severity and duration of these conditions on our business cannot be predicted.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Venus Viva®, Venus Viva® MD, Venus Legacy®, Venus Concept®, Venus Versa®, Venus Fiore®, Venus Freedom™, Venus Bliss™, Venus Bliss Max™, NeoGraft®, Venus Glow™, ARTAS®, ARTAS iX®, and AIME™, are trademarks of the Company and its subsidiaries. Our logo and our other trade names, trademarks and service marks appearing in this document are our property. Other trade names, trademarks and service marks appearing in this document are the property of their respective owners. Solely for convenience, our trademarks and trade names referred to in this document appear without the TM or the ® symbol, but those references are not intended to indicate, in any way, that we will not assert, to the fullest extent under applicable law, our rights, or the rights of the applicable licensor to these trademarks and trade names.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Equity Purchase Agreement with Lincoln Park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June 16, 2020, we entered into the Equity Purchase Agreement with Lincoln Park, which provided that, upon the terms and subject to the conditions and limitations set forth therein, we may sell to Lincoln Park up to $31.0 million of shares of our common stock pursuant to our shelf registration statement. The purchase price of shares of common stock related to a future sale was based on the then prevailing market prices of such shares at the time of sales as described in the Equity Purchase Agreement. Concurrently with entering into the Equity Purchase Agreement, we also entered into the Registration Rights Agreement. The Equity Purchase Agreement expired on July 1, 2022 and was replaced by the 2022 LPC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2022 LPC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12, 2022, we entered into the 2022 LPC Purchase Agreement with Lincoln Park, which will enhance our balance sheet and financial condition to support our future growth initiatives. As part of the 2022 LPC Purchase Agreement, we issued and sold to Lincoln Par</w:t>
      </w:r>
      <w:r>
        <w:rPr>
          <w:rFonts w:ascii="Times New Roman" w:hAnsi="Times New Roman"/>
          <w:caps w:val="false"/>
          <w:smallCaps w:val="false"/>
          <w:sz w:val="20"/>
          <w:shd w:fill="FFFFFF" w:val="clear"/>
        </w:rPr>
        <w:t>k 0.05</w:t>
      </w:r>
      <w:r>
        <w:rPr>
          <w:rFonts w:ascii="Times New Roman" w:hAnsi="Times New Roman"/>
          <w:caps w:val="false"/>
          <w:smallCaps w:val="false"/>
          <w:sz w:val="20"/>
        </w:rPr>
        <w:t> million shares of our common stock as a commitment fee in connection with entering into the 2022 LPC Purchase Agreement with the total value of $0.3 million.  Subsequent to execution of the 2022 LPC Purchase Agreement the Company issued 0.43 million shares of common stock to Lincoln Park at an average price of $4.54 per share, for a total value of $1.97 million through December 31, 2022. During the six months ended June 30, 2023, the Company issued an additional 0.34 million shares of common stock to Lincoln Park at an average price of $3.23 per share, for a total value of $1.11 million. For additional information regarding the 2022 LPC Purchase Agreement, see Note 14 “</w:t>
      </w:r>
      <w:r>
        <w:rPr>
          <w:rFonts w:ascii="Times New Roman" w:hAnsi="Times New Roman"/>
          <w:i/>
          <w:caps w:val="false"/>
          <w:smallCaps w:val="false"/>
          <w:sz w:val="20"/>
        </w:rPr>
        <w:t>Stockholders Equity</w:t>
      </w:r>
      <w:r>
        <w:rPr>
          <w:rFonts w:ascii="Times New Roman" w:hAnsi="Times New Roman"/>
          <w:caps w:val="false"/>
          <w:smallCaps w:val="false"/>
          <w:sz w:val="20"/>
        </w:rPr>
        <w:t>” in the notes to our unaudited condensed consolidated financial statements included elsewhere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rFonts w:ascii="Times New Roman" w:hAnsi="Times New Roman"/>
          <w:caps w:val="false"/>
          <w:smallCaps w:val="false"/>
          <w:sz w:val="20"/>
        </w:rPr>
      </w:pPr>
      <w:r>
        <w:rPr>
          <w:rFonts w:ascii="Times New Roman" w:hAnsi="Times New Roman"/>
          <w:b/>
          <w:i/>
          <w:caps w:val="false"/>
          <w:smallCaps w:val="false"/>
          <w:sz w:val="20"/>
        </w:rPr>
        <w:t>The 2021 Private Placement</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December 15, 2021, the Company consummated the 2021 Private Placement whereby we entered into a securities purchase agreement pursuant to which we issued and sold to the 2021 Investors an aggregate of 653,894 shares of our common stock and 252,717 shares of our Non-Voting Preferred Stock. The gross proceeds from the securities sold in the 2021 Private Placement was $17.0 million. The costs incurred with respect to the 2021 Private Placement totaled $0.3 million and were recorded as a reduction of the 2021 Private Placement proceeds in the consolidated statements of stockholders’ equity. The accounting effects of the 2021 Private Placement transaction are discussed in Note 14 </w:t>
      </w:r>
      <w:r>
        <w:rPr>
          <w:rFonts w:ascii="Times New Roman;Times;serif" w:hAnsi="Times New Roman;Times;serif"/>
          <w:i/>
          <w:sz w:val="20"/>
        </w:rPr>
        <w:t>"Stockholders Equity"</w:t>
      </w:r>
      <w:r>
        <w:rPr>
          <w:rFonts w:ascii="Times New Roman;Times;serif" w:hAnsi="Times New Roman;Times;serif"/>
          <w:sz w:val="20"/>
        </w:rPr>
        <w:t> in the notes to our consolidated financial statements included elsewhere in this report. These Non-Voting Preferred Stock shares were subsequently converted to common stock upon issuance of the 2022 Private Placement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rFonts w:ascii="Times New Roman" w:hAnsi="Times New Roman"/>
          <w:caps w:val="false"/>
          <w:smallCaps w:val="false"/>
          <w:sz w:val="20"/>
        </w:rPr>
      </w:pPr>
      <w:r>
        <w:rPr>
          <w:rFonts w:ascii="Times New Roman" w:hAnsi="Times New Roman"/>
          <w:b/>
          <w:i/>
          <w:caps w:val="false"/>
          <w:smallCaps w:val="false"/>
          <w:sz w:val="20"/>
        </w:rPr>
        <w:t>The 2022 Private Placement</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November 18, 2022, we entered into a securities purchase agreement pursuant to which we issued and sold to the 2022 Investors an aggregate of 116,668 shares of our common stock and 3,185,000 shares of our Voting Preferred Stock. The gross proceeds from the securities sold in the 2022 Private Placement totaled $6.7 million before offering expenses. The costs incurred with respect to the 2022 Private Placement totaled $0.2 million and were recorded as a reduction of the 2022 Private Placement proceeds in the consolidated statements of stockholders’ equity. The accounting effects of the 2022 Private Placement transaction are discussed in Note 14 </w:t>
      </w:r>
      <w:r>
        <w:rPr>
          <w:rFonts w:ascii="Times New Roman" w:hAnsi="Times New Roman"/>
          <w:i/>
          <w:caps w:val="false"/>
          <w:smallCaps w:val="false"/>
          <w:sz w:val="20"/>
        </w:rPr>
        <w:t>"Stockholders Equity"</w:t>
      </w:r>
      <w:r>
        <w:rPr>
          <w:rFonts w:ascii="Times New Roman" w:hAnsi="Times New Roman"/>
          <w:caps w:val="false"/>
          <w:smallCaps w:val="false"/>
          <w:sz w:val="20"/>
        </w:rPr>
        <w:t> in the notes to our consolidated financial statements included elsewhere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2023 Multi-Tranche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May 2023, we entered into the 2023 Multi-Tranche Private Placement Stock Purchase Agreement with the 2023 Investors pursuant to which the Company may issue and sell to the 2023 Investors up to $9,000,000 in shares of the Senior Preferred Stock in multiple tranches from time to time until December 31, 2025, subject to a minimum aggregate purchase amount of $500,000 in each tranche. The Initial Placement occurred on May 15, 2023, under which the Company sold the 2023 Investors 280,899 shares of Senior Preferred Stock for an aggregate purchase price of $2,000,000. The Company expects to use the proceeds of the Initial Placement, after the payment of transaction expenses, for general working capital purposes. The accounting effects of the 2023 Multi-Tranche Private Placement transaction are discussed in Note 14 </w:t>
      </w:r>
      <w:r>
        <w:rPr>
          <w:rFonts w:ascii="Times New Roman;Times;serif" w:hAnsi="Times New Roman;Times;serif"/>
          <w:i/>
          <w:caps w:val="false"/>
          <w:smallCaps w:val="false"/>
          <w:sz w:val="20"/>
        </w:rPr>
        <w:t>"Stockholders Equity"</w:t>
      </w:r>
      <w:r>
        <w:rPr>
          <w:rFonts w:ascii="Times New Roman;Times;serif" w:hAnsi="Times New Roman;Times;serif"/>
          <w:caps w:val="false"/>
          <w:smallCaps w:val="false"/>
          <w:sz w:val="20"/>
        </w:rPr>
        <w:t> in the notes to our consolidated financial statements included elsewhere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Products and Services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derive revenue from the sale of products and services. Product revenue includes revenue from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sale, including traditional sales and subscription-based sales, of systems, inclusive of the main console and applicators/handpieces (referred to as system revenue);</w:t>
            </w:r>
          </w:p>
        </w:tc>
      </w:tr>
    </w:tbl>
    <w:p>
      <w:pPr>
        <w:pStyle w:val="TextBody"/>
        <w:bidi w:val="0"/>
        <w:spacing w:before="0" w:after="0"/>
        <w:ind w:left="0" w:right="0" w:hanging="0"/>
        <w:jc w:val="both"/>
        <w:rPr/>
      </w:pPr>
      <w:r>
        <w:rPr/>
        <w:t> </w:t>
      </w:r>
    </w:p>
    <w:tbl>
      <w:tblPr>
        <w:tblW w:w="2485" w:type="dxa"/>
        <w:jc w:val="left"/>
        <w:tblInd w:w="0" w:type="dxa"/>
        <w:tblLayout w:type="fixed"/>
        <w:tblCellMar>
          <w:top w:w="0" w:type="dxa"/>
          <w:left w:w="0" w:type="dxa"/>
          <w:bottom w:w="0" w:type="dxa"/>
          <w:right w:w="0" w:type="dxa"/>
        </w:tblCellMar>
      </w:tblPr>
      <w:tblGrid>
        <w:gridCol w:w="60"/>
        <w:gridCol w:w="110"/>
        <w:gridCol w:w="231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3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marketing supplies and kits;</w:t>
            </w:r>
          </w:p>
        </w:tc>
      </w:tr>
    </w:tbl>
    <w:p>
      <w:pPr>
        <w:pStyle w:val="TextBody"/>
        <w:bidi w:val="0"/>
        <w:spacing w:before="0" w:after="0"/>
        <w:ind w:left="0" w:right="0" w:hanging="0"/>
        <w:jc w:val="both"/>
        <w:rPr/>
      </w:pPr>
      <w:r>
        <w:rPr/>
        <w:t> </w:t>
      </w:r>
    </w:p>
    <w:tbl>
      <w:tblPr>
        <w:tblW w:w="2635" w:type="dxa"/>
        <w:jc w:val="left"/>
        <w:tblInd w:w="0" w:type="dxa"/>
        <w:tblLayout w:type="fixed"/>
        <w:tblCellMar>
          <w:top w:w="0" w:type="dxa"/>
          <w:left w:w="0" w:type="dxa"/>
          <w:bottom w:w="0" w:type="dxa"/>
          <w:right w:w="0" w:type="dxa"/>
        </w:tblCellMar>
      </w:tblPr>
      <w:tblGrid>
        <w:gridCol w:w="60"/>
        <w:gridCol w:w="110"/>
        <w:gridCol w:w="246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4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consumables and disposables;</w:t>
            </w:r>
          </w:p>
        </w:tc>
      </w:tr>
    </w:tbl>
    <w:p>
      <w:pPr>
        <w:pStyle w:val="TextBody"/>
        <w:bidi w:val="0"/>
        <w:spacing w:before="0" w:after="0"/>
        <w:ind w:left="0" w:right="0" w:hanging="0"/>
        <w:jc w:val="both"/>
        <w:rPr/>
      </w:pPr>
      <w:r>
        <w:rPr/>
        <w:t> </w:t>
      </w:r>
    </w:p>
    <w:tbl>
      <w:tblPr>
        <w:tblW w:w="1855" w:type="dxa"/>
        <w:jc w:val="left"/>
        <w:tblInd w:w="0" w:type="dxa"/>
        <w:tblLayout w:type="fixed"/>
        <w:tblCellMar>
          <w:top w:w="0" w:type="dxa"/>
          <w:left w:w="0" w:type="dxa"/>
          <w:bottom w:w="0" w:type="dxa"/>
          <w:right w:w="0" w:type="dxa"/>
        </w:tblCellMar>
      </w:tblPr>
      <w:tblGrid>
        <w:gridCol w:w="60"/>
        <w:gridCol w:w="110"/>
        <w:gridCol w:w="168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6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service revenue; and</w:t>
            </w:r>
          </w:p>
        </w:tc>
      </w:tr>
    </w:tbl>
    <w:p>
      <w:pPr>
        <w:pStyle w:val="TextBody"/>
        <w:bidi w:val="0"/>
        <w:spacing w:before="0" w:after="0"/>
        <w:ind w:left="0" w:right="0" w:hanging="0"/>
        <w:jc w:val="both"/>
        <w:rPr/>
      </w:pPr>
      <w:r>
        <w:rPr/>
        <w:t> </w:t>
      </w:r>
    </w:p>
    <w:tbl>
      <w:tblPr>
        <w:tblW w:w="3145" w:type="dxa"/>
        <w:jc w:val="left"/>
        <w:tblInd w:w="0" w:type="dxa"/>
        <w:tblLayout w:type="fixed"/>
        <w:tblCellMar>
          <w:top w:w="0" w:type="dxa"/>
          <w:left w:w="0" w:type="dxa"/>
          <w:bottom w:w="0" w:type="dxa"/>
          <w:right w:w="0" w:type="dxa"/>
        </w:tblCellMar>
      </w:tblPr>
      <w:tblGrid>
        <w:gridCol w:w="60"/>
        <w:gridCol w:w="110"/>
        <w:gridCol w:w="297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replacement applicators/handpieces.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Service revenue includes revenue derived from our extended warranty service contracts provided to our existing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Systems are sold through traditional sales contracts directly, through our subscription model, and through distributors. In the third quarter of 2022 we commenced an initiative to reduce our reliance on system sales sold under subscription agreements in the United States. This strategic shift is designed to improve cash generation and reduce our exposure to defaults and increased bad debt expense given the increasingly challenging economic environment caused by the coexistence of high inflation and high interest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generate revenue from traditional system sales and from sales under our subscription-based business model, which is available to customers in North America and select international markets. Approximately 30% and 49% of our total system revenues were derived from our subscription model in the six months ended June 30, 2023 and 2022, respectively. We currently do not offer the ARTAS iX system under the subscription model. For additional details related to our subscription model, see </w:t>
      </w:r>
      <w:r>
        <w:rPr>
          <w:rFonts w:ascii="Times New Roman;Times;serif" w:hAnsi="Times New Roman;Times;serif"/>
          <w:i/>
          <w:sz w:val="20"/>
        </w:rPr>
        <w:t xml:space="preserve">Item 1. Business </w:t>
      </w:r>
      <w:r>
        <w:rPr>
          <w:rFonts w:ascii="Times New Roman;Times;serif" w:hAnsi="Times New Roman;Times;serif"/>
          <w:sz w:val="20"/>
        </w:rPr>
        <w:t xml:space="preserve">– </w:t>
      </w:r>
      <w:r>
        <w:rPr>
          <w:rFonts w:ascii="Times New Roman;Times;serif" w:hAnsi="Times New Roman;Times;serif"/>
          <w:i/>
          <w:sz w:val="20"/>
        </w:rPr>
        <w:t>Subscription-Based Business Model</w:t>
      </w:r>
      <w:r>
        <w:rPr>
          <w:rFonts w:ascii="Times New Roman;Times;serif" w:hAnsi="Times New Roman;Times;serif"/>
          <w:sz w:val="20"/>
        </w:rPr>
        <w:t xml:space="preserve"> as filed in our Form 10-K for the year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developed and received regulatory clearance for twelve novel aesthetic technology platforms, including our ARTAS and NeoGraft systems. We believe our ARTAS and NeoGraft systems are complementary and give us a hair restoration product offering that can serve a broad segment of the market. Our medical aesthetic technology platforms have received regulatory clearance for a variety of indications, including treatment of facial wrinkles in certain skin types, temporary reduction of appearance of cellulite, non-invasive fat reduction (lipolysis) in the abdomen and flanks for certain body types and relief of minor muscle aches and pains in jurisdictions around the world. In addition, our technology pipeline is focused on the development of robotically assisted minimally invasive solutions for aesthetic procedures that are primarily treated by surgical intervention, including the AI.ME platform for which we received FDA 510(k) clearance for fractional skin resurfacing in December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United States, we have obtained 510(k) clearance from the FDA for our Venus Viva, Venus Viva MD, Venus Legacy, Venus Versa, Venus Velocity, Venus Bliss, Venus Bliss Max, Venus Epileve, Venus Fiore, ARTAS, ARTAS iX and AI.ME systems. Outside the United States, we market our technologies in over 60 countries across Europe, the Middle East, Africa, Asia-Pacific and Latin America. Because each country has its own regulatory scheme and clearance process, not every device is cleared or authorized for the same indications in each market in which a particular system is marketed.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2023, we operated directly in 14 international markets through our 11 </w:t>
      </w:r>
      <w:r>
        <w:rPr>
          <w:rFonts w:ascii="Times New Roman" w:hAnsi="Times New Roman"/>
          <w:caps w:val="false"/>
          <w:smallCaps w:val="false"/>
          <w:sz w:val="20"/>
          <w:shd w:fill="FFFFFF" w:val="clear"/>
        </w:rPr>
        <w:t>di</w:t>
      </w:r>
      <w:r>
        <w:rPr>
          <w:rFonts w:ascii="Times New Roman" w:hAnsi="Times New Roman"/>
          <w:caps w:val="false"/>
          <w:smallCaps w:val="false"/>
          <w:sz w:val="20"/>
        </w:rPr>
        <w:t>rect offices in the United States, Canada, United Kingdom, Japan, Mexico, Spain, Germany, Australia, China, Hong Kong, and Israel.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revenues for the three months ended June 30, 2023, and 2022 were $20.1 million and $27.3 million, respectively. Our revenues for the six months ended June 30, 2023, and 2022 were $40.6 million and $53.7 million, respectively. We had a net loss attributable to Venus Concept of $7.4 million and $10.6 million in the three months ended June 30, 2023, and 2022, respectively. We had a net loss attributable to Venus Concept of $17.0 million and $19.2 million in the six months ended June 30, 2023, and 2022, respectively. We had an Adjusted EBITDA loss of $3.9 million and $5.5 million for the three months ended June 30, 2023, and 2022, respectively. We had an Adjusted EBITDA loss of $9.7 million and $11.3 million for the six months ended June 30, 2023, and 2022,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Use</w:t>
      </w:r>
      <w:r>
        <w:rPr>
          <w:rFonts w:ascii="Times New Roman" w:hAnsi="Times New Roman"/>
          <w:caps w:val="false"/>
          <w:smallCaps w:val="false"/>
          <w:sz w:val="20"/>
        </w:rPr>
        <w:t> </w:t>
      </w:r>
      <w:r>
        <w:rPr>
          <w:rFonts w:ascii="Times New Roman" w:hAnsi="Times New Roman"/>
          <w:b/>
          <w:i/>
          <w:caps w:val="false"/>
          <w:smallCaps w:val="false"/>
          <w:sz w:val="20"/>
        </w:rPr>
        <w:t>of</w:t>
      </w:r>
      <w:r>
        <w:rPr>
          <w:rFonts w:ascii="Times New Roman" w:hAnsi="Times New Roman"/>
          <w:caps w:val="false"/>
          <w:smallCaps w:val="false"/>
          <w:sz w:val="20"/>
        </w:rPr>
        <w:t> </w:t>
      </w:r>
      <w:r>
        <w:rPr>
          <w:rFonts w:ascii="Times New Roman" w:hAnsi="Times New Roman"/>
          <w:b/>
          <w:i/>
          <w:caps w:val="false"/>
          <w:smallCaps w:val="false"/>
          <w:sz w:val="20"/>
        </w:rPr>
        <w:t>Non-GAAP</w:t>
      </w:r>
      <w:r>
        <w:rPr>
          <w:rFonts w:ascii="Times New Roman" w:hAnsi="Times New Roman"/>
          <w:caps w:val="false"/>
          <w:smallCaps w:val="false"/>
          <w:sz w:val="20"/>
        </w:rPr>
        <w:t> </w:t>
      </w:r>
      <w:r>
        <w:rPr>
          <w:rFonts w:ascii="Times New Roman" w:hAnsi="Times New Roman"/>
          <w:b/>
          <w:i/>
          <w:caps w:val="false"/>
          <w:smallCaps w:val="false"/>
          <w:sz w:val="20"/>
        </w:rPr>
        <w:t>Financial</w:t>
      </w:r>
      <w:r>
        <w:rPr>
          <w:rFonts w:ascii="Times New Roman" w:hAnsi="Times New Roman"/>
          <w:caps w:val="false"/>
          <w:smallCaps w:val="false"/>
          <w:sz w:val="20"/>
        </w:rPr>
        <w:t> </w:t>
      </w:r>
      <w:r>
        <w:rPr>
          <w:rFonts w:ascii="Times New Roman" w:hAnsi="Times New Roman"/>
          <w:b/>
          <w:i/>
          <w:caps w:val="false"/>
          <w:smallCaps w:val="false"/>
          <w:sz w:val="20"/>
        </w:rPr>
        <w:t xml:space="preserve">Measures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is a non-GAAP measure defined as net income (loss) before foreign exchange loss (gain), financial expenses, income tax expense (benefit), depreciation and amortization, stock-based compensation and non-recurring items for a given period. Adjusted EBITDA is not a measure of our financial performance under U.S. GAAP and should not be considered an alternative to net income or any other performance measures derived in accordance with U.S. GAAP. Accordingly, you should consider Adjusted EBITDA along with other financial performance measures, including net income, and our financial results presented in accordance with U.S. GAAP. Other companies, including companies in our industry, may calculate Adjusted EBITDA differently or not at all, which reduces its usefulness as a comparative measure. We understand that although Adjusted EBITDA is frequently used by securities analysts, lenders and others in their evaluation of companies, Adjusted EBITDA has limitations as an analytical tool, and you should not consider it in isolation, or as a substitute for analysis of our results as reported under U.S. GAAP. Some of these limitations are: Adjusted EBITDA does not reflect our cash expenditures or future requirements for capital expenditures or contractual commitments; Adjusted EBITDA does not reflect changes in, or cash requirements for, our working capital needs; and although depreciation and amortization are non-cash charges, the assets being depreciated will often have to be replaced in the future, and Adjusted EBITDA does not reflect any cash requirements for such replacements.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that Adjusted EBITDA is a useful measure for analyzing the performance of our core business because it facilitates operating performance comparisons from period to period and company to company by backing out potential differences caused by changes in foreign exchange rates that impact financial assets and liabilities denominated in currencies other than the U.S. dollar, tax positions (such as the impact on periods or companies of changes in effective tax rates), the age and book depreciation of fixed assets (affecting relative depreciation expense), amortization of intangible assets, stock-based compensation expense (because it is a non-cash expense) and non-recurring items as explained below.</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is a reconciliation of net loss to Adjusted EBITDA for the periods presented:</w:t>
      </w:r>
    </w:p>
    <w:p>
      <w:pPr>
        <w:pStyle w:val="TextBody"/>
        <w:bidi w:val="0"/>
        <w:spacing w:before="0" w:after="0"/>
        <w:ind w:left="0" w:right="0" w:hanging="0"/>
        <w:jc w:val="both"/>
        <w:rPr>
          <w:caps w:val="false"/>
          <w:smallCaps w:val="false"/>
        </w:rPr>
      </w:pPr>
      <w:r>
        <w:rPr>
          <w:caps w:val="false"/>
          <w:smallCaps w:val="false"/>
        </w:rPr>
        <w:t> </w:t>
      </w:r>
    </w:p>
    <w:tbl>
      <w:tblPr>
        <w:tblW w:w="8990" w:type="dxa"/>
        <w:jc w:val="left"/>
        <w:tblInd w:w="0" w:type="dxa"/>
        <w:tblLayout w:type="fixed"/>
        <w:tblCellMar>
          <w:top w:w="0" w:type="dxa"/>
          <w:left w:w="0" w:type="dxa"/>
          <w:bottom w:w="0" w:type="dxa"/>
          <w:right w:w="0" w:type="dxa"/>
        </w:tblCellMar>
      </w:tblPr>
      <w:tblGrid>
        <w:gridCol w:w="3875"/>
        <w:gridCol w:w="60"/>
        <w:gridCol w:w="200"/>
        <w:gridCol w:w="873"/>
        <w:gridCol w:w="128"/>
        <w:gridCol w:w="96"/>
        <w:gridCol w:w="200"/>
        <w:gridCol w:w="1041"/>
        <w:gridCol w:w="80"/>
        <w:gridCol w:w="60"/>
        <w:gridCol w:w="170"/>
        <w:gridCol w:w="884"/>
        <w:gridCol w:w="108"/>
        <w:gridCol w:w="81"/>
        <w:gridCol w:w="170"/>
        <w:gridCol w:w="884"/>
        <w:gridCol w:w="80"/>
      </w:tblGrid>
      <w:tr>
        <w:trPr/>
        <w:tc>
          <w:tcPr>
            <w:tcW w:w="3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28"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12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Reconciliation of net loss to adjusted EBITDA</w:t>
            </w:r>
          </w:p>
        </w:tc>
        <w:tc>
          <w:tcPr>
            <w:tcW w:w="60" w:type="dxa"/>
            <w:tcBorders/>
            <w:shd w:fill="FFFFFF" w:val="clear"/>
            <w:vAlign w:val="center"/>
          </w:tcPr>
          <w:p>
            <w:pPr>
              <w:pStyle w:val="TableContents"/>
              <w:bidi w:val="0"/>
              <w:spacing w:before="0" w:after="283"/>
              <w:ind w:left="0" w:right="0" w:hanging="0"/>
              <w:jc w:val="left"/>
              <w:rPr/>
            </w:pPr>
            <w:r>
              <w:rPr/>
              <w:t> </w:t>
            </w:r>
          </w:p>
        </w:tc>
        <w:tc>
          <w:tcPr>
            <w:tcW w:w="2538"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7"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(7,321</w:t>
            </w:r>
          </w:p>
        </w:tc>
        <w:tc>
          <w:tcPr>
            <w:tcW w:w="12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6"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(10,512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(16,944</w:t>
            </w:r>
          </w:p>
        </w:tc>
        <w:tc>
          <w:tcPr>
            <w:tcW w:w="10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(19,148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Foreign exchange loss (gain)</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8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w:t>
            </w:r>
          </w:p>
        </w:tc>
        <w:tc>
          <w:tcPr>
            <w:tcW w:w="12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0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(530</w:t>
            </w:r>
          </w:p>
        </w:tc>
        <w:tc>
          <w:tcPr>
            <w:tcW w:w="10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2,375</w:t>
            </w:r>
          </w:p>
        </w:tc>
        <w:tc>
          <w:tcPr>
            <w:tcW w:w="8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(Gain) loss on disposal of subsidiaries</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8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12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6"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0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Finance expenses</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8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1,553</w:t>
            </w:r>
          </w:p>
        </w:tc>
        <w:tc>
          <w:tcPr>
            <w:tcW w:w="128"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0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3,061</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1,957</w:t>
            </w:r>
          </w:p>
        </w:tc>
        <w:tc>
          <w:tcPr>
            <w:tcW w:w="8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expense (benefit)</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8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w:t>
            </w:r>
          </w:p>
        </w:tc>
        <w:tc>
          <w:tcPr>
            <w:tcW w:w="128"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0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424</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8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87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1,010</w:t>
            </w:r>
          </w:p>
        </w:tc>
        <w:tc>
          <w:tcPr>
            <w:tcW w:w="128"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04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2,032</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2,212</w:t>
            </w:r>
          </w:p>
        </w:tc>
        <w:tc>
          <w:tcPr>
            <w:tcW w:w="8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8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369</w:t>
            </w:r>
          </w:p>
        </w:tc>
        <w:tc>
          <w:tcPr>
            <w:tcW w:w="128"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0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850</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1,001</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8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adjustments (1)</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7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412</w:t>
            </w:r>
          </w:p>
        </w:tc>
        <w:tc>
          <w:tcPr>
            <w:tcW w:w="128"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20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41"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1,330</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EBITDA</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(3,967</w:t>
            </w:r>
          </w:p>
        </w:tc>
        <w:tc>
          <w:tcPr>
            <w:tcW w:w="12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6" w:type="dxa"/>
            <w:tcBorders/>
            <w:shd w:fill="CCEE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(5,457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(9,701</w:t>
            </w:r>
          </w:p>
        </w:tc>
        <w:tc>
          <w:tcPr>
            <w:tcW w:w="10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CCEE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(11,349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(1) For the three and six months ended June 30, 2023, the other adjustments primarily represent restructuring activities designed to improve the Company's operations and cost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Key Factors Impacting Our 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results of operations are impacted by several factors, but we consider the following to be particularly significant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Number of systems delivered.</w:t>
      </w:r>
      <w:r>
        <w:rPr>
          <w:rFonts w:ascii="Times New Roman" w:hAnsi="Times New Roman"/>
          <w:caps w:val="false"/>
          <w:smallCaps w:val="false"/>
          <w:sz w:val="20"/>
        </w:rPr>
        <w:t xml:space="preserve"> The majority of our revenue is generated from the delivery of systems, both under traditional sales contracts and subscription agreements. The following table sets forth the number of systems we have delivered in the geographic regions indicated:</w:t>
      </w:r>
    </w:p>
    <w:p>
      <w:pPr>
        <w:pStyle w:val="TextBody"/>
        <w:bidi w:val="0"/>
        <w:spacing w:before="0" w:after="0"/>
        <w:ind w:left="0" w:right="0" w:hanging="0"/>
        <w:jc w:val="both"/>
        <w:rPr>
          <w:caps w:val="false"/>
          <w:smallCaps w:val="false"/>
        </w:rPr>
      </w:pPr>
      <w:r>
        <w:rPr>
          <w:caps w:val="false"/>
          <w:smallCaps w:val="false"/>
        </w:rPr>
        <w:t> </w:t>
      </w:r>
    </w:p>
    <w:tbl>
      <w:tblPr>
        <w:tblW w:w="7014" w:type="dxa"/>
        <w:jc w:val="left"/>
        <w:tblInd w:w="0" w:type="dxa"/>
        <w:tblLayout w:type="fixed"/>
        <w:tblCellMar>
          <w:top w:w="0" w:type="dxa"/>
          <w:left w:w="0" w:type="dxa"/>
          <w:bottom w:w="0" w:type="dxa"/>
          <w:right w:w="0" w:type="dxa"/>
        </w:tblCellMar>
      </w:tblPr>
      <w:tblGrid>
        <w:gridCol w:w="1940"/>
        <w:gridCol w:w="60"/>
        <w:gridCol w:w="167"/>
        <w:gridCol w:w="935"/>
        <w:gridCol w:w="167"/>
        <w:gridCol w:w="167"/>
        <w:gridCol w:w="167"/>
        <w:gridCol w:w="935"/>
        <w:gridCol w:w="60"/>
        <w:gridCol w:w="60"/>
        <w:gridCol w:w="151"/>
        <w:gridCol w:w="846"/>
        <w:gridCol w:w="151"/>
        <w:gridCol w:w="151"/>
        <w:gridCol w:w="151"/>
        <w:gridCol w:w="846"/>
        <w:gridCol w:w="60"/>
      </w:tblGrid>
      <w:tr>
        <w:trPr/>
        <w:tc>
          <w:tcPr>
            <w:tcW w:w="1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67"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11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5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9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19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United States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135</w:t>
            </w:r>
          </w:p>
        </w:tc>
        <w:tc>
          <w:tcPr>
            <w:tcW w:w="167"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221</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230</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9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International</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3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197</w:t>
            </w:r>
          </w:p>
        </w:tc>
        <w:tc>
          <w:tcPr>
            <w:tcW w:w="167"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3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434</w:t>
            </w:r>
          </w:p>
        </w:tc>
        <w:tc>
          <w:tcPr>
            <w:tcW w:w="15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653</w:t>
            </w:r>
          </w:p>
        </w:tc>
        <w:tc>
          <w:tcPr>
            <w:tcW w:w="60" w:type="dxa"/>
            <w:tcBorders/>
            <w:shd w:fill="FFFFFF" w:val="clear"/>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systems delivered</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332</w:t>
            </w:r>
          </w:p>
        </w:tc>
        <w:tc>
          <w:tcPr>
            <w:tcW w:w="167"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655</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color w:val="000000"/>
          <w:sz w:val="20"/>
        </w:rPr>
        <w:t>Mix between traditional sales, subscription model sales and distributor sales.</w:t>
      </w:r>
      <w:r>
        <w:rPr>
          <w:rFonts w:ascii="Times New Roman" w:hAnsi="Times New Roman"/>
          <w:b/>
          <w:caps w:val="false"/>
          <w:smallCaps w:val="false"/>
          <w:color w:val="000000"/>
          <w:sz w:val="20"/>
        </w:rPr>
        <w:t> </w:t>
      </w:r>
      <w:r>
        <w:rPr>
          <w:rFonts w:ascii="Times New Roman" w:hAnsi="Times New Roman"/>
          <w:caps w:val="false"/>
          <w:smallCaps w:val="false"/>
          <w:color w:val="000000"/>
          <w:sz w:val="20"/>
        </w:rPr>
        <w:t>We deliver systems through (1) traditional direct system sales contracts to customers, (2) our subscription model, and (3) system sales through distribution agreements. Unit deliveries under direct system sales contracts and subscription agreements have higher per unit revenues and gross margins, while revenues and gross margins on systems sold through distributors are lower. However, distributor sales do not require significant selling and marketing support as these expenses are borne by the distributors. In addition, while traditional system sales and subscription agreements have similar gross margins, cash collections on subscription agreements generally occur over a three-year period, with approximately 40% to 45% collected in the first year and the balance collected evenly over the remaining two years of the subscription agreement. </w:t>
      </w:r>
      <w:r>
        <w:rPr>
          <w:rFonts w:ascii="Times New Roman" w:hAnsi="Times New Roman"/>
          <w:caps w:val="false"/>
          <w:smallCaps w:val="false"/>
          <w:sz w:val="20"/>
        </w:rPr>
        <w:t>In the third quarter of 2022 we commenced an initiative to reduce our reliance on system sales sold under subscription. This strategic shift is designed to improve cash generation and reduce our exposure to defaults and increased bad debt expense given the increasingly challenging economic environment caused by the coexistence of high inflation and high interest rates.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color w:val="000000"/>
          <w:sz w:val="20"/>
        </w:rPr>
        <w:t>Investment in Sales, Marketing and Operations.</w:t>
      </w:r>
      <w:r>
        <w:rPr>
          <w:rFonts w:ascii="Times New Roman" w:hAnsi="Times New Roman"/>
          <w:b/>
          <w:caps w:val="false"/>
          <w:smallCaps w:val="false"/>
          <w:color w:val="000000"/>
          <w:sz w:val="20"/>
        </w:rPr>
        <w:t> </w:t>
      </w:r>
      <w:r>
        <w:rPr>
          <w:rFonts w:ascii="Times New Roman" w:hAnsi="Times New Roman"/>
          <w:caps w:val="false"/>
          <w:smallCaps w:val="false"/>
          <w:sz w:val="20"/>
        </w:rPr>
        <w:t>In recent years, we made a strategic decision to penetrate the global market by investing in sales and marketing expenses across all geographic segments. This included the opening of direct offices and hiring experienced sales, marketing, and operational staff. While we generated incremental product sales in these new markets, these revenues and the related margins did not fully offset the startup investments made in certain countries. We continue to evaluate our profitability and growth prospects in these countries, and have taken and will continue to take steps to exit countries which we do not believe will produce sustainable results. Since June 2020 we have ceased direct sales operations in 13 countries across Europe, Asia Pacific, Latin America and Africa and have increased our investment and focus in the United States market.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color w:val="000000"/>
          <w:sz w:val="20"/>
        </w:rPr>
        <w:t>In the </w:t>
      </w:r>
      <w:r>
        <w:rPr>
          <w:rFonts w:ascii="Times New Roman" w:hAnsi="Times New Roman"/>
          <w:sz w:val="20"/>
        </w:rPr>
        <w:t>three and six months ended June 30, 2023</w:t>
      </w:r>
      <w:r>
        <w:rPr>
          <w:rFonts w:ascii="Times New Roman" w:hAnsi="Times New Roman"/>
          <w:color w:val="000000"/>
          <w:sz w:val="20"/>
        </w:rPr>
        <w:t>, and </w:t>
      </w:r>
      <w:r>
        <w:rPr>
          <w:rFonts w:ascii="Times New Roman" w:hAnsi="Times New Roman"/>
          <w:sz w:val="20"/>
        </w:rPr>
        <w:t>2022</w:t>
      </w:r>
      <w:r>
        <w:rPr>
          <w:rFonts w:ascii="Times New Roman" w:hAnsi="Times New Roman"/>
          <w:color w:val="000000"/>
          <w:sz w:val="20"/>
        </w:rPr>
        <w:t>, respectively, we di</w:t>
      </w:r>
      <w:r>
        <w:rPr>
          <w:rFonts w:ascii="Times New Roman" w:hAnsi="Times New Roman"/>
          <w:color w:val="333333"/>
          <w:sz w:val="20"/>
        </w:rPr>
        <w:t>d not open an</w:t>
      </w:r>
      <w:r>
        <w:rPr>
          <w:rFonts w:ascii="Times New Roman" w:hAnsi="Times New Roman"/>
          <w:color w:val="000000"/>
          <w:sz w:val="20"/>
        </w:rPr>
        <w:t>y direct sales offices.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b/>
          <w:i/>
          <w:sz w:val="20"/>
        </w:rPr>
        <w:t>Bad Debt Expense.</w:t>
      </w:r>
      <w:r>
        <w:rPr>
          <w:rFonts w:ascii="Times New Roman" w:hAnsi="Times New Roman"/>
          <w:sz w:val="20"/>
        </w:rPr>
        <w:t> We maintain an allowance for expected credit losses for estimated losses that may primarily arise from subscription customers that are unable to make the remaining payments required under their subscription agreements. During the three and six months ended June 30, 2023, our collections results were negatively impacted by macroeconomic headwinds, including increased interest rates and inflationary factors impacting the operating costs and liquidity positions of our customers. As a result, we increased the allowance for expected credit losses as a percentage of gross outstanding accounts receivable from the period ended June 30, 2022 to the period ended June 30, 2023. We incurred a bad debt expense of $0.4 million and $1.0 million during the three and six months ended June 30, 2023. In addition, we continue to focus our selling efforts on cash sales and subscription customers with a stronger credit profile. As of June 30, 2023, our allowance for expected credit losses was $13.2</w:t>
      </w:r>
      <w:r>
        <w:rPr>
          <w:rFonts w:ascii="Times New Roman" w:hAnsi="Times New Roman"/>
          <w:sz w:val="20"/>
          <w:shd w:fill="FFFFFF" w:val="clear"/>
        </w:rPr>
        <w:t> </w:t>
      </w:r>
      <w:r>
        <w:rPr>
          <w:rFonts w:ascii="Times New Roman" w:hAnsi="Times New Roman"/>
          <w:sz w:val="20"/>
        </w:rPr>
        <w:t>million which represents 21.1% of the gross outstanding accounts receivable as of this date. As of June 30, 2022, our allowance for expected credit losses was $14.1 million which represents 16.1% of the gross outstanding accounts receivable as of this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global economy, including the financial and credit markets, has recently experienced extreme volatility and disruptions, including increases to inflation rates, rising interest rates, foreign currency impacts, declines in consumer confidence, and declines in economic growth. All these factors point to uncertainty about economic stability, and the severity and duration of these conditions on our business cannot be predicted. The bulk of the second quarter revenue decline was due to a strategy shift to prioritize cash deals over subscription deals in order to improve cash generation and preserve liquidity. We continue to focus on quality of revenue and despite the revenue decline, our cash used in operations was $11.7 million lower than the same period in 2022. We remain focused on adapting to the challenges presented by the current macro-economic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Supply chain.</w:t>
      </w:r>
      <w:r>
        <w:rPr>
          <w:rFonts w:ascii="Times New Roman" w:hAnsi="Times New Roman"/>
          <w:b/>
          <w:caps w:val="false"/>
          <w:smallCaps w:val="false"/>
          <w:sz w:val="20"/>
        </w:rPr>
        <w:t xml:space="preserve"> </w:t>
      </w:r>
      <w:r>
        <w:rPr>
          <w:rFonts w:ascii="Times New Roman" w:hAnsi="Times New Roman"/>
          <w:caps w:val="false"/>
          <w:smallCaps w:val="false"/>
          <w:sz w:val="20"/>
        </w:rPr>
        <w:t>We did not experience significant supply issues during the three and six months ended June 30, 2023 as we continue to actively work with our suppliers and third-party manufacturers to mitigate supply issues and manage inventory of key component parts. While we have seen recent improvements in global supply chain reliability we anticipate some supply challenges throughout the remainder of 2023, including long production lead times and shortages of certain materials or components that may impact our ability to manufacture the number of systems required to meet customer demand. In addition, since the second quarter of 2021 we have experienced significant inflationary pressures throughout our supply chain. While such inflationary pressures have moderated in the first six months of 2023, we expect to mitigate any future inflation impacts where possible through price increases and margin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Global Economic conditions.</w:t>
      </w:r>
      <w:r>
        <w:rPr>
          <w:rFonts w:ascii="Times New Roman" w:hAnsi="Times New Roman"/>
          <w:b/>
          <w:caps w:val="false"/>
          <w:smallCaps w:val="false"/>
          <w:sz w:val="20"/>
        </w:rPr>
        <w:t> </w:t>
      </w:r>
      <w:r>
        <w:rPr>
          <w:rFonts w:ascii="Times New Roman" w:hAnsi="Times New Roman"/>
          <w:caps w:val="false"/>
          <w:smallCaps w:val="false"/>
          <w:sz w:val="20"/>
        </w:rPr>
        <w:t>General global economic downturns and macroeconomic trends, including heightened inflation, capital markets volatility, interest rate and currency rate fluctuations, and economic slowdown or recession, have resulted and may continue to result in unfavorable conditions that negatively affect demand for our products and exacerbate some of the other risks that affect our business, financial condition and results of operations. Both domestic and international markets experienced significant inflationary pressures in fiscal year 2022 and inflation rates in the U.S., as well as in other countries in which we operate, are currently expected to continue at elevated levels for the near-term, impacting our cost of sales as well as selling, general and administrative expenses. In addition, the Federal Reserve in the U.S. and other central banks in various countries have raised, and may again raise, interest rates in response to concerns about inflation. Interest rate increases or other government actions taken to reduce inflation have resulted in recessionary pressures in many parts of the world and has had, and may continue to have, the effect of further increasing economic uncertainty and heightening these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Sales markets.</w:t>
      </w:r>
      <w:r>
        <w:rPr>
          <w:rFonts w:ascii="Times New Roman" w:hAnsi="Times New Roman"/>
          <w:b/>
          <w:caps w:val="false"/>
          <w:smallCaps w:val="false"/>
          <w:sz w:val="20"/>
        </w:rPr>
        <w:t xml:space="preserve"> </w:t>
      </w:r>
      <w:r>
        <w:rPr>
          <w:rFonts w:ascii="Times New Roman" w:hAnsi="Times New Roman"/>
          <w:caps w:val="false"/>
          <w:smallCaps w:val="false"/>
          <w:sz w:val="20"/>
        </w:rPr>
        <w:t>We are a global business, having established a commercial presence in more than 60 countries during our history. While the continued economic recovery in individual countries during the first six months of 2023 progressed well in most countries in which we operate, we continue to evaluate our direct operations, particularly those outside of North America. As a result, our international revenues declined in the first six months of 2023 as we operated in three fewer direct markets when compared to the same prior 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color w:val="000000"/>
          <w:sz w:val="20"/>
        </w:rPr>
        <w:t>Accounts receivable collections.</w:t>
      </w:r>
      <w:r>
        <w:rPr>
          <w:rFonts w:ascii="Times New Roman" w:hAnsi="Times New Roman"/>
          <w:b/>
          <w:caps w:val="false"/>
          <w:smallCaps w:val="false"/>
          <w:color w:val="000000"/>
          <w:sz w:val="20"/>
        </w:rPr>
        <w:t xml:space="preserve"> </w:t>
      </w:r>
      <w:r>
        <w:rPr>
          <w:rFonts w:ascii="Times New Roman" w:hAnsi="Times New Roman"/>
          <w:caps w:val="false"/>
          <w:smallCaps w:val="false"/>
          <w:color w:val="000000"/>
          <w:sz w:val="20"/>
        </w:rPr>
        <w:t xml:space="preserve">As of </w:t>
      </w:r>
      <w:r>
        <w:rPr>
          <w:rFonts w:ascii="Times New Roman" w:hAnsi="Times New Roman"/>
          <w:caps w:val="false"/>
          <w:smallCaps w:val="false"/>
          <w:sz w:val="20"/>
        </w:rPr>
        <w:t>June 30, 2023</w:t>
      </w:r>
      <w:r>
        <w:rPr>
          <w:rFonts w:ascii="Times New Roman" w:hAnsi="Times New Roman"/>
          <w:caps w:val="false"/>
          <w:smallCaps w:val="false"/>
          <w:color w:val="000000"/>
          <w:sz w:val="20"/>
        </w:rPr>
        <w:t>, our allowance for expected credit losses stands at $13.2 million, which represents 21.1% of the gross outstanding accounts receivable as of that date. This represents a decrease of $0.4 million from our December 31, 2022 allowance for expected credit losses balance of $13.6 million, but remains relatively flat as a percentage of total receivables.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Basis of Presentation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Revenues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generate revenue from (1) sales of systems through our subscription model, traditional system s</w:t>
      </w:r>
      <w:r>
        <w:rPr>
          <w:rFonts w:ascii="Times New Roman" w:hAnsi="Times New Roman"/>
          <w:caps w:val="false"/>
          <w:smallCaps w:val="false"/>
          <w:sz w:val="20"/>
          <w:shd w:fill="FFFFFF" w:val="clear"/>
        </w:rPr>
        <w:t>ales to customers and distributors, (2) other product revenues from the sale of marketing supplies, ARTAS kits, Viva tips, other consumables and (3) service revenue from our extended warranty service contracts provided to existing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 xml:space="preserve">System Revenue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and six months ended June 30, 2023, approximately 26% and 30%, respectively, of our total system revenues were derived from our subscription model. For the three and six months ended June 30, 2022, approximately 51% and 49%, respectively, of our system revenues were derived from our subscription model. The relative decrease in subscription revenues in the first half of 2023 is in line with our strategy to prioritize cash deals over subscription deals in order to improve cash generation and preserve liquidity. For accounting purposes, our subscription arrangements are considered to be sales-type finance leases, where the present value of all cash flows to be received under the subscription agreement is recognized as revenue upon shipment to the customer and achievement of the required revenue recognition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and six months ended June 30, 2023, approximately 65% and 61%, respectively, of our total system revenues were derived from traditional sales. For the three and six months ended June 30, 2022, approximately 42% and 40%, respectively, of our system revenues were derived from traditional sales. The increased focus on traditional sales is in line with our strategy to prioritize cash deals over subscription deals in order to improve cash generation and preserve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Customers generally demand higher discounts in connection with traditional sales. We recognize revenues from products sold to customers based on the following five steps: (1) identification of the contract(s) with the customer; (2) identification of the performance obligations in the contract; (3) determination of the transaction price; (4) allocation of the transaction price to the separate performance obligations in the contract; and (5) recognition of revenue when (or as) the entity satisfies a performance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do not grant rights of return or early termination rights to our customers under either our traditional sales or subscription models. These traditional sales are generally made through our sales team in the countries in which the team operates.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and six months ended June 30, 2023, approximately 9% of our total system revenues were derived from distributor sales. For the three and six months ended June 30, 2022, approximately 7% and 11%, respectively, of our system revenues were derived from distributor sales. Under the traditional distributor relationship, we do not sell directly to the end customer and, accordingly, achieve a lower overall margin on each system sold compared to our direct sales. These sales are non-refundable, non-returnable and without any rights of price protection or stock rotation. Accordingly, we consider distributors as end customers, and are accounted for using the sell-in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Procedure Based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generate revenue from the harvesting, site making, and implantation procedures performed with our ARTAS system. The harvesting procedure, as the name suggests, is the act of harvesting hair follicles from the patient’s scalp for implantation in the prescribed areas. To perform these procedures, a disposable clinical kit is required. These kits can be large (with an unlimited number of harvests) or small (with a maximum of 1,100 harvests). The customer must place an online order with us for the number and type of kits desired and make a payment. Upon receipt of the order and the related payment, we ship the kit(s), and the customer must scan the barcode on the kit label in order to perform the procedure. Once the kits are exhausted, the customer must purchase additional kits. The site making procedure uses the ARTAS system to create a recipient site (i.e., site making) in the patient’s scalp affected by androgenic alopecia (or male pattern baldness). The site making procedure also requires a disposable site making kit. The site making kits are sold to customers in the same manner as the kits for harvesting procedures. The implantation procedure utilizes the same disposal kit that is used for site making and involves immediately implanting follicles into the created recipient site. The implantation kits are sold to customers in the same manner as the harvesting and site making kits.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 xml:space="preserve">Other Product Revenue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also generate revenue from our customer base by selling Glide (a cooling/conductive gel which is required for use with many of our systems), marketing supplies and kits, Viva tips, and various consumables and disposables, replacement applicators and handpieces, and ARTAS system training.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 xml:space="preserve">Service Revenue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generate ancillary revenue from our existing customers by selling additional services including extended warranty service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Cost of Goods Sold and Gross Profit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Cost of goods sold consists primarily of costs associated with manufacturing our different systems, including direct product costs from third-party manufacturers, warehousing and storage costs and fulfillment and supply chain costs inclusive of personnel-related costs (primarily salaries, benefits, incentive compensation and stock-based compensation). Cost of goods sold also includes the cost of upgrades, technology amortization, royalty fees, parts, supplies, and cost of product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Operating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i/>
          <w:caps w:val="false"/>
          <w:smallCaps w:val="false"/>
          <w:sz w:val="20"/>
          <w:u w:val="single"/>
        </w:rPr>
        <w:t>Selling and Marketing</w:t>
      </w:r>
      <w:r>
        <w:rPr>
          <w:rFonts w:ascii="Times New Roman" w:hAnsi="Times New Roman"/>
          <w:caps w:val="false"/>
          <w:smallCaps w:val="false"/>
          <w:sz w:val="20"/>
          <w:u w:val="singl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currently sell our products and services using direct sales representatives in North America and in select international markets. Our sales costs primarily consist of salaries, commissions, benefits, incentive compensation and stock-based compensation. Costs also include expenses for travel and other promotional and sales-related activities as well as clinical training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marketing costs primarily consist of salaries, benefits, incentive compensation and stock-based compensation. They also include expenses for travel, trade shows, and other promotional and marketing activities, including direct and online marketing. As the business environment improves, we expect sales and marketing expenses to continue to increase, but at a rate slightly below our rate of revenue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general and administrative costs primarily consist of expenses associated with our executive, accounting and finance, information technology, legal, regulatory affairs, quality assurance and human resource departments, direct office rent/facilities costs, and intellectual property portfolio management. These expenses consist of personnel-related expenses (primarily salaries, benefits, incentive compensation and stock-based compensation), audit fees, legal fees, consultants, travel, insurance, and bad debt expense. During the normal course of operations, we may incur bad debt expense on accounts receivable balances that are deemed to be uncollectible.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research and development costs primarily consist of personnel-related costs (primarily salaries, benefits, incentive compensation, and stock-based compensation), material costs, amortization of intangible assets, clinical costs, and facilities costs in our Yokneam, Israel and San Jose, California research centers. Our ongoing research and development activities are primarily focused on improving and enhancing our current technologies, products, and services, and on expanding our current product offering with the introduction of new products and expanded indications.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expense all research and development costs in the periods in which they are incurred. We expect our research and development expenses to increase in absolute dollars as we continue to invest in research, clinical studies, and development activities, but to decline as a percentage of revenue as our revenue increases over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 xml:space="preserve">Finance Expenses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 w:hAnsi="Times New Roman"/>
          <w:caps w:val="false"/>
          <w:smallCaps w:val="false"/>
          <w:sz w:val="20"/>
        </w:rPr>
      </w:pPr>
      <w:r>
        <w:rPr>
          <w:rFonts w:ascii="Times New Roman" w:hAnsi="Times New Roman"/>
          <w:caps w:val="false"/>
          <w:smallCaps w:val="false"/>
          <w:sz w:val="20"/>
          <w:shd w:fill="FFFFFF" w:val="clear"/>
        </w:rPr>
        <w:t xml:space="preserve">Finance expenses consist of interest income, interest expense and other banking charges. Interest income consists of interest earned on our cash, cash equivalents and short-term bank deposits. We expect interest income to vary depending on our average investment balances and market interest rates during each reporting period. Interest expense consists of interest on long-term debt and other borrowings. The interest rates on our long-term debt were 8.22% for the MSLP Loan and 8.0% for the Notes as of </w:t>
      </w:r>
      <w:r>
        <w:rPr>
          <w:rFonts w:ascii="Times New Roman" w:hAnsi="Times New Roman"/>
          <w:caps w:val="false"/>
          <w:smallCaps w:val="false"/>
          <w:sz w:val="20"/>
        </w:rPr>
        <w:t xml:space="preserve">June 30, 2023 </w:t>
      </w:r>
      <w:r>
        <w:rPr>
          <w:rFonts w:ascii="Times New Roman" w:hAnsi="Times New Roman"/>
          <w:caps w:val="false"/>
          <w:smallCaps w:val="false"/>
          <w:sz w:val="20"/>
          <w:shd w:fill="FFFFFF" w:val="clear"/>
        </w:rPr>
        <w:t xml:space="preserve">and 7.39% for the MSLP Loan and 8.0% for the Notes as of </w:t>
      </w:r>
      <w:r>
        <w:rPr>
          <w:rFonts w:ascii="Times New Roman" w:hAnsi="Times New Roman"/>
          <w:caps w:val="false"/>
          <w:smallCaps w:val="false"/>
          <w:sz w:val="20"/>
        </w:rPr>
        <w:t xml:space="preserve">December 31, 2022 </w:t>
      </w:r>
      <w:r>
        <w:rPr>
          <w:rFonts w:ascii="Times New Roman" w:hAnsi="Times New Roman"/>
          <w:caps w:val="false"/>
          <w:smallCaps w:val="false"/>
          <w:sz w:val="20"/>
          <w:shd w:fill="FFFFFF" w:val="clear"/>
        </w:rPr>
        <w:t>.</w:t>
      </w:r>
      <w:r>
        <w:rPr>
          <w:rFonts w:ascii="Times New Roman" w:hAnsi="Times New Roman"/>
          <w:caps w:val="false"/>
          <w:smallCaps w:val="false"/>
          <w:sz w:val="20"/>
        </w:rPr>
        <w:t xml:space="preserve"> </w:t>
      </w:r>
    </w:p>
    <w:p>
      <w:pPr>
        <w:pStyle w:val="TextBody"/>
        <w:bidi w:val="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 w:hAnsi="Times New Roman"/>
          <w:i/>
          <w:caps w:val="false"/>
          <w:smallCaps w:val="false"/>
          <w:sz w:val="20"/>
          <w:u w:val="single"/>
          <w:shd w:fill="FFFFFF" w:val="clear"/>
        </w:rPr>
      </w:pPr>
      <w:r>
        <w:rPr>
          <w:rFonts w:ascii="Times New Roman" w:hAnsi="Times New Roman"/>
          <w:i/>
          <w:caps w:val="false"/>
          <w:smallCaps w:val="false"/>
          <w:sz w:val="20"/>
          <w:u w:val="single"/>
          <w:shd w:fill="FFFFFF" w:val="clear"/>
        </w:rPr>
        <w:t>Foreign Exchange (Gain)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Foreign currency exchange (gain) loss changes reflect foreign exchange gains or losses related to the change in value of assets and liabilities denominated in currencies other than the U.S. dollar.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shd w:fill="FFFFFF" w:val="clear"/>
        </w:rPr>
      </w:pPr>
      <w:r>
        <w:rPr>
          <w:rFonts w:ascii="Times New Roman" w:hAnsi="Times New Roman"/>
          <w:i/>
          <w:caps w:val="false"/>
          <w:smallCaps w:val="false"/>
          <w:sz w:val="20"/>
          <w:u w:val="single"/>
          <w:shd w:fill="FFFFFF" w:val="clear"/>
        </w:rPr>
        <w:t xml:space="preserve">Income Tax Expense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estimate our current and deferred tax liabilities based on current tax laws in the statutory jurisdictions in which we operate. These estimates include judgments about liabilities resulting from temporary differences between assets and liabilities recognized for financial reporting purposes and such amounts recognized for tax purposes. In certain jurisdictions, only the payments invoiced in the current period are subject to tax, but for accounting purposes, the discounted value of the total subscription contract is reported and tax affected. This results in a deferred tax credit which is settled in the future period when the monthly installment payment is issued and settled with the customer. Since our inception, we have not recorded any tax benefits for the net operating losses we have incurred in each year or for the research and development tax credits we generated in the United States. We believe, based upon the weight of available evidence, that it is more likely than not that all of our net operating loss carryforwards and tax credits will not be realized. Income tax expense is recognized based on the actual taxable income or loss incurred during the three and six months ended June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 xml:space="preserve">Non-Controlling Interests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minority shareholders in one jurisdiction in which we have direct operations. For accounting purposes, these minority partners are referred to as non-controlling interests, and we record the non-controlling interests’ share of earnings in our subsidiaries as a separate balance within stockholders’ equity in the consolidated balance sheets and consolidated statements of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tables set forth our consolidated results of operations in U.S. dollars and as a percentage of revenues for the periods indicated:</w:t>
      </w:r>
    </w:p>
    <w:p>
      <w:pPr>
        <w:pStyle w:val="TextBody"/>
        <w:bidi w:val="0"/>
        <w:spacing w:before="0" w:after="0"/>
        <w:ind w:left="0" w:right="0" w:hanging="0"/>
        <w:jc w:val="left"/>
        <w:rPr>
          <w:caps w:val="false"/>
          <w:smallCaps w:val="false"/>
        </w:rPr>
      </w:pPr>
      <w:r>
        <w:rPr>
          <w:caps w:val="false"/>
          <w:smallCaps w:val="false"/>
        </w:rPr>
        <w:t> </w:t>
      </w:r>
    </w:p>
    <w:tbl>
      <w:tblPr>
        <w:tblW w:w="9617" w:type="dxa"/>
        <w:jc w:val="left"/>
        <w:tblInd w:w="0" w:type="dxa"/>
        <w:tblLayout w:type="fixed"/>
        <w:tblCellMar>
          <w:top w:w="0" w:type="dxa"/>
          <w:left w:w="0" w:type="dxa"/>
          <w:bottom w:w="0" w:type="dxa"/>
          <w:right w:w="0" w:type="dxa"/>
        </w:tblCellMar>
      </w:tblPr>
      <w:tblGrid>
        <w:gridCol w:w="4295"/>
        <w:gridCol w:w="60"/>
        <w:gridCol w:w="182"/>
        <w:gridCol w:w="863"/>
        <w:gridCol w:w="270"/>
        <w:gridCol w:w="87"/>
        <w:gridCol w:w="182"/>
        <w:gridCol w:w="951"/>
        <w:gridCol w:w="185"/>
        <w:gridCol w:w="60"/>
        <w:gridCol w:w="160"/>
        <w:gridCol w:w="832"/>
        <w:gridCol w:w="237"/>
        <w:gridCol w:w="76"/>
        <w:gridCol w:w="160"/>
        <w:gridCol w:w="832"/>
        <w:gridCol w:w="185"/>
      </w:tblGrid>
      <w:tr>
        <w:trPr/>
        <w:tc>
          <w:tcPr>
            <w:tcW w:w="4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185" w:type="dxa"/>
            <w:tcBorders/>
            <w:shd w:fill="FFFF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27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1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237"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9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shd w:fill="FFFF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Consolidated Statements of Loss:</w:t>
            </w:r>
          </w:p>
        </w:tc>
        <w:tc>
          <w:tcPr>
            <w:tcW w:w="60" w:type="dxa"/>
            <w:tcBorders/>
            <w:shd w:fill="FFFFFF" w:val="clear"/>
            <w:vAlign w:val="center"/>
          </w:tcPr>
          <w:p>
            <w:pPr>
              <w:pStyle w:val="TableContents"/>
              <w:bidi w:val="0"/>
              <w:spacing w:before="0" w:after="283"/>
              <w:ind w:left="0" w:right="0" w:hanging="0"/>
              <w:jc w:val="left"/>
              <w:rPr/>
            </w:pPr>
            <w:r>
              <w:rPr/>
              <w:t> </w:t>
            </w:r>
          </w:p>
        </w:tc>
        <w:tc>
          <w:tcPr>
            <w:tcW w:w="2535" w:type="dxa"/>
            <w:gridSpan w:val="6"/>
            <w:tcBorders/>
            <w:shd w:fill="FFFFFF" w:val="clear"/>
            <w:vAlign w:val="center"/>
          </w:tcPr>
          <w:p>
            <w:pPr>
              <w:pStyle w:val="TableContents"/>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(dollars in thousands)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7" w:type="dxa"/>
            <w:gridSpan w:val="6"/>
            <w:tcBorders/>
            <w:shd w:fill="FFFFFF" w:val="clear"/>
            <w:vAlign w:val="center"/>
          </w:tcPr>
          <w:p>
            <w:pPr>
              <w:pStyle w:val="TableContents"/>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(dollars in thousands)</w:t>
            </w:r>
          </w:p>
        </w:tc>
        <w:tc>
          <w:tcPr>
            <w:tcW w:w="185"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r>
      <w:tr>
        <w:trPr/>
        <w:tc>
          <w:tcPr>
            <w:tcW w:w="429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Leases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4,311</w:t>
            </w:r>
          </w:p>
        </w:tc>
        <w:tc>
          <w:tcPr>
            <w:tcW w:w="27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11,874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10,072</w:t>
            </w:r>
          </w:p>
        </w:tc>
        <w:tc>
          <w:tcPr>
            <w:tcW w:w="237"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22,297</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429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Products and services</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3"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15,764</w:t>
            </w:r>
          </w:p>
        </w:tc>
        <w:tc>
          <w:tcPr>
            <w:tcW w:w="27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1"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15,392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30,534</w:t>
            </w:r>
          </w:p>
        </w:tc>
        <w:tc>
          <w:tcPr>
            <w:tcW w:w="237"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31,375</w:t>
            </w:r>
          </w:p>
        </w:tc>
        <w:tc>
          <w:tcPr>
            <w:tcW w:w="185"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revenue</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86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20,075</w:t>
            </w:r>
          </w:p>
        </w:tc>
        <w:tc>
          <w:tcPr>
            <w:tcW w:w="27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5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27,266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40,606</w:t>
            </w:r>
          </w:p>
        </w:tc>
        <w:tc>
          <w:tcPr>
            <w:tcW w:w="237"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53,672</w:t>
            </w:r>
          </w:p>
        </w:tc>
        <w:tc>
          <w:tcPr>
            <w:tcW w:w="185"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goods sold</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r>
      <w:tr>
        <w:trPr/>
        <w:tc>
          <w:tcPr>
            <w:tcW w:w="429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Leases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86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721</w:t>
            </w:r>
          </w:p>
        </w:tc>
        <w:tc>
          <w:tcPr>
            <w:tcW w:w="27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5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2,761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2,450</w:t>
            </w:r>
          </w:p>
        </w:tc>
        <w:tc>
          <w:tcPr>
            <w:tcW w:w="237"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5,461</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42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Products and services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86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5,134</w:t>
            </w:r>
          </w:p>
        </w:tc>
        <w:tc>
          <w:tcPr>
            <w:tcW w:w="27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5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5,459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10,237</w:t>
            </w:r>
          </w:p>
        </w:tc>
        <w:tc>
          <w:tcPr>
            <w:tcW w:w="237"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11,402</w:t>
            </w:r>
          </w:p>
        </w:tc>
        <w:tc>
          <w:tcPr>
            <w:tcW w:w="185"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5,855</w:t>
            </w:r>
          </w:p>
        </w:tc>
        <w:tc>
          <w:tcPr>
            <w:tcW w:w="27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8,220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12,687</w:t>
            </w:r>
          </w:p>
        </w:tc>
        <w:tc>
          <w:tcPr>
            <w:tcW w:w="237"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16,863</w:t>
            </w:r>
          </w:p>
        </w:tc>
        <w:tc>
          <w:tcPr>
            <w:tcW w:w="185"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14,220</w:t>
            </w:r>
          </w:p>
        </w:tc>
        <w:tc>
          <w:tcPr>
            <w:tcW w:w="27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19,046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27,919</w:t>
            </w:r>
          </w:p>
        </w:tc>
        <w:tc>
          <w:tcPr>
            <w:tcW w:w="237"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36,809</w:t>
            </w:r>
          </w:p>
        </w:tc>
        <w:tc>
          <w:tcPr>
            <w:tcW w:w="185"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429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Selling and marketing</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86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8,380</w:t>
            </w:r>
          </w:p>
        </w:tc>
        <w:tc>
          <w:tcPr>
            <w:tcW w:w="27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5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10,523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16,412</w:t>
            </w:r>
          </w:p>
        </w:tc>
        <w:tc>
          <w:tcPr>
            <w:tcW w:w="237"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21,607</w:t>
            </w:r>
          </w:p>
        </w:tc>
        <w:tc>
          <w:tcPr>
            <w:tcW w:w="185" w:type="dxa"/>
            <w:tcBorders/>
            <w:shd w:fill="CCEEFF" w:val="clear"/>
            <w:vAlign w:val="center"/>
          </w:tcPr>
          <w:p>
            <w:pPr>
              <w:pStyle w:val="TableContents"/>
              <w:bidi w:val="0"/>
              <w:spacing w:before="0" w:after="283"/>
              <w:ind w:left="0" w:right="0" w:hanging="0"/>
              <w:jc w:val="left"/>
              <w:rPr/>
            </w:pPr>
            <w:r>
              <w:rPr/>
              <w:t> </w:t>
            </w:r>
          </w:p>
        </w:tc>
      </w:tr>
      <w:tr>
        <w:trPr/>
        <w:tc>
          <w:tcPr>
            <w:tcW w:w="429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86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9,633</w:t>
            </w:r>
          </w:p>
        </w:tc>
        <w:tc>
          <w:tcPr>
            <w:tcW w:w="27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5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12,937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20,818</w:t>
            </w:r>
          </w:p>
        </w:tc>
        <w:tc>
          <w:tcPr>
            <w:tcW w:w="237"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24,409</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429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86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1,965</w:t>
            </w:r>
          </w:p>
        </w:tc>
        <w:tc>
          <w:tcPr>
            <w:tcW w:w="27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5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2,712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4,602</w:t>
            </w:r>
          </w:p>
        </w:tc>
        <w:tc>
          <w:tcPr>
            <w:tcW w:w="237"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5,355</w:t>
            </w:r>
          </w:p>
        </w:tc>
        <w:tc>
          <w:tcPr>
            <w:tcW w:w="185"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19,978</w:t>
            </w:r>
          </w:p>
        </w:tc>
        <w:tc>
          <w:tcPr>
            <w:tcW w:w="27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26,172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41,832</w:t>
            </w:r>
          </w:p>
        </w:tc>
        <w:tc>
          <w:tcPr>
            <w:tcW w:w="237"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51,371</w:t>
            </w:r>
          </w:p>
        </w:tc>
        <w:tc>
          <w:tcPr>
            <w:tcW w:w="185"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(5,758</w:t>
            </w:r>
          </w:p>
        </w:tc>
        <w:tc>
          <w:tcPr>
            <w:tcW w:w="27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(7,126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(13,913</w:t>
            </w:r>
          </w:p>
        </w:tc>
        <w:tc>
          <w:tcPr>
            <w:tcW w:w="23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(14,562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2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expenses: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429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Foreign exchange loss (gain)</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86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(178</w:t>
            </w:r>
          </w:p>
        </w:tc>
        <w:tc>
          <w:tcPr>
            <w:tcW w:w="27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5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2,370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(530</w:t>
            </w:r>
          </w:p>
        </w:tc>
        <w:tc>
          <w:tcPr>
            <w:tcW w:w="23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2,375</w:t>
            </w:r>
          </w:p>
        </w:tc>
        <w:tc>
          <w:tcPr>
            <w:tcW w:w="185" w:type="dxa"/>
            <w:tcBorders/>
            <w:shd w:fill="CCEEFF" w:val="clear"/>
            <w:vAlign w:val="center"/>
          </w:tcPr>
          <w:p>
            <w:pPr>
              <w:pStyle w:val="TableContents"/>
              <w:bidi w:val="0"/>
              <w:spacing w:before="0" w:after="283"/>
              <w:ind w:left="0" w:right="0" w:hanging="0"/>
              <w:jc w:val="left"/>
              <w:rPr/>
            </w:pPr>
            <w:r>
              <w:rPr/>
              <w:t> </w:t>
            </w:r>
          </w:p>
        </w:tc>
      </w:tr>
      <w:tr>
        <w:trPr/>
        <w:tc>
          <w:tcPr>
            <w:tcW w:w="429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Finance expenses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86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1,553</w:t>
            </w:r>
          </w:p>
        </w:tc>
        <w:tc>
          <w:tcPr>
            <w:tcW w:w="27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5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1,034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3,061</w:t>
            </w:r>
          </w:p>
        </w:tc>
        <w:tc>
          <w:tcPr>
            <w:tcW w:w="237"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1,957</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429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(Gain) loss on disposal of subsidiaries</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3"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w:t>
            </w:r>
          </w:p>
        </w:tc>
        <w:tc>
          <w:tcPr>
            <w:tcW w:w="27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 w:type="dxa"/>
            <w:tcBorders/>
            <w:shd w:fill="CCEEFF" w:val="cle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1"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76</w:t>
            </w:r>
          </w:p>
        </w:tc>
        <w:tc>
          <w:tcPr>
            <w:tcW w:w="237"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185"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before income taxes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86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(7,132</w:t>
            </w:r>
          </w:p>
        </w:tc>
        <w:tc>
          <w:tcPr>
            <w:tcW w:w="27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5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(10,530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(16,520</w:t>
            </w:r>
          </w:p>
        </w:tc>
        <w:tc>
          <w:tcPr>
            <w:tcW w:w="23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(18,894</w:t>
            </w:r>
          </w:p>
        </w:tc>
        <w:tc>
          <w:tcPr>
            <w:tcW w:w="18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42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tax (benefit)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3"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189</w:t>
            </w:r>
          </w:p>
        </w:tc>
        <w:tc>
          <w:tcPr>
            <w:tcW w:w="27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1"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424</w:t>
            </w:r>
          </w:p>
        </w:tc>
        <w:tc>
          <w:tcPr>
            <w:tcW w:w="237"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254</w:t>
            </w:r>
          </w:p>
        </w:tc>
        <w:tc>
          <w:tcPr>
            <w:tcW w:w="185"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(7,321</w:t>
            </w:r>
          </w:p>
        </w:tc>
        <w:tc>
          <w:tcPr>
            <w:tcW w:w="27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 w:type="dxa"/>
            <w:tcBorders/>
            <w:shd w:fill="FFFF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(10,512</w:t>
            </w:r>
          </w:p>
        </w:tc>
        <w:tc>
          <w:tcPr>
            <w:tcW w:w="185" w:type="dxa"/>
            <w:tcBorders/>
            <w:shd w:fill="FFFF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(16,944</w:t>
            </w:r>
          </w:p>
        </w:tc>
        <w:tc>
          <w:tcPr>
            <w:tcW w:w="23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(19,148</w:t>
            </w:r>
          </w:p>
        </w:tc>
        <w:tc>
          <w:tcPr>
            <w:tcW w:w="185" w:type="dxa"/>
            <w:tcBorders/>
            <w:shd w:fill="FFFF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r>
      <w:tr>
        <w:trPr/>
        <w:tc>
          <w:tcPr>
            <w:tcW w:w="42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attributable to stockholders of the Company</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(7,409</w:t>
            </w:r>
          </w:p>
        </w:tc>
        <w:tc>
          <w:tcPr>
            <w:tcW w:w="27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(10,559</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(17,066</w:t>
            </w:r>
          </w:p>
        </w:tc>
        <w:tc>
          <w:tcPr>
            <w:tcW w:w="23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(19,178</w:t>
            </w:r>
          </w:p>
        </w:tc>
        <w:tc>
          <w:tcPr>
            <w:tcW w:w="18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429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income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86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88</w:t>
            </w:r>
          </w:p>
        </w:tc>
        <w:tc>
          <w:tcPr>
            <w:tcW w:w="27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5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122</w:t>
            </w:r>
          </w:p>
        </w:tc>
        <w:tc>
          <w:tcPr>
            <w:tcW w:w="237"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30</w:t>
            </w:r>
          </w:p>
        </w:tc>
        <w:tc>
          <w:tcPr>
            <w:tcW w:w="185"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 a % of revenue: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r>
      <w:tr>
        <w:trPr/>
        <w:tc>
          <w:tcPr>
            <w:tcW w:w="429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Revenues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86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100</w:t>
            </w:r>
          </w:p>
        </w:tc>
        <w:tc>
          <w:tcPr>
            <w:tcW w:w="27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5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100</w:t>
            </w:r>
          </w:p>
        </w:tc>
        <w:tc>
          <w:tcPr>
            <w:tcW w:w="23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100</w:t>
            </w:r>
          </w:p>
        </w:tc>
        <w:tc>
          <w:tcPr>
            <w:tcW w:w="18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42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Cost of goods sold</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3"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29.2</w:t>
            </w:r>
          </w:p>
        </w:tc>
        <w:tc>
          <w:tcPr>
            <w:tcW w:w="27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1"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30.1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31.2</w:t>
            </w:r>
          </w:p>
        </w:tc>
        <w:tc>
          <w:tcPr>
            <w:tcW w:w="237"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31.4</w:t>
            </w:r>
          </w:p>
        </w:tc>
        <w:tc>
          <w:tcPr>
            <w:tcW w:w="185" w:type="dxa"/>
            <w:tcBorders/>
            <w:shd w:fill="CCEEFF" w:val="clear"/>
            <w:vAlign w:val="center"/>
          </w:tcPr>
          <w:p>
            <w:pPr>
              <w:pStyle w:val="TableContents"/>
              <w:bidi w:val="0"/>
              <w:spacing w:before="0" w:after="283"/>
              <w:ind w:left="0" w:right="0" w:hanging="0"/>
              <w:jc w:val="left"/>
              <w:rPr/>
            </w:pPr>
            <w:r>
              <w:rPr/>
              <w:t> </w:t>
            </w:r>
          </w:p>
        </w:tc>
      </w:tr>
      <w:tr>
        <w:trPr/>
        <w:tc>
          <w:tcPr>
            <w:tcW w:w="429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Gross profit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86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70.8</w:t>
            </w:r>
          </w:p>
        </w:tc>
        <w:tc>
          <w:tcPr>
            <w:tcW w:w="27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5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69.9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68.8</w:t>
            </w:r>
          </w:p>
        </w:tc>
        <w:tc>
          <w:tcPr>
            <w:tcW w:w="237"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68.6</w:t>
            </w:r>
          </w:p>
        </w:tc>
        <w:tc>
          <w:tcPr>
            <w:tcW w:w="185"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r>
      <w:tr>
        <w:trPr/>
        <w:tc>
          <w:tcPr>
            <w:tcW w:w="429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Selling and marketing</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86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41.7</w:t>
            </w:r>
          </w:p>
        </w:tc>
        <w:tc>
          <w:tcPr>
            <w:tcW w:w="27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5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38.6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40.4</w:t>
            </w:r>
          </w:p>
        </w:tc>
        <w:tc>
          <w:tcPr>
            <w:tcW w:w="237"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40.3</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42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86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48.0</w:t>
            </w:r>
          </w:p>
        </w:tc>
        <w:tc>
          <w:tcPr>
            <w:tcW w:w="27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5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47.4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51.3</w:t>
            </w:r>
          </w:p>
        </w:tc>
        <w:tc>
          <w:tcPr>
            <w:tcW w:w="237"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45.5</w:t>
            </w:r>
          </w:p>
        </w:tc>
        <w:tc>
          <w:tcPr>
            <w:tcW w:w="185" w:type="dxa"/>
            <w:tcBorders/>
            <w:shd w:fill="CCEEFF" w:val="clear"/>
            <w:vAlign w:val="center"/>
          </w:tcPr>
          <w:p>
            <w:pPr>
              <w:pStyle w:val="TableContents"/>
              <w:bidi w:val="0"/>
              <w:spacing w:before="0" w:after="283"/>
              <w:ind w:left="0" w:right="0" w:hanging="0"/>
              <w:jc w:val="left"/>
              <w:rPr/>
            </w:pPr>
            <w:r>
              <w:rPr/>
              <w:t> </w:t>
            </w:r>
          </w:p>
        </w:tc>
      </w:tr>
      <w:tr>
        <w:trPr/>
        <w:tc>
          <w:tcPr>
            <w:tcW w:w="429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Research and development</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6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9.8</w:t>
            </w:r>
          </w:p>
        </w:tc>
        <w:tc>
          <w:tcPr>
            <w:tcW w:w="27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1"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11.3</w:t>
            </w:r>
          </w:p>
        </w:tc>
        <w:tc>
          <w:tcPr>
            <w:tcW w:w="237"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10.0</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42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operating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3"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99.5</w:t>
            </w:r>
          </w:p>
        </w:tc>
        <w:tc>
          <w:tcPr>
            <w:tcW w:w="27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1"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96.0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103.0</w:t>
            </w:r>
          </w:p>
        </w:tc>
        <w:tc>
          <w:tcPr>
            <w:tcW w:w="237"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95.7</w:t>
            </w:r>
          </w:p>
        </w:tc>
        <w:tc>
          <w:tcPr>
            <w:tcW w:w="185" w:type="dxa"/>
            <w:tcBorders/>
            <w:shd w:fill="CCEEFF" w:val="clear"/>
            <w:vAlign w:val="center"/>
          </w:tcPr>
          <w:p>
            <w:pPr>
              <w:pStyle w:val="TableContents"/>
              <w:bidi w:val="0"/>
              <w:spacing w:before="0" w:after="283"/>
              <w:ind w:left="0" w:right="0" w:hanging="0"/>
              <w:jc w:val="left"/>
              <w:rPr/>
            </w:pPr>
            <w:r>
              <w:rPr/>
              <w:t> </w:t>
            </w:r>
          </w:p>
        </w:tc>
      </w:tr>
      <w:tr>
        <w:trPr/>
        <w:tc>
          <w:tcPr>
            <w:tcW w:w="429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86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(28.7</w:t>
            </w:r>
          </w:p>
        </w:tc>
        <w:tc>
          <w:tcPr>
            <w:tcW w:w="27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5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(34.3</w:t>
            </w:r>
          </w:p>
        </w:tc>
        <w:tc>
          <w:tcPr>
            <w:tcW w:w="23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(27.1</w:t>
            </w:r>
          </w:p>
        </w:tc>
        <w:tc>
          <w:tcPr>
            <w:tcW w:w="18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42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Foreign exchange loss (gain)</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86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(0.9</w:t>
            </w:r>
          </w:p>
        </w:tc>
        <w:tc>
          <w:tcPr>
            <w:tcW w:w="27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5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23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4.4</w:t>
            </w:r>
          </w:p>
        </w:tc>
        <w:tc>
          <w:tcPr>
            <w:tcW w:w="185" w:type="dxa"/>
            <w:tcBorders/>
            <w:shd w:fill="CCEEFF" w:val="clear"/>
            <w:vAlign w:val="center"/>
          </w:tcPr>
          <w:p>
            <w:pPr>
              <w:pStyle w:val="TableContents"/>
              <w:bidi w:val="0"/>
              <w:spacing w:before="0" w:after="283"/>
              <w:ind w:left="0" w:right="0" w:hanging="0"/>
              <w:jc w:val="left"/>
              <w:rPr/>
            </w:pPr>
            <w:r>
              <w:rPr/>
              <w:t> </w:t>
            </w:r>
          </w:p>
        </w:tc>
      </w:tr>
      <w:tr>
        <w:trPr/>
        <w:tc>
          <w:tcPr>
            <w:tcW w:w="429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Finance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6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7.7</w:t>
            </w:r>
          </w:p>
        </w:tc>
        <w:tc>
          <w:tcPr>
            <w:tcW w:w="27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1"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7.5</w:t>
            </w:r>
          </w:p>
        </w:tc>
        <w:tc>
          <w:tcPr>
            <w:tcW w:w="237"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3.6</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42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86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(35.5</w:t>
            </w:r>
          </w:p>
        </w:tc>
        <w:tc>
          <w:tcPr>
            <w:tcW w:w="27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5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(38.6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(40.7</w:t>
            </w:r>
          </w:p>
        </w:tc>
        <w:tc>
          <w:tcPr>
            <w:tcW w:w="23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(35.2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tables set forth our revenue by region and by product type for the periods indicated:</w:t>
      </w:r>
    </w:p>
    <w:p>
      <w:pPr>
        <w:pStyle w:val="TextBody"/>
        <w:bidi w:val="0"/>
        <w:spacing w:before="0" w:after="0"/>
        <w:ind w:left="0" w:right="0" w:hanging="0"/>
        <w:jc w:val="left"/>
        <w:rPr>
          <w:caps w:val="false"/>
          <w:smallCaps w:val="false"/>
        </w:rPr>
      </w:pPr>
      <w:r>
        <w:rPr>
          <w:caps w:val="false"/>
          <w:smallCaps w:val="false"/>
        </w:rPr>
        <w:t> </w:t>
      </w:r>
    </w:p>
    <w:tbl>
      <w:tblPr>
        <w:tblW w:w="6804" w:type="dxa"/>
        <w:jc w:val="left"/>
        <w:tblInd w:w="0" w:type="dxa"/>
        <w:tblLayout w:type="fixed"/>
        <w:tblCellMar>
          <w:top w:w="0" w:type="dxa"/>
          <w:left w:w="0" w:type="dxa"/>
          <w:bottom w:w="0" w:type="dxa"/>
          <w:right w:w="0" w:type="dxa"/>
        </w:tblCellMar>
      </w:tblPr>
      <w:tblGrid>
        <w:gridCol w:w="1730"/>
        <w:gridCol w:w="60"/>
        <w:gridCol w:w="204"/>
        <w:gridCol w:w="966"/>
        <w:gridCol w:w="98"/>
        <w:gridCol w:w="98"/>
        <w:gridCol w:w="204"/>
        <w:gridCol w:w="966"/>
        <w:gridCol w:w="60"/>
        <w:gridCol w:w="60"/>
        <w:gridCol w:w="185"/>
        <w:gridCol w:w="875"/>
        <w:gridCol w:w="89"/>
        <w:gridCol w:w="89"/>
        <w:gridCol w:w="185"/>
        <w:gridCol w:w="875"/>
        <w:gridCol w:w="60"/>
      </w:tblGrid>
      <w:tr>
        <w:trPr/>
        <w:tc>
          <w:tcPr>
            <w:tcW w:w="17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17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17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6" w:type="dxa"/>
            <w:gridSpan w:val="6"/>
            <w:tcBorders/>
            <w:shd w:fill="FFFFFF" w:val="clear"/>
            <w:vAlign w:val="center"/>
          </w:tcPr>
          <w:p>
            <w:pPr>
              <w:pStyle w:val="TableContents"/>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(dollars 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shd w:fill="FFFFFF" w:val="clear"/>
            <w:vAlign w:val="center"/>
          </w:tcPr>
          <w:p>
            <w:pPr>
              <w:pStyle w:val="TableContents"/>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(dollars in thousands)</w:t>
            </w:r>
          </w:p>
        </w:tc>
        <w:tc>
          <w:tcPr>
            <w:tcW w:w="60" w:type="dxa"/>
            <w:tcBorders/>
            <w:shd w:fill="FFFFFF" w:val="clear"/>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Revenues by region:</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7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United States</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9,757</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20,498</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8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26,545</w:t>
            </w:r>
          </w:p>
        </w:tc>
        <w:tc>
          <w:tcPr>
            <w:tcW w:w="60" w:type="dxa"/>
            <w:tcBorders/>
            <w:shd w:fill="FFFFFF" w:val="clear"/>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International</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10,318</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20,108</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27,127</w:t>
            </w:r>
          </w:p>
        </w:tc>
        <w:tc>
          <w:tcPr>
            <w:tcW w:w="60" w:type="dxa"/>
            <w:tcBorders/>
            <w:shd w:fill="CCEEFF" w:val="clear"/>
            <w:vAlign w:val="center"/>
          </w:tcPr>
          <w:p>
            <w:pPr>
              <w:pStyle w:val="TableContents"/>
              <w:bidi w:val="0"/>
              <w:spacing w:before="0" w:after="283"/>
              <w:jc w:val="left"/>
              <w:rPr/>
            </w:pPr>
            <w:r>
              <w:rPr/>
              <w:t> </w:t>
            </w:r>
          </w:p>
        </w:tc>
      </w:tr>
      <w:tr>
        <w:trPr/>
        <w:tc>
          <w:tcPr>
            <w:tcW w:w="17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20,075</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27,266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40,606</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53,672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984" w:type="dxa"/>
        <w:jc w:val="left"/>
        <w:tblInd w:w="0" w:type="dxa"/>
        <w:tblLayout w:type="fixed"/>
        <w:tblCellMar>
          <w:top w:w="0" w:type="dxa"/>
          <w:left w:w="0" w:type="dxa"/>
          <w:bottom w:w="0" w:type="dxa"/>
          <w:right w:w="0" w:type="dxa"/>
        </w:tblCellMar>
      </w:tblPr>
      <w:tblGrid>
        <w:gridCol w:w="1910"/>
        <w:gridCol w:w="60"/>
        <w:gridCol w:w="204"/>
        <w:gridCol w:w="966"/>
        <w:gridCol w:w="98"/>
        <w:gridCol w:w="98"/>
        <w:gridCol w:w="204"/>
        <w:gridCol w:w="966"/>
        <w:gridCol w:w="60"/>
        <w:gridCol w:w="60"/>
        <w:gridCol w:w="185"/>
        <w:gridCol w:w="875"/>
        <w:gridCol w:w="89"/>
        <w:gridCol w:w="89"/>
        <w:gridCol w:w="185"/>
        <w:gridCol w:w="875"/>
        <w:gridCol w:w="60"/>
      </w:tblGrid>
      <w:tr>
        <w:trPr/>
        <w:tc>
          <w:tcPr>
            <w:tcW w:w="1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6" w:type="dxa"/>
            <w:gridSpan w:val="6"/>
            <w:tcBorders/>
            <w:shd w:fill="FFFFFF" w:val="clear"/>
            <w:vAlign w:val="center"/>
          </w:tcPr>
          <w:p>
            <w:pPr>
              <w:pStyle w:val="TableContents"/>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(dollars 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shd w:fill="FFFFFF" w:val="clear"/>
            <w:vAlign w:val="center"/>
          </w:tcPr>
          <w:p>
            <w:pPr>
              <w:pStyle w:val="TableContents"/>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(dollars in thousands)</w:t>
            </w:r>
          </w:p>
        </w:tc>
        <w:tc>
          <w:tcPr>
            <w:tcW w:w="60" w:type="dxa"/>
            <w:tcBorders/>
            <w:shd w:fill="FFFF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Revenues by product: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Subscription—Systems</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4,311</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10,072</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22,297</w:t>
            </w:r>
          </w:p>
        </w:tc>
        <w:tc>
          <w:tcPr>
            <w:tcW w:w="60" w:type="dxa"/>
            <w:tcBorders/>
            <w:shd w:fill="CCEE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Products—Systems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12,313</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23,377</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23,422</w:t>
            </w:r>
          </w:p>
        </w:tc>
        <w:tc>
          <w:tcPr>
            <w:tcW w:w="60" w:type="dxa"/>
            <w:tcBorders/>
            <w:shd w:fill="FFFFFF" w:val="clear"/>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Products—Other (1)</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2,586</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5,533</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6,577</w:t>
            </w:r>
          </w:p>
        </w:tc>
        <w:tc>
          <w:tcPr>
            <w:tcW w:w="60" w:type="dxa"/>
            <w:tcBorders/>
            <w:shd w:fill="CCEE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Services</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865</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1,624</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1,376</w:t>
            </w:r>
          </w:p>
        </w:tc>
        <w:tc>
          <w:tcPr>
            <w:tcW w:w="60" w:type="dxa"/>
            <w:tcBorders/>
            <w:shd w:fill="FFFFFF" w:val="clear"/>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20,075</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27,266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40,606</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53,672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330" w:type="dxa"/>
        <w:jc w:val="left"/>
        <w:tblInd w:w="0" w:type="dxa"/>
        <w:tblLayout w:type="fixed"/>
        <w:tblCellMar>
          <w:top w:w="0" w:type="dxa"/>
          <w:left w:w="0" w:type="dxa"/>
          <w:bottom w:w="0" w:type="dxa"/>
          <w:right w:w="0" w:type="dxa"/>
        </w:tblCellMar>
      </w:tblPr>
      <w:tblGrid>
        <w:gridCol w:w="245"/>
        <w:gridCol w:w="7085"/>
      </w:tblGrid>
      <w:tr>
        <w:trPr/>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70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Products-Other include ARTAS procedure kits, Viva tips, Glide and other consumables.</w:t>
            </w:r>
          </w:p>
        </w:tc>
      </w:tr>
    </w:tbl>
    <w:p>
      <w:pPr>
        <w:pStyle w:val="TextBody"/>
        <w:bidi w:val="0"/>
        <w:spacing w:before="0" w:after="0"/>
        <w:ind w:left="0" w:right="0" w:hanging="0"/>
        <w:jc w:val="left"/>
        <w:rPr/>
      </w:pPr>
      <w:r>
        <w:rPr/>
        <w:t> </w:t>
      </w:r>
    </w:p>
    <w:tbl>
      <w:tblPr>
        <w:tblW w:w="5240" w:type="dxa"/>
        <w:jc w:val="left"/>
        <w:tblInd w:w="0" w:type="dxa"/>
        <w:tblLayout w:type="fixed"/>
        <w:tblCellMar>
          <w:top w:w="0" w:type="dxa"/>
          <w:left w:w="0" w:type="dxa"/>
          <w:bottom w:w="0" w:type="dxa"/>
          <w:right w:w="0" w:type="dxa"/>
        </w:tblCellMar>
      </w:tblPr>
      <w:tblGrid>
        <w:gridCol w:w="5240"/>
      </w:tblGrid>
      <w:tr>
        <w:trPr/>
        <w:tc>
          <w:tcPr>
            <w:tcW w:w="5240" w:type="dxa"/>
            <w:tcBorders/>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Comparison of the three months ended June 30, 2023 and 2022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tbl>
      <w:tblPr>
        <w:tblW w:w="8158" w:type="dxa"/>
        <w:jc w:val="left"/>
        <w:tblInd w:w="0" w:type="dxa"/>
        <w:tblLayout w:type="fixed"/>
        <w:tblCellMar>
          <w:top w:w="0" w:type="dxa"/>
          <w:left w:w="0" w:type="dxa"/>
          <w:bottom w:w="0" w:type="dxa"/>
          <w:right w:w="0" w:type="dxa"/>
        </w:tblCellMar>
      </w:tblPr>
      <w:tblGrid>
        <w:gridCol w:w="2870"/>
        <w:gridCol w:w="60"/>
        <w:gridCol w:w="129"/>
        <w:gridCol w:w="610"/>
        <w:gridCol w:w="62"/>
        <w:gridCol w:w="62"/>
        <w:gridCol w:w="466"/>
        <w:gridCol w:w="468"/>
        <w:gridCol w:w="62"/>
        <w:gridCol w:w="62"/>
        <w:gridCol w:w="129"/>
        <w:gridCol w:w="610"/>
        <w:gridCol w:w="62"/>
        <w:gridCol w:w="62"/>
        <w:gridCol w:w="102"/>
        <w:gridCol w:w="832"/>
        <w:gridCol w:w="60"/>
        <w:gridCol w:w="60"/>
        <w:gridCol w:w="125"/>
        <w:gridCol w:w="545"/>
        <w:gridCol w:w="80"/>
        <w:gridCol w:w="60"/>
        <w:gridCol w:w="60"/>
        <w:gridCol w:w="440"/>
        <w:gridCol w:w="80"/>
      </w:tblGrid>
      <w:tr>
        <w:trPr/>
        <w:tc>
          <w:tcPr>
            <w:tcW w:w="2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18"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79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80" w:type="dxa"/>
            <w:tcBorders/>
            <w:shd w:fill="FFFF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 except percentages)</w:t>
            </w:r>
          </w:p>
        </w:tc>
        <w:tc>
          <w:tcPr>
            <w:tcW w:w="60" w:type="dxa"/>
            <w:tcBorders/>
            <w:shd w:fill="FFFFFF" w:val="clear"/>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 Total</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 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80" w:type="dxa"/>
            <w:tcBorders/>
            <w:shd w:fill="FFFFFF" w:val="clear"/>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Subscription—Systems</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1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4,311</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34" w:type="dxa"/>
            <w:gridSpan w:val="2"/>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21.5</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1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11,874</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(7,563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(63.7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8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Products—Systems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12,313</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34" w:type="dxa"/>
            <w:gridSpan w:val="2"/>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61.3</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11,548</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6.6</w:t>
            </w:r>
          </w:p>
        </w:tc>
        <w:tc>
          <w:tcPr>
            <w:tcW w:w="80" w:type="dxa"/>
            <w:tcBorders/>
            <w:shd w:fill="CCEE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Products—Other</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2,586</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34" w:type="dxa"/>
            <w:gridSpan w:val="2"/>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12.9</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3,080</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(494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8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Services</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865</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764</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4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13.2</w:t>
            </w:r>
          </w:p>
        </w:tc>
        <w:tc>
          <w:tcPr>
            <w:tcW w:w="80" w:type="dxa"/>
            <w:tcBorders/>
            <w:shd w:fill="CCEE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20,075</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100.0</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27,266</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(7,191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Total revenue decreased by $7.2 million, or 26%, to $20.1 million for the three months ended June 30, 2023 from $27.3 million for the three months ended June 30, 2022. The decrease in revenue is primarily attributed to an initiative to reduce our reliance on system sales sold under subscription agreements, and lower ARTAS revenues in the quarter. This strategic shift to minimize subscription sales is designed to improve cash generation and reduce our exposure to defaults and increased bad debt expense given the increasingly challenging economic environment caused by the coexistence of high inflation and high interest rates. Our international business was also impacted by the closure of 3 direct offices in the past year, as well as general macroeconomic headwinds that impacted customer access to capital. Despite the reduction in systems sales sold under subscriptions agreements, our cash generation in the second quarter of 2023 improved due to higher system sales sold on a cash basis.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sold an aggregate of 332 systems in the three months ended June 30, 2023 compared to 430 systems in the three months ended June 30, 2022. The percentage of systems revenue derived from our subscription model was approximately 26% and 51% during the three months ended June 30, 2023 and 2022, respectively. The relative decrease in subscription revenues is in line with our strategy to prioritize cash deals over subscription deals in the U.S. market in order to improve cash generation and preserve liquidity. Specific to the U.S. market, systems revenue derived from our subscription model was approximately 18% and 64% during the three months ended June 30, 2023 and 2022,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shd w:fill="FFFFFF" w:val="clear"/>
        </w:rPr>
        <w:t xml:space="preserve">Other product revenue decreased by $0.5 million, or 16%, to $2.6 million in the three months ended </w:t>
      </w:r>
      <w:r>
        <w:rPr>
          <w:rFonts w:ascii="Times New Roman" w:hAnsi="Times New Roman"/>
          <w:caps w:val="false"/>
          <w:smallCaps w:val="false"/>
          <w:sz w:val="20"/>
        </w:rPr>
        <w:t>June 30, 2023</w:t>
      </w:r>
      <w:r>
        <w:rPr>
          <w:rFonts w:ascii="Times New Roman" w:hAnsi="Times New Roman"/>
          <w:caps w:val="false"/>
          <w:smallCaps w:val="false"/>
          <w:sz w:val="20"/>
          <w:shd w:fill="FFFFFF" w:val="clear"/>
        </w:rPr>
        <w:t xml:space="preserve"> compared to $3.1 million in the three months ended </w:t>
      </w:r>
      <w:r>
        <w:rPr>
          <w:rFonts w:ascii="Times New Roman" w:hAnsi="Times New Roman"/>
          <w:caps w:val="false"/>
          <w:smallCaps w:val="false"/>
          <w:sz w:val="20"/>
        </w:rPr>
        <w:t>June 30, 2022</w:t>
      </w:r>
      <w:r>
        <w:rPr>
          <w:rFonts w:ascii="Times New Roman" w:hAnsi="Times New Roman"/>
          <w:caps w:val="false"/>
          <w:smallCaps w:val="false"/>
          <w:sz w:val="20"/>
          <w:shd w:fill="FFFFFF" w:val="clea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Services revenue increased by $0.1 million, or 13%, to $0.9 million in the three months ended June 30, 2023, compared to $0.8 million in the three months ended June 30,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Cost of Goods Sold and 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Cost of goods sold decreased by $2.3 million, or 29%, to $5.9 million in the three months ended June 30, 2023, compared to $8.2 million in the three months ended June 30, 2022. Gross profit decreased by $4.8 million, or 25%, to $14.2 million in the three months ended June 30, 2023, compared to $19.0 million in the three months ended June 30, 2022. The decrease in gross profit is primarily due to a decrease in revenue in the United States and international markets driven by the strategic decision to deemphasize subscription sales and the exit from unprofitable direct markets as discussed above. Gross margin was 70.8% of revenue in the three months ended June 30, 2023, compared to 69.9% of revenue in the three months ended June 30, 2022. </w:t>
      </w:r>
      <w:r>
        <w:rPr>
          <w:rFonts w:ascii="Times New Roman" w:hAnsi="Times New Roman"/>
          <w:caps w:val="false"/>
          <w:smallCaps w:val="false"/>
          <w:color w:val="333333"/>
          <w:sz w:val="20"/>
          <w:shd w:fill="FFFFFF" w:val="clear"/>
        </w:rPr>
        <w:t>The marginal increase was primarily due to lower ARTAS system sales when compared to the three months ended June 30, 2022. ARTAS systems have a slightly lower gross margin than our energy based devices.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Operating expenses</w:t>
      </w:r>
    </w:p>
    <w:p>
      <w:pPr>
        <w:pStyle w:val="TextBody"/>
        <w:bidi w:val="0"/>
        <w:spacing w:before="0" w:after="0"/>
        <w:ind w:left="0" w:right="0" w:hanging="0"/>
        <w:jc w:val="left"/>
        <w:rPr>
          <w:caps w:val="false"/>
          <w:smallCaps w:val="false"/>
        </w:rPr>
      </w:pPr>
      <w:r>
        <w:rPr>
          <w:caps w:val="false"/>
          <w:smallCaps w:val="false"/>
        </w:rPr>
        <w:t> </w:t>
      </w:r>
    </w:p>
    <w:tbl>
      <w:tblPr>
        <w:tblW w:w="8758" w:type="dxa"/>
        <w:jc w:val="left"/>
        <w:tblInd w:w="0" w:type="dxa"/>
        <w:tblLayout w:type="fixed"/>
        <w:tblCellMar>
          <w:top w:w="0" w:type="dxa"/>
          <w:left w:w="0" w:type="dxa"/>
          <w:bottom w:w="0" w:type="dxa"/>
          <w:right w:w="0" w:type="dxa"/>
        </w:tblCellMar>
      </w:tblPr>
      <w:tblGrid>
        <w:gridCol w:w="2870"/>
        <w:gridCol w:w="60"/>
        <w:gridCol w:w="125"/>
        <w:gridCol w:w="590"/>
        <w:gridCol w:w="60"/>
        <w:gridCol w:w="60"/>
        <w:gridCol w:w="172"/>
        <w:gridCol w:w="1092"/>
        <w:gridCol w:w="60"/>
        <w:gridCol w:w="60"/>
        <w:gridCol w:w="125"/>
        <w:gridCol w:w="590"/>
        <w:gridCol w:w="60"/>
        <w:gridCol w:w="60"/>
        <w:gridCol w:w="172"/>
        <w:gridCol w:w="1092"/>
        <w:gridCol w:w="60"/>
        <w:gridCol w:w="60"/>
        <w:gridCol w:w="125"/>
        <w:gridCol w:w="545"/>
        <w:gridCol w:w="80"/>
        <w:gridCol w:w="60"/>
        <w:gridCol w:w="60"/>
        <w:gridCol w:w="440"/>
        <w:gridCol w:w="80"/>
      </w:tblGrid>
      <w:tr>
        <w:trPr/>
        <w:tc>
          <w:tcPr>
            <w:tcW w:w="2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18"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9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9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80" w:type="dxa"/>
            <w:tcBorders/>
            <w:shd w:fill="FFFF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 except percentages)</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80" w:type="dxa"/>
            <w:tcBorders/>
            <w:shd w:fill="FFFFFF" w:val="clear"/>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Selling and marketing</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10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10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(2,143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87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9,633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4" w:type="dxa"/>
            <w:gridSpan w:val="2"/>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12,937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(3,304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(25.5</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28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Research and development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1,965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2,712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9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(747</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w:t>
            </w:r>
          </w:p>
        </w:tc>
        <w:tc>
          <w:tcPr>
            <w:tcW w:w="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87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4" w:type="dxa"/>
            <w:gridSpan w:val="2"/>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(6,194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Selling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Selling and marketing expenses decreased by $2.1 million or 20% in the three months ended June 30, 2023 compared to the three months ended June 30, 2022. This decrease is largely due to lower revenues and reduced marketing expenditures as we consolidate some of these activities. As a percentage of total revenues, our selling and marketing expenses increased by 3.1%, from 38.6% in the three months ended June 30, 2022 to 41.7% in the three months ended June 30, 2023. As the business environment improves, we expect selling and marketing expenses to increase in absolute terms, but at a rate slightly below our rate of revenue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decreased by $3.3 million or 26% in the three months ended June 30, 2023 compared to the three months ended June 30, 2022, primarily due to exiting certain unprofitable direct markets, partially offset by inflationary pressures associated with salaries and other cost elements. As a percentage of total revenues, our general and administrative expenses increased by 0.6%, from 47.4% in the three months ended June 30, 2022, to 48.0% in the three months ended June 30, 2023, primarily due to the decrease in year over year total revenues.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Research and development expenses decreased by $0.7 million or 28% in the three months ended June 30, 2023 compared to the three months ended June 30, 2022. We experienced significant cost savings through the consolidation of activities between our Israel and United States sites, partially offset by a reinvestment in research and development efforts directed at scaling our robotic technology across other aesthetic platforms. As a percentage of total revenues, our research and development expenses decreased by 0.1%, from 9.9% in the three months ended June 30, 2022, to 9.8% in the three months ended June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Foreign Exchange (Gain)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had $0.2 million of foreign exchange gain in the three months ended June 30, 2023 and foreign exchange loss of $2.4 million in the three months ended June 30, 2022. It increased by $2.6 million in the three months ended June 30, 2023 compared to the three months ended June 30, 2022. Changes in foreign exchange are driven mainly by the effect of foreign exchange on accounts receivable balances denominated in currencies other than the US dollar. We do not currently hedge against foreign currency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Finance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Finance expenses increased by $0.5 million or 50.2%, to $1.6 million in the three months ended June 30, 2023, compared to $1.0 million in the three months ended June 30, 2022, mostly due to an increase in LIBOR rates on our MSLP loan. See “—</w:t>
      </w:r>
      <w:r>
        <w:rPr>
          <w:rFonts w:ascii="Times New Roman" w:hAnsi="Times New Roman"/>
          <w:i/>
          <w:caps w:val="false"/>
          <w:smallCaps w:val="false"/>
          <w:sz w:val="20"/>
        </w:rPr>
        <w:t>Liquidity and Capital Resources</w:t>
      </w:r>
      <w:r>
        <w:rPr>
          <w:rFonts w:ascii="Times New Roman" w:hAnsi="Times New Roman"/>
          <w:caps w:val="false"/>
          <w:smallCaps w:val="false"/>
          <w:sz w:val="20"/>
        </w:rPr>
        <w:t>”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Income Tax Expense/Benefit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had an income tax expense of $0.2 million in the three months ended June 30, 2023 compared to a $0.02 million income tax benefit in the three months ended June 30, 2022. The tax provision is driven by profitable sales and the actual effective tax rates where the sale took place or losses were incurred. In 2023, we had changes in timing of deductible expenses and recognized tax losses in specific judications, which resulted in $0.2 million of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5060" w:type="dxa"/>
        <w:jc w:val="left"/>
        <w:tblInd w:w="0" w:type="dxa"/>
        <w:tblLayout w:type="fixed"/>
        <w:tblCellMar>
          <w:top w:w="0" w:type="dxa"/>
          <w:left w:w="0" w:type="dxa"/>
          <w:bottom w:w="0" w:type="dxa"/>
          <w:right w:w="0" w:type="dxa"/>
        </w:tblCellMar>
      </w:tblPr>
      <w:tblGrid>
        <w:gridCol w:w="5060"/>
      </w:tblGrid>
      <w:tr>
        <w:trPr/>
        <w:tc>
          <w:tcPr>
            <w:tcW w:w="5060" w:type="dxa"/>
            <w:tcBorders/>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Comparison of the six months ended June 30, 2023 and 2022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tbl>
      <w:tblPr>
        <w:tblW w:w="8203" w:type="dxa"/>
        <w:jc w:val="left"/>
        <w:tblInd w:w="0" w:type="dxa"/>
        <w:tblLayout w:type="fixed"/>
        <w:tblCellMar>
          <w:top w:w="0" w:type="dxa"/>
          <w:left w:w="0" w:type="dxa"/>
          <w:bottom w:w="0" w:type="dxa"/>
          <w:right w:w="0" w:type="dxa"/>
        </w:tblCellMar>
      </w:tblPr>
      <w:tblGrid>
        <w:gridCol w:w="2870"/>
        <w:gridCol w:w="60"/>
        <w:gridCol w:w="125"/>
        <w:gridCol w:w="590"/>
        <w:gridCol w:w="60"/>
        <w:gridCol w:w="60"/>
        <w:gridCol w:w="102"/>
        <w:gridCol w:w="832"/>
        <w:gridCol w:w="60"/>
        <w:gridCol w:w="60"/>
        <w:gridCol w:w="125"/>
        <w:gridCol w:w="590"/>
        <w:gridCol w:w="60"/>
        <w:gridCol w:w="60"/>
        <w:gridCol w:w="102"/>
        <w:gridCol w:w="832"/>
        <w:gridCol w:w="60"/>
        <w:gridCol w:w="60"/>
        <w:gridCol w:w="125"/>
        <w:gridCol w:w="650"/>
        <w:gridCol w:w="80"/>
        <w:gridCol w:w="60"/>
        <w:gridCol w:w="60"/>
        <w:gridCol w:w="440"/>
        <w:gridCol w:w="80"/>
      </w:tblGrid>
      <w:tr>
        <w:trPr/>
        <w:tc>
          <w:tcPr>
            <w:tcW w:w="2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58"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80" w:type="dxa"/>
            <w:tcBorders/>
            <w:shd w:fill="FFFF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 except percentages)</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 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 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80" w:type="dxa"/>
            <w:tcBorders/>
            <w:shd w:fill="FFFF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Subscription—Systems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22,297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(12,225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(54.8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8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Products—Systems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23,377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23,422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(0.2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8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Products—Other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5,533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6,577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(1,044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8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Services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18.0</w:t>
            </w:r>
          </w:p>
        </w:tc>
        <w:tc>
          <w:tcPr>
            <w:tcW w:w="80" w:type="dxa"/>
            <w:tcBorders/>
            <w:shd w:fill="FFFFFF" w:val="clear"/>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40,606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(13,066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Total revenue decreased by $13.1 million, or 24.3%, to $40.6 million for the six months ended June 30, 2023 from $53.7 million for the six months ended June 30, 2022. The decrease in revenue is primarily attributed to an initiative to reduce our reliance on system sales sold under subscription agreements, and lower ARTAS revenues in the period. This strategic shift to minimize subscription sales is designed to improve cash generation and reduce our exposure to defaults and increased bad debt expense given the increasingly challenging economic environment caused by the coexistence of high inflation and high interest rates. Our international business was also impacted by the closure of 3 direct offices in the past year, as well as general macroeconomic headwinds that impacted customer access to capital. Despite the reduction in systems sales sold under subscriptions agreements, our cash generation in the first half of 2023 improved due to higher system sales sold on a cash basis.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sold an aggregate of 655 systems in the six months ended June 30, 2023 compared to 883 systems in the six months ended June 30, 2022. The percentage of systems revenue derived from our subscription model was approximately 30% and 49% during the six months ended June 30, 2023 and 2022, respectively. The relative decrease in subscription revenues is in line with our strategy to prioritize cash deals over subscription deals in the U.S. market in order to improve cash generation and preserve liquidity. Specific to the U.S. market, systems revenue derived from our subscription model was approximately 28% and 49% during the six months ended June 30, 2023 and 2022,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shd w:fill="FFFFFF" w:val="clear"/>
        </w:rPr>
        <w:t xml:space="preserve">Other product revenue decreased by $1.0 million, or 16%, to $5.5 million in the </w:t>
      </w:r>
      <w:r>
        <w:rPr>
          <w:rFonts w:ascii="Times New Roman" w:hAnsi="Times New Roman"/>
          <w:caps w:val="false"/>
          <w:smallCaps w:val="false"/>
          <w:sz w:val="20"/>
        </w:rPr>
        <w:t>six</w:t>
      </w:r>
      <w:r>
        <w:rPr>
          <w:rFonts w:ascii="Times New Roman" w:hAnsi="Times New Roman"/>
          <w:caps w:val="false"/>
          <w:smallCaps w:val="false"/>
          <w:sz w:val="20"/>
          <w:shd w:fill="FFFFFF" w:val="clear"/>
        </w:rPr>
        <w:t xml:space="preserve"> months ended </w:t>
      </w:r>
      <w:r>
        <w:rPr>
          <w:rFonts w:ascii="Times New Roman" w:hAnsi="Times New Roman"/>
          <w:caps w:val="false"/>
          <w:smallCaps w:val="false"/>
          <w:sz w:val="20"/>
        </w:rPr>
        <w:t>June 30, 2023</w:t>
      </w:r>
      <w:r>
        <w:rPr>
          <w:rFonts w:ascii="Times New Roman" w:hAnsi="Times New Roman"/>
          <w:caps w:val="false"/>
          <w:smallCaps w:val="false"/>
          <w:sz w:val="20"/>
          <w:shd w:fill="FFFFFF" w:val="clear"/>
        </w:rPr>
        <w:t xml:space="preserve"> compared to $6.6 million in the </w:t>
      </w:r>
      <w:r>
        <w:rPr>
          <w:rFonts w:ascii="Times New Roman" w:hAnsi="Times New Roman"/>
          <w:caps w:val="false"/>
          <w:smallCaps w:val="false"/>
          <w:sz w:val="20"/>
        </w:rPr>
        <w:t>six</w:t>
      </w:r>
      <w:r>
        <w:rPr>
          <w:rFonts w:ascii="Times New Roman" w:hAnsi="Times New Roman"/>
          <w:caps w:val="false"/>
          <w:smallCaps w:val="false"/>
          <w:sz w:val="20"/>
          <w:shd w:fill="FFFFFF" w:val="clear"/>
        </w:rPr>
        <w:t xml:space="preserve"> months ended </w:t>
      </w:r>
      <w:r>
        <w:rPr>
          <w:rFonts w:ascii="Times New Roman" w:hAnsi="Times New Roman"/>
          <w:caps w:val="false"/>
          <w:smallCaps w:val="false"/>
          <w:sz w:val="20"/>
        </w:rPr>
        <w:t>June 30, 2022</w:t>
      </w:r>
      <w:r>
        <w:rPr>
          <w:rFonts w:ascii="Times New Roman" w:hAnsi="Times New Roman"/>
          <w:caps w:val="false"/>
          <w:smallCaps w:val="false"/>
          <w:sz w:val="20"/>
          <w:shd w:fill="FFFFFF" w:val="clear"/>
        </w:rPr>
        <w:t>. The decrease was primarily driven by lower sales in international markets as we exit unprofitable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Services revenue increased by </w:t>
      </w:r>
      <w:r>
        <w:rPr>
          <w:rFonts w:ascii="Times New Roman" w:hAnsi="Times New Roman"/>
          <w:caps w:val="false"/>
          <w:smallCaps w:val="false"/>
          <w:sz w:val="20"/>
          <w:shd w:fill="FFFFFF" w:val="clear"/>
        </w:rPr>
        <w:t>$0.2</w:t>
      </w:r>
      <w:r>
        <w:rPr>
          <w:rFonts w:ascii="Times New Roman" w:hAnsi="Times New Roman"/>
          <w:caps w:val="false"/>
          <w:smallCaps w:val="false"/>
          <w:sz w:val="20"/>
        </w:rPr>
        <w:t xml:space="preserve"> million, or 18%, to </w:t>
      </w:r>
      <w:r>
        <w:rPr>
          <w:rFonts w:ascii="Times New Roman" w:hAnsi="Times New Roman"/>
          <w:caps w:val="false"/>
          <w:smallCaps w:val="false"/>
          <w:sz w:val="20"/>
          <w:shd w:fill="FFFFFF" w:val="clear"/>
        </w:rPr>
        <w:t>$1.6</w:t>
      </w:r>
      <w:r>
        <w:rPr>
          <w:rFonts w:ascii="Times New Roman" w:hAnsi="Times New Roman"/>
          <w:caps w:val="false"/>
          <w:smallCaps w:val="false"/>
          <w:sz w:val="20"/>
        </w:rPr>
        <w:t> million in the six months ended June 30, 2023, compared to $1.4 million in the six months ended June 30, 2022. The increase was driven by higher warranty sales through various chain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Cost of Goods Sold and 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Cost of goods sold decreased by $4.2 million, or 24.9%, to $12.7 million in the six months ended June 30, 2023, compared to $16.9 million in the six months ended June 30, 2022. Gross profit decreased by $8.9 million, or 24.2%, to $27.9 million in the six months ended June 30, 2023, compared to $36.8 million in the six months ended June 30, 2022. The decrease in gross profit is primarily due to a decrease in revenue in the United States and international markets driven by the strategic decision to deemphasize subscription sales and the exit from unprofitable direct markets as discussed above. Gross margin was 68.8% of revenue in the six months ended June 30, 2023, compared to 68.6% of revenue in the six months ended June 30, 2022. </w:t>
      </w:r>
      <w:r>
        <w:rPr>
          <w:rFonts w:ascii="Times New Roman" w:hAnsi="Times New Roman"/>
          <w:caps w:val="false"/>
          <w:smallCaps w:val="false"/>
          <w:color w:val="333333"/>
          <w:sz w:val="20"/>
          <w:shd w:fill="FFFFFF" w:val="clear"/>
        </w:rPr>
        <w:t>The marginal increase was primarily due to lower ARTAS system sales when compared to the six months ended June 30, 2022. ARTAS systems have slightly lower gross margin than our energy based devices.</w:t>
      </w:r>
      <w:r>
        <w:rPr>
          <w:rFonts w:ascii="Times New Roman" w:hAnsi="Times New Roman"/>
          <w:caps w:val="false"/>
          <w:smallCaps w:val="false"/>
          <w:sz w:val="20"/>
          <w:shd w:fill="FFFFFF" w:val="clea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Operating expenses</w:t>
      </w:r>
    </w:p>
    <w:p>
      <w:pPr>
        <w:pStyle w:val="TextBody"/>
        <w:bidi w:val="0"/>
        <w:spacing w:before="0" w:after="0"/>
        <w:ind w:left="0" w:right="0" w:hanging="0"/>
        <w:jc w:val="left"/>
        <w:rPr>
          <w:caps w:val="false"/>
          <w:smallCaps w:val="false"/>
        </w:rPr>
      </w:pPr>
      <w:r>
        <w:rPr>
          <w:caps w:val="false"/>
          <w:smallCaps w:val="false"/>
        </w:rPr>
        <w:t> </w:t>
      </w:r>
    </w:p>
    <w:tbl>
      <w:tblPr>
        <w:tblW w:w="8758" w:type="dxa"/>
        <w:jc w:val="left"/>
        <w:tblInd w:w="0" w:type="dxa"/>
        <w:tblLayout w:type="fixed"/>
        <w:tblCellMar>
          <w:top w:w="0" w:type="dxa"/>
          <w:left w:w="0" w:type="dxa"/>
          <w:bottom w:w="0" w:type="dxa"/>
          <w:right w:w="0" w:type="dxa"/>
        </w:tblCellMar>
      </w:tblPr>
      <w:tblGrid>
        <w:gridCol w:w="2870"/>
        <w:gridCol w:w="60"/>
        <w:gridCol w:w="125"/>
        <w:gridCol w:w="590"/>
        <w:gridCol w:w="60"/>
        <w:gridCol w:w="60"/>
        <w:gridCol w:w="138"/>
        <w:gridCol w:w="1126"/>
        <w:gridCol w:w="60"/>
        <w:gridCol w:w="60"/>
        <w:gridCol w:w="125"/>
        <w:gridCol w:w="590"/>
        <w:gridCol w:w="60"/>
        <w:gridCol w:w="60"/>
        <w:gridCol w:w="172"/>
        <w:gridCol w:w="1092"/>
        <w:gridCol w:w="60"/>
        <w:gridCol w:w="60"/>
        <w:gridCol w:w="125"/>
        <w:gridCol w:w="545"/>
        <w:gridCol w:w="80"/>
        <w:gridCol w:w="60"/>
        <w:gridCol w:w="60"/>
        <w:gridCol w:w="440"/>
        <w:gridCol w:w="80"/>
      </w:tblGrid>
      <w:tr>
        <w:trPr/>
        <w:tc>
          <w:tcPr>
            <w:tcW w:w="2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18"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9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9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80" w:type="dxa"/>
            <w:tcBorders/>
            <w:shd w:fill="FFFF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 except percentages)</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80" w:type="dxa"/>
            <w:tcBorders/>
            <w:shd w:fill="FFFFFF" w:val="clear"/>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Selling and marketing</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12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21,607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10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(5,195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87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20,818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1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24,409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10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(3,591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500" w:type="dxa"/>
            <w:gridSpan w:val="2"/>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(14.7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87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87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51,371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(9,539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Selling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Selling and marketing expenses decreased by $5.2 million or 24% in the six months ended June 30, 2023 compared to the six months ended June 30, 2022. This decrease is largely due to lower revenues and reduced marketing expenditures as we consolidate some of these activities. As a percentage of total revenues, our selling and marketing expenses increased by 0.1%, from 40.3% in the six months ended June 30, 2022 to 40.4% in the six months ended June 30, 2023. As the business environment improves, we expect selling and marketing expenses to increase in absolute terms, but at a rate slightly below our rate of revenue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decreased by $3.6 million or 15% in the six months ended June 30, 2023 compared to the six months ended June 30, 2022, primarily due to exiting certain unprofitable direct markets, partially offset by inflationary pressures associated with salaries and other cost elements. As a percentage of total revenues, our general and administrative expenses increased by 5.8%, from 45.5% in the six months ended June 30, 2022, to 51.3% in the six months ended June 30, 2023, primarily due to the increases in costs noted above.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Research and development expenses decreased by $0.8 million or 14% in the six months ended June 30, 2023 compared to the six months ended June 30, 2022. We experienced some cost savings through the consolidation of activities between our Israel and San Jose sites, partially offset by a reinvestment in research and development efforts directed at scaling our robotic technology across other aesthetic platforms. As a percentage of total revenues, our research and development expenses increased by 1.3%, from 10.0% in the six months ended June 30, 2022, to 11.3% in the six months ended June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Foreign Exchange (Gain)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had $0.6 million of foreign exchange gain in the six months ended June 30, 2023 and foreign exchange loss of $2.4 million in the six months ended June 30, 2022. Changes in foreign exchange are driven mainly by the effect of foreign exchange on accounts receivable balances denominated in currencies other than the US dollar. In the six months ended June 30, 2023, most currencies appreciated relative to the U.S. dollar. We do not currently hedge against foreign currency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Finance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Finance expenses increased by $1.1 million or 56.4%, from $2.0 million in the six months ended June 30, 2022, compared to $3.1 million in the six months ended June 30, 2023, mostly due to an increase in LIBOR rates on our MSLP loan. See “—</w:t>
      </w:r>
      <w:r>
        <w:rPr>
          <w:rFonts w:ascii="Times New Roman" w:hAnsi="Times New Roman"/>
          <w:i/>
          <w:caps w:val="false"/>
          <w:smallCaps w:val="false"/>
          <w:sz w:val="20"/>
        </w:rPr>
        <w:t>Liquidity and Capital Resources</w:t>
      </w:r>
      <w:r>
        <w:rPr>
          <w:rFonts w:ascii="Times New Roman" w:hAnsi="Times New Roman"/>
          <w:caps w:val="false"/>
          <w:smallCaps w:val="false"/>
          <w:sz w:val="20"/>
        </w:rPr>
        <w:t>”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Income Tax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had an income tax expense of $0.4 million in the six months ended June 30, 2023 compared to $0.3 million of income tax expense in the six months ended June 30, 2022. The tax provision is driven by profitable sales and the actual effective tax rates where the sale took place or losses were incurred. In 2023, we had changes in timing of deductible expenses and taxable income in specific judications, which resulted in $0.4 million of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had $6.1</w:t>
      </w:r>
      <w:r>
        <w:rPr>
          <w:rFonts w:ascii="Times New Roman" w:hAnsi="Times New Roman"/>
          <w:caps w:val="false"/>
          <w:smallCaps w:val="false"/>
          <w:sz w:val="20"/>
          <w:shd w:fill="FFFFFF" w:val="clear"/>
        </w:rPr>
        <w:t> mill</w:t>
      </w:r>
      <w:r>
        <w:rPr>
          <w:rFonts w:ascii="Times New Roman" w:hAnsi="Times New Roman"/>
          <w:caps w:val="false"/>
          <w:smallCaps w:val="false"/>
          <w:sz w:val="20"/>
        </w:rPr>
        <w:t>ion and $11.6 million of cash and cash equivalents as of June 30, 2023, and December 31, 2022, respectively. We have funded our operations with cash generated from operating activities, through the sale of equity securities and through debt financing. We had total debt obligations of approximately $78.4 million as of June 30, 2023, including the MSLP Loan of $51.2 million, and convertible notes of $27.2 million, compared to total debt obligations of approximately $77.7 million as of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Working capital is primarily impacted by growth in our subscription sales which also impacts accounts receivable. Our recent shift to prioritize traditional cash sales over subscription sales is designed to improve liquidity and reduce working capital requirements over time. Our expanding product portfolio also requires higher inventory levels to meet demand and to accommodate the increased number of technology platforms offered. We had a split of subscription sales revenue to traditional sales revenue at a ratio of approximately 30:70 in the six months ended June 30, 2023, compared to 55:45 in the six months ended June 30, 2022. We expect a slight increase in the ratio of traditional sales to subscription sales in 2023 and beyond. We expect inventory to remain relatively flat in the short term but increase at a lower rate than the rate of revenue growth over the longer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also require modest funding for capital expenditures. Our capital expenditures relate primarily to our research and development facilities in Yokneam, Israel and San Jose, California. In addition, our past capital investments have included improvements and expansion of our subsidiaries’ operations to support our growth, but do not expect to incur such costs over the next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Issuance of Secured Subordinated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Contemporaneously with the MSLP Loan Agreement, on December 9, 2020, we issued $26.7 million aggregate principal amount of the Notes to the Madryn Noteholders pursuant to the terms of the Exchange Agreement. The Notes will accrue interest at a rate of 8.0% per annum from the date of original issuance of the Notes to the third anniversary date of the original issuance and thereafter interest will accrue at a rate of 6.0% per annum. In connection with the Exchange Agreement, we also entered into (i) the Madryn Security Agreement, pursuant to which we agreed to grant Madryn a security interest, in substantially all of our assets, to secure the obligations under the Notes and (ii) the CNB Subordination Agreement. The Notes are convertible at any time into shares of our common stock at an initial conversion price of $48.75 per share, subject to adjustment. For additional information regarding the Notes, Exchange Agreement, Madryn Security Agreement and CNB Subordination Agreement, see Note 11 “</w:t>
      </w:r>
      <w:r>
        <w:rPr>
          <w:rFonts w:ascii="Times New Roman" w:hAnsi="Times New Roman"/>
          <w:i/>
          <w:caps w:val="false"/>
          <w:smallCaps w:val="false"/>
          <w:sz w:val="20"/>
        </w:rPr>
        <w:t>Madryn Long-Term Debt and Convertible Notes</w:t>
      </w:r>
      <w:r>
        <w:rPr>
          <w:rFonts w:ascii="Times New Roman" w:hAnsi="Times New Roman"/>
          <w:caps w:val="false"/>
          <w:smallCaps w:val="false"/>
          <w:sz w:val="20"/>
        </w:rPr>
        <w:t>” to our unaudited condensed consolidated financial statements included elsewhere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Main Street Priority Lending Program Term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December 8, 2020, we executed the MSLP Loan Agreement, MSLP Note, and related documents for a loan in the aggregate amount of $50.0 million for which CNB will serve as a lender pursuant to the Main Street Priority Loan Facility as established by the Board of Governors of the Federal Reserve System Section 13(3) of the Federal Reserve Act. For additional information regarding this loan, see Note 10 “</w:t>
      </w:r>
      <w:r>
        <w:rPr>
          <w:rFonts w:ascii="Times New Roman" w:hAnsi="Times New Roman"/>
          <w:i/>
          <w:caps w:val="false"/>
          <w:smallCaps w:val="false"/>
          <w:sz w:val="20"/>
        </w:rPr>
        <w:t>Main Street Term Loan</w:t>
      </w:r>
      <w:r>
        <w:rPr>
          <w:rFonts w:ascii="Times New Roman" w:hAnsi="Times New Roman"/>
          <w:caps w:val="false"/>
          <w:smallCaps w:val="false"/>
          <w:sz w:val="20"/>
        </w:rPr>
        <w:t>” to our unaudited condensed consolidated financial statements included elsewhere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CNB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 revolving credit facility with CNB pursuant to which CNB agreed to provide a revolving credit facility to us and certain of our subsidiaries to be used to finance working capital requirements. There was $nil outstanding balance as of June 30, 2023 and December 31, 2022. On February 22, 2023, CNB notified the Company that it would be temporarily restricting advances under the Fourth Amended and Restated CNB Loan Agreement pursuant to its rights under Section 2 of the agreement. CNB and the Company continue to actively discuss lifting the restrictions on advances under the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26, 2021 we entered into the Fourth Amended and Restated CNB Loan Agreement with CNB, pursuant to which, among other things, (i) the maximum principal amount the revolving credit facility was reduced from $10.0 million to $5.0 million at the LIBOR 30-Day rate plus 3.25%, subject to a minimum LIBOR rate floor of 0.50%, and (ii) beginning December 10, 2021, the cash deposit requirement was reduced from $3.0 million to $1.5 million, to be maintained with CNB at all times during the term of the Amended CNB Loan Agreement. As of June 30, 2023, and December 31, 2022, we were in compliance with all required covenants. For additional information on the CNB Loan Agreement and the related agreements, see Note 12 “</w:t>
      </w:r>
      <w:r>
        <w:rPr>
          <w:rFonts w:ascii="Times New Roman" w:hAnsi="Times New Roman"/>
          <w:i/>
          <w:caps w:val="false"/>
          <w:smallCaps w:val="false"/>
          <w:sz w:val="20"/>
        </w:rPr>
        <w:t>Credit Facility</w:t>
      </w:r>
      <w:r>
        <w:rPr>
          <w:rFonts w:ascii="Times New Roman" w:hAnsi="Times New Roman"/>
          <w:caps w:val="false"/>
          <w:smallCaps w:val="false"/>
          <w:sz w:val="20"/>
        </w:rPr>
        <w:t>” to our unaudited condensed consolidated financial statements included elsewhere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Equity Purchase Agreement with Lincoln Park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June 16, 2020, we entered into the Equity Purchase Agreement with Lincoln Park, which provides that, upon the terms and subject to the conditions and limitations set forth therein, we may sell to Lincoln Park up to $31.0 million of shares of our common stock pursuant to our shelf registration statement. The purchase price of shares of common stock related to a future sale will be based on the then prevailing market prices of such shares at the time of sales as described in the Equity Purchase Agreement. The aggregate number of shares that we can sell to Lincoln Park under the Equity Purchase Agreement may in no case exceed the Exchange Cap, unless (i) stockholder approval is obtained to issue shares above the Exchange Cap, in which case the Exchange Cap will no longer apply, or (ii) the average price of all applicable sales of common stock to Lincoln Park under the Equity Purchase Agreement equals or exceeds $59.6325 per share (subject to adjustment) (which represents the minimum price, as defined under Nasdaq Listing Rule 5635(d), on the Nasdaq Global Market immediately preceding the signing of the Equity Purchase Agreement, such that the transactions contemplated by the Equity Purchase Agreement are exempt from the Exchange Cap limitation under applicable Nasdaq rules). Also, at no time may Lincoln Park (together with its affiliates) beneficially own more than 9.99% of our issued and outstanding common stock. Concurrently with entering into the Equity Purchase Agreement, we also entered into a Registration Rights Agreement with Lincoln Park (as defined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sz w:val="20"/>
        </w:rPr>
      </w:pPr>
      <w:r>
        <w:rPr>
          <w:sz w:val="20"/>
        </w:rPr>
        <w:t xml:space="preserve">During the year ended December 31, 2022, we issued and sold 0.03 million shares of our common stock shares to Lincoln Park under the Equity Purchase Agreement, at which point this agreement expired. The net cash proceeds from shares issuance as of December 31, 2022 were $0.3 million. The Equity Purchase Agreement expired on July 1, 2022 and was subsequently replaced by the 2022 LPC Purchase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2021 Private Placement</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br/>
        <w:t>On December 15, 2021, the Company consummated the 2021 Private Placement whereby entered into a securities purchase agreement pursuant to which we issued and sold to the 2021 Investors an aggregate of 653,894 shares of our common stock and 252,717 shares of our Non-Voting Preferred Stock. The gross proceeds from the securities sold in the 2021 Private Placement was $17.0 million. The costs incurred with respect to the 2021 Private Placement totaled $0.3 million and were recorded as a reduction of the 2021 Private Placement proceeds in the consolidated statements of stockholders’ equity. The accounting effects of the 2021 Private Placement transaction are discussed in Note 14 "</w:t>
      </w:r>
      <w:r>
        <w:rPr>
          <w:rFonts w:ascii="Times New Roman" w:hAnsi="Times New Roman"/>
          <w:i/>
          <w:caps w:val="false"/>
          <w:smallCaps w:val="false"/>
          <w:sz w:val="20"/>
        </w:rPr>
        <w:t>Stockholders Equity</w:t>
      </w:r>
      <w:r>
        <w:rPr>
          <w:rFonts w:ascii="Times New Roman" w:hAnsi="Times New Roman"/>
          <w:caps w:val="false"/>
          <w:smallCaps w:val="false"/>
          <w:sz w:val="20"/>
        </w:rPr>
        <w:t>" in the notes to our consolidated financial statements included elsewhere in this report. These Non-Voting Preferred Stock shares were subsequently converted to common stock upon issuance of the 2022 Private Placement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2022 LPC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12, 2022, we entered into the 2022 LPC Purchase Agreement with Lincoln Park, and we issued and sold to Lincoln Par</w:t>
      </w:r>
      <w:r>
        <w:rPr>
          <w:rFonts w:ascii="Times New Roman" w:hAnsi="Times New Roman"/>
          <w:caps w:val="false"/>
          <w:smallCaps w:val="false"/>
          <w:sz w:val="20"/>
          <w:shd w:fill="FFFFFF" w:val="clear"/>
        </w:rPr>
        <w:t>k 0.05</w:t>
      </w:r>
      <w:r>
        <w:rPr>
          <w:rFonts w:ascii="Times New Roman" w:hAnsi="Times New Roman"/>
          <w:caps w:val="false"/>
          <w:smallCaps w:val="false"/>
          <w:sz w:val="20"/>
        </w:rPr>
        <w:t> million shares of our common stock as a commitment fee in connection with entering into the 2022 LPC Purchase Agreement, with the total value of $0.3 million. Through June 30, 2023 we issued an additional 0.78 million shares of common stock to Lincoln Park at an average price of $3.97 per share, for a total proceeds value of $3.1 million since entering into the Purchase Agreement. For additional information regarding the 2022 LPC Purchase Agreement, see Note 14 “</w:t>
      </w:r>
      <w:r>
        <w:rPr>
          <w:rFonts w:ascii="Times New Roman" w:hAnsi="Times New Roman"/>
          <w:i/>
          <w:caps w:val="false"/>
          <w:smallCaps w:val="false"/>
          <w:sz w:val="20"/>
        </w:rPr>
        <w:t>Stockholders Equity</w:t>
      </w:r>
      <w:r>
        <w:rPr>
          <w:rFonts w:ascii="Times New Roman" w:hAnsi="Times New Roman"/>
          <w:caps w:val="false"/>
          <w:smallCaps w:val="false"/>
          <w:sz w:val="20"/>
        </w:rPr>
        <w:t>” in the notes to our unaudited condensed consolidated financial statements included elsewhere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2022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November 18, 2022, we consummated the 2022 Private Placement whereby we entered into a securities purchase agreement pursuant to which we issued and sold to the 2022 Investors an aggregate of 116,668 shares of our common stock and 3,185,000 shares of our Voting Preferred Stock. The gross proceeds from the securities sold in the 2022 Private Placement totaled $6.7 million before offering expenses. The costs incurred with respect to the 2022 Private Placement totaled $0.2 million and were recorded as a reduction of the 2022 Private Placement proceeds in the consolidated statements of stockholders’ equity. The accounting effects of the 2022 Private Placement transaction are discussed in Note 14 "</w:t>
      </w:r>
      <w:r>
        <w:rPr>
          <w:rFonts w:ascii="Times New Roman" w:hAnsi="Times New Roman"/>
          <w:i/>
          <w:caps w:val="false"/>
          <w:smallCaps w:val="false"/>
          <w:sz w:val="20"/>
        </w:rPr>
        <w:t>Stockholders Equity</w:t>
      </w:r>
      <w:r>
        <w:rPr>
          <w:rFonts w:ascii="Times New Roman" w:hAnsi="Times New Roman"/>
          <w:caps w:val="false"/>
          <w:smallCaps w:val="false"/>
          <w:sz w:val="20"/>
        </w:rPr>
        <w:t>" in the notes to our consolidated financial statements included elsewhere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2023 Multi-Tranche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May 2023, we entered into the 2023 Multi-Tranche Private Placement Stock Purchase Agreement, with the 2023 Investors pursuant to which the Company may issue and sell to the 2023 Investors up to $9,000,000 in shares of Senior Preferred Stock, in multiple tranches from time to time until December 31, 2025, subject to a minimum aggregate purchase amount of $500,000 in each tranche. The Initial Placement occurred on May 15, 2023, under which the Company sold the 2023 Investors 280,899 shares of Senior Preferred Stock for an aggregate purchase price of $2,000,000. The Company expects to use the proceeds of the Initial Placement, after the payment of transaction expenses, for general working capital purposes. The accounting effects of the 2023 Multi-Tranche Private Placement transaction are discussed in Note 14 "</w:t>
      </w:r>
      <w:r>
        <w:rPr>
          <w:rFonts w:ascii="Times New Roman;Times;serif" w:hAnsi="Times New Roman;Times;serif"/>
          <w:i/>
          <w:caps w:val="false"/>
          <w:smallCaps w:val="false"/>
          <w:sz w:val="20"/>
        </w:rPr>
        <w:t>Stockholders Equity</w:t>
      </w:r>
      <w:r>
        <w:rPr>
          <w:rFonts w:ascii="Times New Roman;Times;serif" w:hAnsi="Times New Roman;Times;serif"/>
          <w:caps w:val="false"/>
          <w:smallCaps w:val="false"/>
          <w:sz w:val="20"/>
        </w:rPr>
        <w:t>" in the notes to our consolidated financial statements included elsewhere in this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2023, we had capital resources consisting of cash and cash equivalents of approximately $6.1</w:t>
      </w:r>
      <w:r>
        <w:rPr>
          <w:rFonts w:ascii="Times New Roman" w:hAnsi="Times New Roman"/>
          <w:caps w:val="false"/>
          <w:smallCaps w:val="false"/>
          <w:sz w:val="20"/>
          <w:shd w:fill="FFFFFF" w:val="clear"/>
        </w:rPr>
        <w:t> m</w:t>
      </w:r>
      <w:r>
        <w:rPr>
          <w:rFonts w:ascii="Times New Roman" w:hAnsi="Times New Roman"/>
          <w:caps w:val="false"/>
          <w:smallCaps w:val="false"/>
          <w:sz w:val="20"/>
        </w:rPr>
        <w:t>illion. We have financed our operations principally through the issuance and sale of our common stock and preferred stock, debt financing, and payments from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that the net proceeds from the 2023 Multi-Tranche Private Placement, the 2022 Private Placement, the 2021 Private Placement, the proceeds from issuance of our common stock to Lincoln Park, the proceeds from the MSLP Loan, our continued availability under the 2022 LPC Purchase Agreement, our strategic cash flow enhancement initiatives, together with our existing cash and cash equivalents, will enable us to fund our operating expenses and capital expenditure requirements for at least the next 12 months. We can provide no assurances that we will be successful in raising additional capital or that such capital, if available at all, will be on terms that are acceptable to us. If we are unable to raise sufficient additional capital, we may be compelled to reduce the scope of our operations and planned capital or research and development expenditures or sell certain assets, including intellectual property assets.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Additional funds may not be available when we need them, on terms that are acceptable to us, or at all. If adequate funds are not available to us on a timely basis, we may be required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delay or curtail our efforts to develop system product enhancements or new products, including any clinical trials that may be required to market such enhancements;</w:t>
            </w:r>
          </w:p>
        </w:tc>
      </w:tr>
    </w:tbl>
    <w:p>
      <w:pPr>
        <w:pStyle w:val="TextBody"/>
        <w:bidi w:val="0"/>
        <w:spacing w:before="0" w:after="0"/>
        <w:ind w:left="0" w:right="0" w:hanging="0"/>
        <w:jc w:val="both"/>
        <w:rPr/>
      </w:pPr>
      <w:r>
        <w:rPr/>
        <w:t> </w:t>
      </w:r>
    </w:p>
    <w:tbl>
      <w:tblPr>
        <w:tblW w:w="6910" w:type="dxa"/>
        <w:jc w:val="left"/>
        <w:tblInd w:w="0" w:type="dxa"/>
        <w:tblLayout w:type="fixed"/>
        <w:tblCellMar>
          <w:top w:w="0" w:type="dxa"/>
          <w:left w:w="0" w:type="dxa"/>
          <w:bottom w:w="0" w:type="dxa"/>
          <w:right w:w="0" w:type="dxa"/>
        </w:tblCellMar>
      </w:tblPr>
      <w:tblGrid>
        <w:gridCol w:w="60"/>
        <w:gridCol w:w="110"/>
        <w:gridCol w:w="6740"/>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7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delay or curtail our plans to increase and expand our sales and marketing efforts; or</w:t>
            </w:r>
          </w:p>
        </w:tc>
      </w:tr>
    </w:tbl>
    <w:p>
      <w:pPr>
        <w:pStyle w:val="TextBody"/>
        <w:bidi w:val="0"/>
        <w:spacing w:before="0" w:after="0"/>
        <w:ind w:left="0" w:right="0" w:hanging="0"/>
        <w:jc w:val="both"/>
        <w:rPr/>
      </w:pPr>
      <w:r>
        <w:rPr/>
        <w:t> </w:t>
      </w:r>
    </w:p>
    <w:tbl>
      <w:tblPr>
        <w:tblW w:w="6955" w:type="dxa"/>
        <w:jc w:val="left"/>
        <w:tblInd w:w="0" w:type="dxa"/>
        <w:tblLayout w:type="fixed"/>
        <w:tblCellMar>
          <w:top w:w="0" w:type="dxa"/>
          <w:left w:w="0" w:type="dxa"/>
          <w:bottom w:w="0" w:type="dxa"/>
          <w:right w:w="0" w:type="dxa"/>
        </w:tblCellMar>
      </w:tblPr>
      <w:tblGrid>
        <w:gridCol w:w="60"/>
        <w:gridCol w:w="110"/>
        <w:gridCol w:w="678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7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delay or curtail our plans to enhance our customer support and marketing activities.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restricted by covenants in the MSLP Loan, the Amended CNB Loan Agreement, and the Madryn Security Agreement. These covenants restrict, among other things, our ability to incur additional indebtedness, which may limit our ability to obtain additional debt financing. In the event that the pandemic and the economic disruptions it has caused continue for an extended period of time, we cannot assure you that we will remain in compliance with the financial covenants contained in our credit facilities. We also cannot assure you that our lenders would provide relief or that we could secure alternative financing on favorable terms, if at all. Our failure to comply with the covenants contained in our credit facilities, including financial covenants, could result in an event of default, which could materially and adversely affect our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based our projections on the amount of time through which our financial resources will be adequate to support our operations on assumptions that may prove to be incorrect, and we may use all our available capital resources sooner than we expect. Our future funding requirements, including long-term funding requirements, will depend on many factors, including, but not limited to:</w:t>
      </w:r>
    </w:p>
    <w:p>
      <w:pPr>
        <w:pStyle w:val="TextBody"/>
        <w:bidi w:val="0"/>
        <w:spacing w:before="0" w:after="0"/>
        <w:ind w:left="0" w:right="0" w:hanging="0"/>
        <w:jc w:val="both"/>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60"/>
        <w:gridCol w:w="110"/>
        <w:gridCol w:w="7040"/>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70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cost of growing our ongoing commercialization and sales and marketing activities;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costs of manufacturing and maintaining enough inventories of our systems to meet anticipated demand and inventory write-offs related to obsolete products or components;</w:t>
            </w:r>
          </w:p>
        </w:tc>
      </w:tr>
    </w:tbl>
    <w:p>
      <w:pPr>
        <w:pStyle w:val="TextBody"/>
        <w:bidi w:val="0"/>
        <w:spacing w:before="0" w:after="0"/>
        <w:ind w:left="0" w:right="0" w:hanging="0"/>
        <w:jc w:val="both"/>
        <w:rPr/>
      </w:pPr>
      <w:r>
        <w:rPr/>
        <w:t> </w:t>
      </w:r>
    </w:p>
    <w:tbl>
      <w:tblPr>
        <w:tblW w:w="8710" w:type="dxa"/>
        <w:jc w:val="left"/>
        <w:tblInd w:w="0" w:type="dxa"/>
        <w:tblLayout w:type="fixed"/>
        <w:tblCellMar>
          <w:top w:w="0" w:type="dxa"/>
          <w:left w:w="0" w:type="dxa"/>
          <w:bottom w:w="0" w:type="dxa"/>
          <w:right w:w="0" w:type="dxa"/>
        </w:tblCellMar>
      </w:tblPr>
      <w:tblGrid>
        <w:gridCol w:w="60"/>
        <w:gridCol w:w="110"/>
        <w:gridCol w:w="8540"/>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5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costs of enhancing the existing functionality and development of new functionalities for our systems;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costs of preparing, filing, prosecuting, defending, and enforcing patent claims and other patent related costs, including litigation costs and the results of such litigation;</w:t>
            </w:r>
          </w:p>
        </w:tc>
      </w:tr>
    </w:tbl>
    <w:p>
      <w:pPr>
        <w:pStyle w:val="TextBody"/>
        <w:bidi w:val="0"/>
        <w:spacing w:before="0" w:after="0"/>
        <w:ind w:left="0" w:right="0" w:hanging="0"/>
        <w:jc w:val="both"/>
        <w:rPr/>
      </w:pPr>
      <w:r>
        <w:rPr/>
        <w:t> </w:t>
      </w:r>
    </w:p>
    <w:tbl>
      <w:tblPr>
        <w:tblW w:w="9430" w:type="dxa"/>
        <w:jc w:val="left"/>
        <w:tblInd w:w="0" w:type="dxa"/>
        <w:tblLayout w:type="fixed"/>
        <w:tblCellMar>
          <w:top w:w="0" w:type="dxa"/>
          <w:left w:w="0" w:type="dxa"/>
          <w:bottom w:w="0" w:type="dxa"/>
          <w:right w:w="0" w:type="dxa"/>
        </w:tblCellMar>
      </w:tblPr>
      <w:tblGrid>
        <w:gridCol w:w="60"/>
        <w:gridCol w:w="110"/>
        <w:gridCol w:w="9260"/>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2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product liability or other lawsuits and the costs associated with defending them or the results of such lawsuits;</w:t>
            </w:r>
          </w:p>
        </w:tc>
      </w:tr>
    </w:tbl>
    <w:p>
      <w:pPr>
        <w:pStyle w:val="TextBody"/>
        <w:bidi w:val="0"/>
        <w:spacing w:before="0" w:after="0"/>
        <w:ind w:left="0" w:right="0" w:hanging="0"/>
        <w:jc w:val="both"/>
        <w:rPr/>
      </w:pPr>
      <w:r>
        <w:rPr/>
        <w:t> </w:t>
      </w:r>
    </w:p>
    <w:tbl>
      <w:tblPr>
        <w:tblW w:w="9700" w:type="dxa"/>
        <w:jc w:val="left"/>
        <w:tblInd w:w="0" w:type="dxa"/>
        <w:tblLayout w:type="fixed"/>
        <w:tblCellMar>
          <w:top w:w="0" w:type="dxa"/>
          <w:left w:w="0" w:type="dxa"/>
          <w:bottom w:w="0" w:type="dxa"/>
          <w:right w:w="0" w:type="dxa"/>
        </w:tblCellMar>
      </w:tblPr>
      <w:tblGrid>
        <w:gridCol w:w="60"/>
        <w:gridCol w:w="110"/>
        <w:gridCol w:w="9530"/>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costs associated with conducting business and maintaining subsidiaries and other entities in foreign jurisdictions;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customers in jurisdictions where our systems are not approved delaying their purchase, and not purchasing our systems, until they are approved or cleared for use in their market;</w:t>
            </w:r>
          </w:p>
        </w:tc>
      </w:tr>
    </w:tbl>
    <w:p>
      <w:pPr>
        <w:pStyle w:val="TextBody"/>
        <w:bidi w:val="0"/>
        <w:spacing w:before="0" w:after="0"/>
        <w:ind w:left="0" w:right="0" w:hanging="0"/>
        <w:jc w:val="both"/>
        <w:rPr/>
      </w:pPr>
      <w:r>
        <w:rPr/>
        <w:t> </w:t>
      </w:r>
    </w:p>
    <w:tbl>
      <w:tblPr>
        <w:tblW w:w="7585" w:type="dxa"/>
        <w:jc w:val="left"/>
        <w:tblInd w:w="0" w:type="dxa"/>
        <w:tblLayout w:type="fixed"/>
        <w:tblCellMar>
          <w:top w:w="0" w:type="dxa"/>
          <w:left w:w="0" w:type="dxa"/>
          <w:bottom w:w="0" w:type="dxa"/>
          <w:right w:w="0" w:type="dxa"/>
        </w:tblCellMar>
      </w:tblPr>
      <w:tblGrid>
        <w:gridCol w:w="60"/>
        <w:gridCol w:w="110"/>
        <w:gridCol w:w="741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4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costs to attract and retain personnel with the skills required for effective operations; and</w:t>
            </w:r>
          </w:p>
        </w:tc>
      </w:tr>
    </w:tbl>
    <w:p>
      <w:pPr>
        <w:pStyle w:val="TextBody"/>
        <w:bidi w:val="0"/>
        <w:spacing w:before="0" w:after="0"/>
        <w:ind w:left="0" w:right="0" w:hanging="0"/>
        <w:jc w:val="both"/>
        <w:rPr/>
      </w:pPr>
      <w:r>
        <w:rPr/>
        <w:t> </w:t>
      </w:r>
    </w:p>
    <w:tbl>
      <w:tblPr>
        <w:tblW w:w="4240" w:type="dxa"/>
        <w:jc w:val="left"/>
        <w:tblInd w:w="0" w:type="dxa"/>
        <w:tblLayout w:type="fixed"/>
        <w:tblCellMar>
          <w:top w:w="0" w:type="dxa"/>
          <w:left w:w="0" w:type="dxa"/>
          <w:bottom w:w="0" w:type="dxa"/>
          <w:right w:w="0" w:type="dxa"/>
        </w:tblCellMar>
      </w:tblPr>
      <w:tblGrid>
        <w:gridCol w:w="60"/>
        <w:gridCol w:w="110"/>
        <w:gridCol w:w="4070"/>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0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costs associated with being a public company.</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order to grow our business and increase revenues, we will need to introduce and commercialize new products, grow our sales and marketing force, implement new software systems, as well as identify and penetrate new markets. Such endeavors have in the past increased, and may continue in the future, to increase our expenses, including sales and marketing, and research and development. We will have to continue to increase our revenues while effectively managing our expenses in order to achieve profitability and to sustain it. Our failure to control expenses could make it difficult to achieve profitability or to sustain profitability in the future. Moreover, we cannot be sure that our expenditures will result in the successful development and introduction of new products in a cost-effective and timely manner or that any such new products will achieve market acceptance and generate revenues for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our cash flows for the periods indicated:</w:t>
      </w:r>
    </w:p>
    <w:p>
      <w:pPr>
        <w:pStyle w:val="TextBody"/>
        <w:bidi w:val="0"/>
        <w:spacing w:before="0" w:after="0"/>
        <w:ind w:left="0" w:right="0" w:hanging="0"/>
        <w:jc w:val="left"/>
        <w:rPr>
          <w:caps w:val="false"/>
          <w:smallCaps w:val="false"/>
        </w:rPr>
      </w:pPr>
      <w:r>
        <w:rPr>
          <w:caps w:val="false"/>
          <w:smallCaps w:val="false"/>
        </w:rPr>
        <w:t> </w:t>
      </w:r>
    </w:p>
    <w:tbl>
      <w:tblPr>
        <w:tblW w:w="6268" w:type="dxa"/>
        <w:jc w:val="left"/>
        <w:tblInd w:w="0" w:type="dxa"/>
        <w:tblLayout w:type="fixed"/>
        <w:tblCellMar>
          <w:top w:w="0" w:type="dxa"/>
          <w:left w:w="0" w:type="dxa"/>
          <w:bottom w:w="0" w:type="dxa"/>
          <w:right w:w="0" w:type="dxa"/>
        </w:tblCellMar>
      </w:tblPr>
      <w:tblGrid>
        <w:gridCol w:w="3830"/>
        <w:gridCol w:w="60"/>
        <w:gridCol w:w="181"/>
        <w:gridCol w:w="790"/>
        <w:gridCol w:w="116"/>
        <w:gridCol w:w="87"/>
        <w:gridCol w:w="181"/>
        <w:gridCol w:w="943"/>
        <w:gridCol w:w="80"/>
      </w:tblGrid>
      <w:tr>
        <w:trPr/>
        <w:tc>
          <w:tcPr>
            <w:tcW w:w="3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1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used in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(8,010</w:t>
            </w:r>
          </w:p>
        </w:tc>
        <w:tc>
          <w:tcPr>
            <w:tcW w:w="11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(19,713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used in investing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971" w:type="dxa"/>
            <w:gridSpan w:val="2"/>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(92</w:t>
            </w:r>
          </w:p>
        </w:tc>
        <w:tc>
          <w:tcPr>
            <w:tcW w:w="1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(used in) provided by financing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971"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2,655</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decrease in cash and cash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(5,447</w:t>
            </w:r>
          </w:p>
        </w:tc>
        <w:tc>
          <w:tcPr>
            <w:tcW w:w="1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(20,336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Cash Flows from 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2023, cash used in operating activities consisted of a net loss of $16.9 million, partially offset by a decrease in net operating assets of $3.8 million and non-cash operating expenses of $5.1 million. The use of cash in net operating assets was attributable to a decrease in accounts receivable of $6.1 million, a decrease in inventories of $0.6 million, a decrease in other current assets of $1.6 million, a decrease in operating right-of-use assets, net of $0.6 million, and an increase in trade payables of $0.3. These were offset by a decrease in accrued expenses and other current liabilities of $4.2 million. The non-cash operating expenses consisted of provision for expected credit losses of $1 million, depreciation and amortization of $2.0 million, finance expenses and accretion of $0.7 million, stock-based compensation expense of $0.9 million, provision for inventory obsolescence of $0.7 million, partially offset by a deferred tax recovery of $0.1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2022, cash used in operating activities consisted of a net loss of $19.1 million and an investment in net operating assets of $8.1 million, partially offset by non-cash operating expenses of $7.5 million. The investment in net operating assets was attributable to an increase in accounts receivable of $2.5 million, a decrease in inventories of $2.7 million, an increase in advances to suppliers of $3.8 million, an increase in other current assets of $0.1 million, an increase in other long-term assets of $0.1 million, an increase in trade payables of $2.4 million, an increase in other current assets of $0.1 million, an increase in other long-term assets of $0.1 million, a decrease in trade payables of $0.7 million, a decrease in accrued expenses and other current liabilities of $2.0 million, and a decrease in other long-term liabilities of $0.2 million. This was partially offset by a decrease in prepaid expenses of $0.6 million and an increase in unearned interest income of $0.3 million. The non-cash operating expenses consisted of provision for bad debts of $3.5 million, depreciation and amortization of $2.2 million, finance expenses and accretion of $0.2 million, stock-based compensation expense of $1.0 million, provision for inventory obsolescence of $0.9 million, partially offset by a deferred tax recovery of $0.3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Cash Flows from 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six months ended June 30, 2023, cash used in investing activities consisted of $0.1 million for the purchase of property and equipment.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six months ended June 30, 2022, cash used in investing activities consisted of $0.3 million for the purchase of 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Cash Flows from 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six months ended June 30, 2023, cash used in financing activities primarily consisted of net proceeds from the issuance of shares of common stock to Lincoln Park of $1.1 million and net proceeds from the 2023 Multi-Tranche Private Placement of $1.6 million.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six months ended June 30, 2022, cash used in financing activities primarily consisted of net proceeds from the issuance of shares of common stock to Lincoln Park of $0.3 million, proceeds from exercise of options of $23 thousand, offset by a $0.6 million repayment of government assistance loans and $0.1 million of dividends from subsidiaries paid to non-controlling interest.</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Contractual Obligations and Other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premises are leased under various operating lease agreements, which expire on various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2023, we had non-cancellable purchase orders placed with our contract manufacturers in the amount of $15.1 million. In addition, as of June 30, 2023, we had $0.7 million of open purchase orders that can be cancelled with 270 days’ notice, except for a portion equal to 25% of the total amount representing the purchase of “long lead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our contractual obligations as of June 30, 2023, which represent material expected or contractually committed future obligations.</w:t>
      </w:r>
    </w:p>
    <w:tbl>
      <w:tblPr>
        <w:tblW w:w="9407" w:type="dxa"/>
        <w:jc w:val="left"/>
        <w:tblInd w:w="0" w:type="dxa"/>
        <w:tblLayout w:type="fixed"/>
        <w:tblCellMar>
          <w:top w:w="0" w:type="dxa"/>
          <w:left w:w="0" w:type="dxa"/>
          <w:bottom w:w="0" w:type="dxa"/>
          <w:right w:w="0" w:type="dxa"/>
        </w:tblCellMar>
      </w:tblPr>
      <w:tblGrid>
        <w:gridCol w:w="2915"/>
        <w:gridCol w:w="60"/>
        <w:gridCol w:w="250"/>
        <w:gridCol w:w="1180"/>
        <w:gridCol w:w="60"/>
        <w:gridCol w:w="60"/>
        <w:gridCol w:w="179"/>
        <w:gridCol w:w="845"/>
        <w:gridCol w:w="60"/>
        <w:gridCol w:w="60"/>
        <w:gridCol w:w="210"/>
        <w:gridCol w:w="814"/>
        <w:gridCol w:w="60"/>
        <w:gridCol w:w="60"/>
        <w:gridCol w:w="430"/>
        <w:gridCol w:w="1164"/>
        <w:gridCol w:w="60"/>
        <w:gridCol w:w="60"/>
        <w:gridCol w:w="125"/>
        <w:gridCol w:w="695"/>
        <w:gridCol w:w="60"/>
      </w:tblGrid>
      <w:tr>
        <w:trPr/>
        <w:tc>
          <w:tcPr>
            <w:tcW w:w="2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372"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Payments Due by Period</w:t>
            </w:r>
          </w:p>
        </w:tc>
        <w:tc>
          <w:tcPr>
            <w:tcW w:w="60" w:type="dxa"/>
            <w:tcBorders/>
            <w:shd w:fill="FFFF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Less than 1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 to 3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 to 5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More than 5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372" w:type="dxa"/>
            <w:gridSpan w:val="18"/>
            <w:tcBorders/>
            <w:shd w:fill="FFFFFF" w:val="clear"/>
            <w:vAlign w:val="center"/>
          </w:tcPr>
          <w:p>
            <w:pPr>
              <w:pStyle w:val="TableContents"/>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Debt obligations, including interest</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14,139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77,807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91,946</w:t>
            </w:r>
          </w:p>
        </w:tc>
        <w:tc>
          <w:tcPr>
            <w:tcW w:w="60"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leases</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5,419</w:t>
            </w:r>
          </w:p>
        </w:tc>
        <w:tc>
          <w:tcPr>
            <w:tcW w:w="60"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Purchase commitments</w:t>
            </w:r>
          </w:p>
        </w:tc>
        <w:tc>
          <w:tcPr>
            <w:tcW w:w="60" w:type="dxa"/>
            <w:tcBorders/>
            <w:shd w:fill="CCEEFF" w:val="clear"/>
            <w:vAlign w:val="center"/>
          </w:tcPr>
          <w:p>
            <w:pPr>
              <w:pStyle w:val="TableContents"/>
              <w:bidi w:val="0"/>
              <w:spacing w:before="0" w:after="283"/>
              <w:ind w:left="0" w:right="0" w:hanging="0"/>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4"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64"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15,086</w:t>
            </w:r>
          </w:p>
        </w:tc>
        <w:tc>
          <w:tcPr>
            <w:tcW w:w="60"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contractual obligations</w:t>
            </w:r>
          </w:p>
        </w:tc>
        <w:tc>
          <w:tcPr>
            <w:tcW w:w="60" w:type="dxa"/>
            <w:tcBorders/>
            <w:shd w:fill="FFFFFF" w:val="clear"/>
            <w:vAlign w:val="center"/>
          </w:tcPr>
          <w:p>
            <w:pPr>
              <w:pStyle w:val="TableContents"/>
              <w:bidi w:val="0"/>
              <w:spacing w:before="0" w:after="283"/>
              <w:ind w:left="0" w:right="0" w:hanging="0"/>
              <w:jc w:val="left"/>
              <w:rPr/>
            </w:pPr>
            <w:r>
              <w:rPr/>
              <w:t> </w:t>
            </w:r>
          </w:p>
        </w:tc>
        <w:tc>
          <w:tcPr>
            <w:tcW w:w="2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79,965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112,451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an additional description of our commitments see Note 9, “Commitments and Contingencies” to the unaudited condensed consolidated financial statements included elsewhere in this Quarterly Report on Form 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do not currently engage in off-balance sheet financing arrangements. In addition, we do not have any interest in entities referred to as variable interest entities, which includes special purpose entities and other structured finance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unaudited condensed consolidated financial statements are prepared in accordance with U.S. GAAP. The preparation of these unaudited condensed consolidated financial statements requires us to make estimates and assumptions that affect the reported amounts of assets, liabilities, revenue, costs and expenses, and related disclosures. These estimates form the basis for judgments we make about the carrying values of our assets and liabilities, which are not readily apparent from other sources. We base our estimates and judgments on historical experience and on various other assumptions that we believe are reasonable under the circumstances. On an ongoing basis, we evaluate our estimates and assumptions. Our actual results may differ from these estimates under different assumptions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significant accounting policies are more fully described in Note 2 to the audited consolidated financial statements included in our Annual Report filed on Form 10-K for the year ended December 31, 2022. We believe that the assumptions and estimates associated with revenue recognition, long-term receivables, allowance for expected credit losses, warranty accrual, and stock-based compensation have the most significant impact on our consolidated financial statements, and therefore, we consider these to be our 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generate revenue from (1) sales of systems through our subscription model, traditional system sales to customers and distributors, (2) other product revenues from the sale of ARTAS procedure kits, marketing supplies and kits, consumables and (3) and our extended warranty service contracts provided to existing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recognize revenues on other products and services in accordance with ASC 606. Revenue is recognized based on the following five steps: (1) identification of the contract(s) with the customer; (2) identification of the performance obligations in the contract; (3) determination of the transaction price; (4) allocation of the transaction price to the separate performance obligations in the contract; and (5) recognition of revenue when (or as) the entity satisfies a performance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record our revenue net of sales tax and shipping and handling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Long-term receivables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Long-term receivables relate to our subscription revenue or other contracts which stipulate payment terms which exceed one year. They are comprised of the unpaid principal balance, net of the allowance for expected credit losses. These receivables have been discounted based on the implicit interest rate in the subscription lease which range between 8% and 10% for the six months ended June 30, 2023 and June 30, 2022, respectively. Unearned interest revenue represents the interest only portion of the respective subscription payments and will be recognized in income over the respective payment term as it is earned.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Allowance for expected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allowance for expected credit losses is based on our assessment of the collectability of customer accounts and the aging of the related invoices and represents our best estimate of probable credit losses in our existing trade accounts receivable. We regularly review the allowance by considering factors such as historical experience, credit quality, the age of the account receivable balances, and current economic conditions that may affect a customer’s ability to pay.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Warranty accrual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generally offer warranties for all our systems against defects for up to three years. The warranty period begins upon shipment and we record a liability for accrued warranty costs at the time of sale of a system, which consists of the remaining warranty on systems sold based on historical warranty costs and management’s estimates. We periodically assess the adequacy of our recorded warranty liabilities and adjust the amounts thereof as necessary. We exercise judgment in estimating expected system warranty costs. If actual system failure rates, freight, material, technical support and labor costs differ from our estimates, we will be required to revise our estimated warranty liability. To date, our warranty reserve has been sufficient to satisfy warranty claims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account for stock-based compensation costs in accordance with the accounting standards for stock-based compensation, which require that all stock based payments to employees be recognized in the unaudited condensed consolidated statements of operations based on their fair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fair value of stock options on the grant date is estimated using the Black-Scholes option-pricing model using the single-option approach. The Black-Scholes option pricing model requires the use of highly subjective and complex assumptions, including the option's expected term and the price volatility of the underlying stock, to determine the fair value of the award. We recognize the expense associated with options using a single-award approach over the requisite service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Financial statements in U.S.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that the U.S. dollar is the currency in the primary economic environment in which we operate. The U.S. dollar is the most significant currency in which our revenues are generated, and our costs are incurred. In addition, our debt and equity financings are generally based in U.S. dollars. Therefore, our functional currency, and that of our subsidiaries, is the U.S. dollar.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Transactions and balances originally denominated in U.S. dollars are presented at their original amounts. Non-dollar transactions and balances are remeasured into U.S. dollars in accordance with the principles set forth in ASC 830-10 “Foreign Currency Translation”. All exchange gains and losses from re-measurement of monetary balance sheet items resulting from transactions in non-U.S. dollar currencies are recorded as foreign exchange loss (income) in the unaudited condensed consolidated statement of operations as they arise.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See Note 2 to our unaudited condensed consolidated financial statements included elsewhere in this Quarterly Report on Form 10-Q for recently issued accounting pronouncements not yet adopted as of the date of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12" w:name="item3"/>
      <w:bookmarkEnd w:id="12"/>
      <w:r>
        <w:rPr>
          <w:rFonts w:ascii="Times New Roman" w:hAnsi="Times New Roman"/>
          <w:b/>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a smaller reporting company, we are not required to provide disclosure for this Item.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3" w:name="item4"/>
      <w:bookmarkEnd w:id="13"/>
      <w:r>
        <w:rPr>
          <w:rFonts w:ascii="Times New Roman" w:hAnsi="Times New Roman"/>
          <w:b/>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2023, our management, under the supervision of our Chief Executive Officer and Chief Financial Officer, performed an evaluation of the effectiveness of our disclosure controls and procedures as defined in Rules 13a-15(e) and 15d-15(e) under the Exchange Act, to ensure that information required to be disclosed by the Company in the reports that it files or submits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 Based on this evaluation, our Chief Executive Officer and Chief Financial Officer concluded that our disclosure controls and procedures were effective as of June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performed an evaluation of the effectiveness of our internal control over financial reporting, based on criteria established by the Committee of Sponsoring Organizations of the Treadway Commission (COSO) in its 2013 Internal Control-Integrated Framework. Based on that evaluation, our management, including our Chief Executive Officer and Chief Financial Officer, concluded that our internal controls over financial reporting were effective as of June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Limitations</w:t>
      </w:r>
      <w:r>
        <w:rPr>
          <w:rFonts w:ascii="Times New Roman" w:hAnsi="Times New Roman"/>
          <w:caps w:val="false"/>
          <w:smallCaps w:val="false"/>
          <w:sz w:val="20"/>
        </w:rPr>
        <w:t> </w:t>
      </w:r>
      <w:r>
        <w:rPr>
          <w:rFonts w:ascii="Times New Roman" w:hAnsi="Times New Roman"/>
          <w:b/>
          <w:caps w:val="false"/>
          <w:smallCaps w:val="false"/>
          <w:sz w:val="20"/>
        </w:rPr>
        <w:t>on Effectiveness of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designing and evaluating our disclosure controls and procedures, management recognizes that any controls and procedures, no matter how well designed and operated, can provide only reasonable assurance of achieving the desired control objectives.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and instances of fraud, if any, within the Company have been detected. Because of these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Also, projections of any evaluation of effectiveness to future periods are subject to the risk that controls may become ineffective because of changes in conditions or that the degree of compliance with established policies or procedures may deteriorate.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no material changes in our internal control over financial reporting during the three and six months ended June 30, 2023 that have materially affected, or are reasonably likely to materially affect, our internal controls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Quarterly Report on Form 10-Q does not include an attestation report of our registered public accounting firm due to a transition period established by rules of the SEC for “emerging growth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4" w:name="part2"/>
      <w:bookmarkEnd w:id="14"/>
      <w:r>
        <w:rPr>
          <w:rFonts w:ascii="Times New Roman" w:hAnsi="Times New Roman"/>
          <w:b/>
          <w:caps w:val="false"/>
          <w:smallCaps w:val="false"/>
          <w:sz w:val="20"/>
        </w:rPr>
        <w:t>PART II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5" w:name="legal"/>
      <w:bookmarkEnd w:id="15"/>
      <w:r>
        <w:rPr>
          <w:rFonts w:ascii="Times New Roman" w:hAnsi="Times New Roman"/>
          <w:b/>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ordinary course of our operations, we become involved in routine litigation incidental to the business. Material proceedings are described under Note 9, “Commitments and Contingencies” to the unaudited condensed consolidated financial statements included elsewhere in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6" w:name="risk"/>
      <w:bookmarkEnd w:id="16"/>
      <w:r>
        <w:rPr>
          <w:rFonts w:ascii="Times New Roman" w:hAnsi="Times New Roman"/>
          <w:b/>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Our operations and financial results are subject to various risk and uncertainties, including those described below and the risk factors described under Part I, Item 1A.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 our latest Form 10-K for the year ended December 31, 2022, any of which could adversely affect our business, results of operations, financial condition and prospects. In such an event, the market price of our common stock could decline, and you may lose all or part of your investment. Additional risks and uncertainties not presently known to us or that we currently deem immaterial may also impair our business operations. You should carefully consider the risks described below and the other information in this Quarterly Report on Form 10-Q, our unaudited condensed consolidated financial statements, and the related notes thereto, and </w:t>
      </w:r>
      <w:r>
        <w:rPr>
          <w:rFonts w:ascii="Times New Roman" w:hAnsi="Times New Roman"/>
          <w:caps w:val="false"/>
          <w:smallCaps w:val="false"/>
          <w:sz w:val="20"/>
        </w:rPr>
        <w:t>“</w:t>
      </w:r>
      <w:r>
        <w:rPr>
          <w:rFonts w:ascii="Times New Roman" w:hAnsi="Times New Roman"/>
          <w:i/>
          <w:caps w:val="false"/>
          <w:smallCaps w:val="false"/>
          <w:sz w:val="20"/>
        </w:rPr>
        <w:t>Management</w:t>
      </w:r>
      <w:r>
        <w:rPr>
          <w:rFonts w:ascii="Times New Roman" w:hAnsi="Times New Roman"/>
          <w:caps w:val="false"/>
          <w:smallCaps w:val="false"/>
          <w:sz w:val="20"/>
        </w:rPr>
        <w:t>’</w:t>
      </w:r>
      <w:r>
        <w:rPr>
          <w:rFonts w:ascii="Times New Roman" w:hAnsi="Times New Roman"/>
          <w:i/>
          <w:caps w:val="false"/>
          <w:smallCaps w:val="false"/>
          <w:sz w:val="20"/>
        </w:rPr>
        <w:t>s Discussion and Analysis of Financial Condition and Results of Operations</w:t>
      </w:r>
      <w:r>
        <w:rPr>
          <w:rFonts w:ascii="Times New Roman" w:hAnsi="Times New Roman"/>
          <w:caps w:val="false"/>
          <w:smallCaps w:val="false"/>
          <w:sz w:val="20"/>
        </w:rPr>
        <w:t>”</w:t>
      </w:r>
      <w:r>
        <w:rPr>
          <w:rFonts w:ascii="Times New Roman" w:hAnsi="Times New Roman"/>
          <w:i/>
          <w:caps w:val="false"/>
          <w:smallCaps w:val="false"/>
          <w:sz w:val="20"/>
        </w:rPr>
        <w:t xml:space="preserve">, included herein, and the risk factors previously disclosed in Part I, Item 1A.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in our Form 10-K for the year ended December 31, 2022</w:t>
      </w:r>
      <w:r>
        <w:rPr>
          <w:rFonts w:ascii="Times New Roman" w:hAnsi="Times New Roman"/>
          <w:caps w:val="false"/>
          <w:smallCaps w:val="false"/>
          <w:sz w:val="20"/>
        </w:rPr>
        <w:t> </w:t>
      </w:r>
      <w:r>
        <w:rPr>
          <w:rFonts w:ascii="Times New Roman" w:hAnsi="Times New Roman"/>
          <w:i/>
          <w:caps w:val="false"/>
          <w:smallCaps w:val="false"/>
          <w:sz w:val="20"/>
        </w:rPr>
        <w:t>filed with the SEC and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offer credit terms to some qualified customers and distributors. In the event that a customer or distributor defaults on the amounts payable to us, our financial results may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2023 and 2022, approximately 30% and 49% of our total system revenues were derived from our subscription-based model. Under our subscription model, we collect an up-front fee, combined with a monthly payment schedule typically over a period of 36 months, with approximately 40% to 45% of total contract payments collected in the first year. For accounting purposes, these arrangements are considered to be sales-type finance leases, where the present value of all cash flows to be received under the subscription agreement is recognized as revenue upon shipment of the system to the customer. We cannot provide any assurance that the financial position of customers purchasing products and services under a subscription agreement will not change adversely before we receive all the monthly installment payments due under the contract. In the event that there is a default by any of the customers to whom we have sold systems under the subscription-based model, we may recognize bad debt expenses in our general and administrative expenses. If the extent of such defaults is material, it could negatively affect our results of operations and operating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our subscription-based model, we generally offer credit terms of 30 to 90 days to qualified customers and distributors. In the event that there is a default by any of the customers or distributors to whom we have provided credit terms, we may recognize bad debt expenses in our general and administrative expenses. If the extent of such defaults is material, it could negatively affect our future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also be adversely affected by bankruptcies or other business failures of our customers, distributors, and potential customers. A significant delay in the collection of accounts receivable or a reduction of accounts receivables collected may impact our liquidity or result in bad debt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We may not be able to maintain our listing on The Nasdaq Capital Market and it may become more difficult to sell our stock in the public market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31, 2023, we received a notice (the “Notice”) from the Listing Qualifications Department of the Nasdaq Stock Market LLC (“Nasdaq”) stating that our stockholders’ equity as reported in our Quarterly Report on Form 10-Q for the period ended March 31, 2023 was below the minimum $2,500,000 required for continued listing under Listing Rule 5550(b)(1) (“Minimum Equity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Notice had no immediate effect on the listing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17, 2023, we submitted to Nasdaq a plan to regain compliance with the Minimum Equity Requirement (the "Plan"). On July 28, 2023, Nasdaq granted us an extension until November 27, 2023 (the "Extension") to evidence compliance with the Minimum Equity Requirement, conditioned upon our achievement of certain milestones as set forth in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Despite Nasdaq's grant of the Extension, there can be no assurance that we will be able to achieve the required milestones in the Plan or evidence compliance with the Minimum Equity Requirement within the timeframe required by Nasdaq, or that we will be able to maintain compliance with the other Nasdaq Listing Rules. If we are unable to timely regain compliance with the Minimum Equity Requirement, or if we fall out of compliance with one or more of the other Nasdaq Listing Rules, Nasdaq could seek to delist our common stock, in which case we would have the right to appeal such determination. If our common stock ultimately is delisted, our shareholders could face significant adverse consequences, including:</w:t>
      </w:r>
    </w:p>
    <w:p>
      <w:pPr>
        <w:pStyle w:val="TextBody"/>
        <w:bidi w:val="0"/>
        <w:spacing w:before="0" w:after="0"/>
        <w:ind w:left="0" w:right="0" w:hanging="0"/>
        <w:jc w:val="both"/>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60"/>
        <w:gridCol w:w="110"/>
        <w:gridCol w:w="6050"/>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6050" w:type="dxa"/>
            <w:tcBorders/>
            <w:vAlign w:val="center"/>
          </w:tcPr>
          <w:p>
            <w:pPr>
              <w:pStyle w:val="TableContents"/>
              <w:bidi w:val="0"/>
              <w:spacing w:before="0" w:after="283"/>
              <w:jc w:val="both"/>
              <w:rPr/>
            </w:pPr>
            <w:r>
              <w:rPr/>
              <w:t>Limited availability or market quotations for our common stock;</w:t>
            </w:r>
          </w:p>
        </w:tc>
      </w:tr>
    </w:tbl>
    <w:p>
      <w:pPr>
        <w:pStyle w:val="TextBody"/>
        <w:bidi w:val="0"/>
        <w:spacing w:before="0" w:after="0"/>
        <w:ind w:left="0" w:right="0" w:hanging="0"/>
        <w:jc w:val="both"/>
        <w:rPr/>
      </w:pPr>
      <w:r>
        <w:rPr/>
        <w:t> </w:t>
      </w:r>
    </w:p>
    <w:tbl>
      <w:tblPr>
        <w:tblW w:w="4000" w:type="dxa"/>
        <w:jc w:val="left"/>
        <w:tblInd w:w="0" w:type="dxa"/>
        <w:tblLayout w:type="fixed"/>
        <w:tblCellMar>
          <w:top w:w="0" w:type="dxa"/>
          <w:left w:w="0" w:type="dxa"/>
          <w:bottom w:w="0" w:type="dxa"/>
          <w:right w:w="0" w:type="dxa"/>
        </w:tblCellMar>
      </w:tblPr>
      <w:tblGrid>
        <w:gridCol w:w="60"/>
        <w:gridCol w:w="110"/>
        <w:gridCol w:w="3830"/>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830" w:type="dxa"/>
            <w:tcBorders/>
            <w:vAlign w:val="center"/>
          </w:tcPr>
          <w:p>
            <w:pPr>
              <w:pStyle w:val="TableContents"/>
              <w:bidi w:val="0"/>
              <w:spacing w:before="0" w:after="283"/>
              <w:jc w:val="both"/>
              <w:rPr/>
            </w:pPr>
            <w:r>
              <w:rPr/>
              <w:t>Reduced liquidity of our common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35" w:type="dxa"/>
            <w:tcBorders/>
            <w:vAlign w:val="center"/>
          </w:tcPr>
          <w:p>
            <w:pPr>
              <w:pStyle w:val="TableContents"/>
              <w:bidi w:val="0"/>
              <w:spacing w:before="0" w:after="283"/>
              <w:jc w:val="both"/>
              <w:rPr/>
            </w:pPr>
            <w:r>
              <w:rPr/>
              <w:t>Determination that shares of our common stock are “penny stock”, which would require brokers trading in our common stock to adhere to more stringent rules and possibly result in a reduced level of trading activity in the secondary trading market for our common stock;</w:t>
            </w:r>
          </w:p>
        </w:tc>
      </w:tr>
    </w:tbl>
    <w:p>
      <w:pPr>
        <w:pStyle w:val="TextBody"/>
        <w:bidi w:val="0"/>
        <w:spacing w:before="0" w:after="0"/>
        <w:ind w:left="0" w:right="0" w:hanging="0"/>
        <w:jc w:val="both"/>
        <w:rPr/>
      </w:pPr>
      <w:r>
        <w:rPr/>
        <w:t> </w:t>
      </w:r>
    </w:p>
    <w:tbl>
      <w:tblPr>
        <w:tblW w:w="5575" w:type="dxa"/>
        <w:jc w:val="left"/>
        <w:tblInd w:w="0" w:type="dxa"/>
        <w:tblLayout w:type="fixed"/>
        <w:tblCellMar>
          <w:top w:w="0" w:type="dxa"/>
          <w:left w:w="0" w:type="dxa"/>
          <w:bottom w:w="0" w:type="dxa"/>
          <w:right w:w="0" w:type="dxa"/>
        </w:tblCellMar>
      </w:tblPr>
      <w:tblGrid>
        <w:gridCol w:w="60"/>
        <w:gridCol w:w="110"/>
        <w:gridCol w:w="540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405" w:type="dxa"/>
            <w:tcBorders/>
            <w:vAlign w:val="center"/>
          </w:tcPr>
          <w:p>
            <w:pPr>
              <w:pStyle w:val="TableContents"/>
              <w:bidi w:val="0"/>
              <w:spacing w:before="0" w:after="283"/>
              <w:jc w:val="both"/>
              <w:rPr/>
            </w:pPr>
            <w:r>
              <w:rPr/>
              <w:t>Limited amount of news an analysts’ coverage of us;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35" w:type="dxa"/>
            <w:tcBorders/>
            <w:vAlign w:val="center"/>
          </w:tcPr>
          <w:p>
            <w:pPr>
              <w:pStyle w:val="TableContents"/>
              <w:bidi w:val="0"/>
              <w:spacing w:before="0" w:after="283"/>
              <w:jc w:val="both"/>
              <w:rPr/>
            </w:pPr>
            <w:r>
              <w:rPr/>
              <w:t>Decreased ability for us to issue additional equity securities or obtain additional equity or debt financing in the future.</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7" w:name="unreg"/>
      <w:bookmarkEnd w:id="17"/>
      <w:r>
        <w:rPr>
          <w:rFonts w:ascii="Times New Roman" w:hAnsi="Times New Roman"/>
          <w:b/>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Unregistered Sales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Except as otherwise disclosed in the Company’s Current Report on Form 8-K filed with the SEC on May 15, 2023, there were no unregistered securities issued and sold during the three and six months ended June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Issuer Purchases of Equity Securities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18" w:name="defaults"/>
      <w:bookmarkEnd w:id="18"/>
      <w:r>
        <w:rPr>
          <w:rFonts w:ascii="Times New Roman" w:hAnsi="Times New Roman"/>
          <w:b/>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9" w:name="mine"/>
      <w:bookmarkEnd w:id="19"/>
      <w:r>
        <w:rPr>
          <w:rFonts w:ascii="Times New Roman" w:hAnsi="Times New Roman"/>
          <w:b/>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20" w:name="other"/>
      <w:bookmarkEnd w:id="20"/>
      <w:r>
        <w:rPr>
          <w:rFonts w:ascii="Times New Roman" w:hAnsi="Times New Roman"/>
          <w:b/>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21" w:name="exhibits"/>
      <w:bookmarkEnd w:id="21"/>
      <w:r>
        <w:rPr>
          <w:rFonts w:ascii="Times New Roman" w:hAnsi="Times New Roman"/>
          <w:b/>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15"/>
        <w:gridCol w:w="6673"/>
        <w:gridCol w:w="500"/>
        <w:gridCol w:w="586"/>
        <w:gridCol w:w="710"/>
        <w:gridCol w:w="60"/>
        <w:gridCol w:w="60"/>
        <w:gridCol w:w="801"/>
      </w:tblGrid>
      <w:tr>
        <w:trPr/>
        <w:tc>
          <w:tcPr>
            <w:tcW w:w="81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w:t>
            </w:r>
          </w:p>
        </w:tc>
        <w:tc>
          <w:tcPr>
            <w:tcW w:w="6673"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Description</w:t>
            </w:r>
          </w:p>
        </w:tc>
        <w:tc>
          <w:tcPr>
            <w:tcW w:w="50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Form</w:t>
            </w:r>
          </w:p>
        </w:tc>
        <w:tc>
          <w:tcPr>
            <w:tcW w:w="58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Date</w:t>
            </w:r>
          </w:p>
        </w:tc>
        <w:tc>
          <w:tcPr>
            <w:tcW w:w="71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80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Filed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Herewith</w:t>
            </w:r>
          </w:p>
        </w:tc>
      </w:tr>
      <w:tr>
        <w:trPr/>
        <w:tc>
          <w:tcPr>
            <w:tcW w:w="815" w:type="dxa"/>
            <w:tcBorders/>
            <w:tcMar>
              <w:bottom w:w="0" w:type="dxa"/>
            </w:tcMar>
            <w:vAlign w:val="center"/>
          </w:tcPr>
          <w:p>
            <w:pPr>
              <w:pStyle w:val="TableContents"/>
              <w:bidi w:val="0"/>
              <w:spacing w:before="0" w:after="283"/>
              <w:jc w:val="left"/>
              <w:rPr/>
            </w:pPr>
            <w:r>
              <w:rPr/>
              <w:t> </w:t>
            </w:r>
          </w:p>
        </w:tc>
        <w:tc>
          <w:tcPr>
            <w:tcW w:w="6673"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586"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6673" w:type="dxa"/>
            <w:tcBorders/>
            <w:tcMar>
              <w:bottom w:w="0" w:type="dxa"/>
            </w:tcMar>
            <w:vAlign w:val="center"/>
          </w:tcPr>
          <w:p>
            <w:pPr>
              <w:pStyle w:val="TableContents"/>
              <w:bidi w:val="0"/>
              <w:spacing w:before="0" w:after="0"/>
              <w:ind w:left="0" w:right="0" w:hanging="0"/>
              <w:jc w:val="both"/>
              <w:rPr/>
            </w:pPr>
            <w:hyperlink r:id="rId2">
              <w:r>
                <w:rPr>
                  <w:rStyle w:val="InternetLink"/>
                  <w:rFonts w:ascii="Times New Roman;Times;serif" w:hAnsi="Times New Roman;Times;serif"/>
                  <w:caps w:val="false"/>
                  <w:smallCaps w:val="false"/>
                  <w:sz w:val="20"/>
                </w:rPr>
                <w:t>Amended and Restated Certificate of Incorporation of Restoration Robotics, Inc.</w:t>
              </w:r>
            </w:hyperlink>
          </w:p>
        </w:tc>
        <w:tc>
          <w:tcPr>
            <w:tcW w:w="50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8-K</w:t>
            </w:r>
          </w:p>
        </w:tc>
        <w:tc>
          <w:tcPr>
            <w:tcW w:w="586"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10-17-17</w:t>
            </w:r>
          </w:p>
        </w:tc>
        <w:tc>
          <w:tcPr>
            <w:tcW w:w="710" w:type="dxa"/>
            <w:tcBorders/>
            <w:tcMar>
              <w:bottom w:w="0" w:type="dxa"/>
            </w:tcMar>
            <w:vAlign w:val="center"/>
          </w:tcPr>
          <w:p>
            <w:pPr>
              <w:pStyle w:val="TableContents"/>
              <w:bidi w:val="0"/>
              <w:spacing w:before="0" w:after="0"/>
              <w:ind w:left="0" w:right="0" w:firstLine="14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283"/>
              <w:jc w:val="left"/>
              <w:rPr/>
            </w:pPr>
            <w:r>
              <w:rPr/>
              <w:t> </w:t>
            </w:r>
          </w:p>
        </w:tc>
        <w:tc>
          <w:tcPr>
            <w:tcW w:w="6673"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586"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c>
          <w:tcPr>
            <w:tcW w:w="6673" w:type="dxa"/>
            <w:tcBorders/>
            <w:tcMar>
              <w:bottom w:w="0" w:type="dxa"/>
            </w:tcMar>
            <w:vAlign w:val="center"/>
          </w:tcPr>
          <w:p>
            <w:pPr>
              <w:pStyle w:val="TableContents"/>
              <w:bidi w:val="0"/>
              <w:spacing w:before="0" w:after="0"/>
              <w:ind w:left="0" w:right="0" w:hanging="0"/>
              <w:jc w:val="both"/>
              <w:rPr/>
            </w:pPr>
            <w:hyperlink r:id="rId3">
              <w:r>
                <w:rPr>
                  <w:rStyle w:val="InternetLink"/>
                  <w:rFonts w:ascii="Times New Roman;Times;serif" w:hAnsi="Times New Roman;Times;serif"/>
                  <w:caps w:val="false"/>
                  <w:smallCaps w:val="false"/>
                  <w:sz w:val="20"/>
                </w:rPr>
                <w:t>Certificate of Amendment of Certificate of Incorporation of Restoration Robotics, Inc.</w:t>
              </w:r>
            </w:hyperlink>
          </w:p>
        </w:tc>
        <w:tc>
          <w:tcPr>
            <w:tcW w:w="50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8-K</w:t>
            </w:r>
          </w:p>
        </w:tc>
        <w:tc>
          <w:tcPr>
            <w:tcW w:w="586"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11-7-19</w:t>
            </w:r>
          </w:p>
        </w:tc>
        <w:tc>
          <w:tcPr>
            <w:tcW w:w="710" w:type="dxa"/>
            <w:tcBorders/>
            <w:tcMar>
              <w:bottom w:w="0" w:type="dxa"/>
            </w:tcMar>
            <w:vAlign w:val="center"/>
          </w:tcPr>
          <w:p>
            <w:pPr>
              <w:pStyle w:val="TableContents"/>
              <w:bidi w:val="0"/>
              <w:spacing w:before="0" w:after="0"/>
              <w:ind w:left="0" w:right="0" w:firstLine="14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283"/>
              <w:jc w:val="left"/>
              <w:rPr/>
            </w:pPr>
            <w:r>
              <w:rPr/>
              <w:t> </w:t>
            </w:r>
          </w:p>
        </w:tc>
        <w:tc>
          <w:tcPr>
            <w:tcW w:w="6673"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586"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c>
          <w:tcPr>
            <w:tcW w:w="6673" w:type="dxa"/>
            <w:tcBorders/>
            <w:tcMar>
              <w:bottom w:w="0" w:type="dxa"/>
            </w:tcMar>
            <w:vAlign w:val="center"/>
          </w:tcPr>
          <w:p>
            <w:pPr>
              <w:pStyle w:val="TableContents"/>
              <w:bidi w:val="0"/>
              <w:spacing w:before="0" w:after="283"/>
              <w:jc w:val="left"/>
              <w:rPr/>
            </w:pPr>
            <w:hyperlink r:id="rId4">
              <w:r>
                <w:rPr>
                  <w:rStyle w:val="InternetLink"/>
                  <w:rFonts w:ascii="Times New Roman;Times;serif" w:hAnsi="Times New Roman;Times;serif"/>
                  <w:sz w:val="20"/>
                </w:rPr>
                <w:t>Certificate of Amendment of Certificate of Incorporation of Venus Concept Inc.</w:t>
              </w:r>
            </w:hyperlink>
          </w:p>
        </w:tc>
        <w:tc>
          <w:tcPr>
            <w:tcW w:w="5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58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5-11-23</w:t>
            </w:r>
          </w:p>
        </w:tc>
        <w:tc>
          <w:tcPr>
            <w:tcW w:w="710" w:type="dxa"/>
            <w:tcBorders/>
            <w:tcMar>
              <w:bottom w:w="0" w:type="dxa"/>
            </w:tcMar>
            <w:vAlign w:val="center"/>
          </w:tcPr>
          <w:p>
            <w:pPr>
              <w:pStyle w:val="TableContents"/>
              <w:bidi w:val="0"/>
              <w:spacing w:before="0" w:after="0"/>
              <w:ind w:left="0" w:right="0" w:firstLine="14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283"/>
              <w:jc w:val="left"/>
              <w:rPr/>
            </w:pPr>
            <w:r>
              <w:rPr/>
              <w:t> </w:t>
            </w:r>
          </w:p>
        </w:tc>
        <w:tc>
          <w:tcPr>
            <w:tcW w:w="6673"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586"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c>
          <w:tcPr>
            <w:tcW w:w="6673" w:type="dxa"/>
            <w:tcBorders/>
            <w:tcMar>
              <w:bottom w:w="0" w:type="dxa"/>
            </w:tcMar>
            <w:vAlign w:val="center"/>
          </w:tcPr>
          <w:p>
            <w:pPr>
              <w:pStyle w:val="TableContents"/>
              <w:bidi w:val="0"/>
              <w:spacing w:before="0" w:after="283"/>
              <w:jc w:val="left"/>
              <w:rPr/>
            </w:pPr>
            <w:hyperlink r:id="rId5">
              <w:r>
                <w:rPr>
                  <w:rStyle w:val="InternetLink"/>
                  <w:rFonts w:ascii="Times New Roman;Times;serif" w:hAnsi="Times New Roman;Times;serif"/>
                  <w:sz w:val="20"/>
                </w:rPr>
                <w:t>Certificate of Amendment of Certificate of Incorporation of Venus Concept Inc.</w:t>
              </w:r>
            </w:hyperlink>
          </w:p>
        </w:tc>
        <w:tc>
          <w:tcPr>
            <w:tcW w:w="5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58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6-26-23</w:t>
            </w:r>
          </w:p>
        </w:tc>
        <w:tc>
          <w:tcPr>
            <w:tcW w:w="710" w:type="dxa"/>
            <w:tcBorders/>
            <w:tcMar>
              <w:bottom w:w="0" w:type="dxa"/>
            </w:tcMar>
            <w:vAlign w:val="center"/>
          </w:tcPr>
          <w:p>
            <w:pPr>
              <w:pStyle w:val="TableContents"/>
              <w:bidi w:val="0"/>
              <w:spacing w:before="0" w:after="0"/>
              <w:ind w:left="0" w:right="0" w:firstLine="14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283"/>
              <w:jc w:val="left"/>
              <w:rPr/>
            </w:pPr>
            <w:r>
              <w:rPr/>
              <w:t> </w:t>
            </w:r>
          </w:p>
        </w:tc>
        <w:tc>
          <w:tcPr>
            <w:tcW w:w="6673"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586"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3.5</w:t>
            </w:r>
          </w:p>
        </w:tc>
        <w:tc>
          <w:tcPr>
            <w:tcW w:w="6673" w:type="dxa"/>
            <w:tcBorders/>
            <w:tcMar>
              <w:bottom w:w="0" w:type="dxa"/>
            </w:tcMar>
            <w:vAlign w:val="center"/>
          </w:tcPr>
          <w:p>
            <w:pPr>
              <w:pStyle w:val="TableContents"/>
              <w:bidi w:val="0"/>
              <w:spacing w:before="0" w:after="0"/>
              <w:ind w:left="0" w:right="0" w:hanging="0"/>
              <w:jc w:val="both"/>
              <w:rPr/>
            </w:pPr>
            <w:hyperlink r:id="rId6">
              <w:r>
                <w:rPr>
                  <w:rStyle w:val="InternetLink"/>
                  <w:rFonts w:ascii="Times New Roman;Times;serif" w:hAnsi="Times New Roman;Times;serif"/>
                  <w:caps w:val="false"/>
                  <w:smallCaps w:val="false"/>
                  <w:sz w:val="20"/>
                </w:rPr>
                <w:t>Second Amended and Restated Bylaws of Venus Concept Inc.</w:t>
              </w:r>
            </w:hyperlink>
          </w:p>
        </w:tc>
        <w:tc>
          <w:tcPr>
            <w:tcW w:w="50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8-K</w:t>
            </w:r>
          </w:p>
        </w:tc>
        <w:tc>
          <w:tcPr>
            <w:tcW w:w="586"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11-7-19</w:t>
            </w:r>
          </w:p>
        </w:tc>
        <w:tc>
          <w:tcPr>
            <w:tcW w:w="710" w:type="dxa"/>
            <w:tcBorders/>
            <w:tcMar>
              <w:bottom w:w="0" w:type="dxa"/>
            </w:tcMar>
            <w:vAlign w:val="center"/>
          </w:tcPr>
          <w:p>
            <w:pPr>
              <w:pStyle w:val="TableContents"/>
              <w:bidi w:val="0"/>
              <w:spacing w:before="0" w:after="0"/>
              <w:ind w:left="0" w:right="0" w:firstLine="14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283"/>
              <w:jc w:val="left"/>
              <w:rPr/>
            </w:pPr>
            <w:r>
              <w:rPr/>
              <w:t> </w:t>
            </w:r>
          </w:p>
        </w:tc>
        <w:tc>
          <w:tcPr>
            <w:tcW w:w="6673"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586"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31.1</w:t>
            </w:r>
          </w:p>
        </w:tc>
        <w:tc>
          <w:tcPr>
            <w:tcW w:w="6673" w:type="dxa"/>
            <w:tcBorders/>
            <w:tcMar>
              <w:bottom w:w="0" w:type="dxa"/>
            </w:tcMar>
            <w:vAlign w:val="center"/>
          </w:tcPr>
          <w:p>
            <w:pPr>
              <w:pStyle w:val="TableContents"/>
              <w:bidi w:val="0"/>
              <w:spacing w:before="0" w:after="0"/>
              <w:ind w:left="0" w:right="0" w:hanging="0"/>
              <w:jc w:val="both"/>
              <w:rPr/>
            </w:pPr>
            <w:hyperlink w:anchor="ex_522276.htm">
              <w:r>
                <w:rPr>
                  <w:rStyle w:val="InternetLink"/>
                  <w:rFonts w:ascii="Times New Roman;Times;serif" w:hAnsi="Times New Roman;Times;serif"/>
                  <w:caps w:val="false"/>
                  <w:smallCaps w:val="false"/>
                  <w:sz w:val="20"/>
                </w:rPr>
                <w:t>Certification of Chief Executive Officer Pursuant to Section 302 of the Sarbanes-Oxley Act of 2002.</w:t>
              </w:r>
            </w:hyperlink>
          </w:p>
        </w:tc>
        <w:tc>
          <w:tcPr>
            <w:tcW w:w="500" w:type="dxa"/>
            <w:tcBorders/>
            <w:tcMar>
              <w:bottom w:w="0" w:type="dxa"/>
            </w:tcMar>
            <w:vAlign w:val="center"/>
          </w:tcPr>
          <w:p>
            <w:pPr>
              <w:pStyle w:val="TableContents"/>
              <w:bidi w:val="0"/>
              <w:spacing w:before="0" w:after="283"/>
              <w:jc w:val="left"/>
              <w:rPr/>
            </w:pPr>
            <w:r>
              <w:rPr/>
              <w:t> </w:t>
            </w:r>
          </w:p>
        </w:tc>
        <w:tc>
          <w:tcPr>
            <w:tcW w:w="586"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815" w:type="dxa"/>
            <w:tcBorders/>
            <w:tcMar>
              <w:bottom w:w="0" w:type="dxa"/>
            </w:tcMar>
            <w:vAlign w:val="center"/>
          </w:tcPr>
          <w:p>
            <w:pPr>
              <w:pStyle w:val="TableContents"/>
              <w:bidi w:val="0"/>
              <w:spacing w:before="0" w:after="283"/>
              <w:jc w:val="left"/>
              <w:rPr/>
            </w:pPr>
            <w:r>
              <w:rPr/>
              <w:t> </w:t>
            </w:r>
          </w:p>
        </w:tc>
        <w:tc>
          <w:tcPr>
            <w:tcW w:w="6673"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586"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31.2</w:t>
            </w:r>
          </w:p>
        </w:tc>
        <w:tc>
          <w:tcPr>
            <w:tcW w:w="6673" w:type="dxa"/>
            <w:tcBorders/>
            <w:tcMar>
              <w:bottom w:w="0" w:type="dxa"/>
            </w:tcMar>
            <w:vAlign w:val="center"/>
          </w:tcPr>
          <w:p>
            <w:pPr>
              <w:pStyle w:val="TableContents"/>
              <w:bidi w:val="0"/>
              <w:spacing w:before="0" w:after="0"/>
              <w:ind w:left="0" w:right="0" w:hanging="0"/>
              <w:jc w:val="both"/>
              <w:rPr/>
            </w:pPr>
            <w:hyperlink w:anchor="ex_522277.htm">
              <w:r>
                <w:rPr>
                  <w:rStyle w:val="InternetLink"/>
                  <w:rFonts w:ascii="Times New Roman;Times;serif" w:hAnsi="Times New Roman;Times;serif"/>
                  <w:caps w:val="false"/>
                  <w:smallCaps w:val="false"/>
                  <w:sz w:val="20"/>
                </w:rPr>
                <w:t>Certification of Chief Financial Officer Pursuant to Section 302 of the Sarbanes-Oxley Act of 2002.</w:t>
              </w:r>
            </w:hyperlink>
          </w:p>
        </w:tc>
        <w:tc>
          <w:tcPr>
            <w:tcW w:w="500" w:type="dxa"/>
            <w:tcBorders/>
            <w:tcMar>
              <w:bottom w:w="0" w:type="dxa"/>
            </w:tcMar>
            <w:vAlign w:val="center"/>
          </w:tcPr>
          <w:p>
            <w:pPr>
              <w:pStyle w:val="TableContents"/>
              <w:bidi w:val="0"/>
              <w:spacing w:before="0" w:after="283"/>
              <w:jc w:val="left"/>
              <w:rPr/>
            </w:pPr>
            <w:r>
              <w:rPr/>
              <w:t> </w:t>
            </w:r>
          </w:p>
        </w:tc>
        <w:tc>
          <w:tcPr>
            <w:tcW w:w="586"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815" w:type="dxa"/>
            <w:tcBorders/>
            <w:tcMar>
              <w:bottom w:w="0" w:type="dxa"/>
            </w:tcMar>
            <w:vAlign w:val="center"/>
          </w:tcPr>
          <w:p>
            <w:pPr>
              <w:pStyle w:val="TableContents"/>
              <w:bidi w:val="0"/>
              <w:spacing w:before="0" w:after="283"/>
              <w:jc w:val="left"/>
              <w:rPr/>
            </w:pPr>
            <w:r>
              <w:rPr/>
              <w:t> </w:t>
            </w:r>
          </w:p>
        </w:tc>
        <w:tc>
          <w:tcPr>
            <w:tcW w:w="6673"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586"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32.1*</w:t>
            </w:r>
          </w:p>
        </w:tc>
        <w:tc>
          <w:tcPr>
            <w:tcW w:w="6673" w:type="dxa"/>
            <w:tcBorders/>
            <w:tcMar>
              <w:bottom w:w="0" w:type="dxa"/>
            </w:tcMar>
            <w:vAlign w:val="center"/>
          </w:tcPr>
          <w:p>
            <w:pPr>
              <w:pStyle w:val="TableContents"/>
              <w:bidi w:val="0"/>
              <w:spacing w:before="0" w:after="0"/>
              <w:ind w:left="0" w:right="0" w:hanging="0"/>
              <w:jc w:val="both"/>
              <w:rPr/>
            </w:pPr>
            <w:hyperlink w:anchor="ex_522278.htm">
              <w:r>
                <w:rPr>
                  <w:rStyle w:val="InternetLink"/>
                  <w:rFonts w:ascii="Times New Roman;Times;serif" w:hAnsi="Times New Roman;Times;serif"/>
                  <w:caps w:val="false"/>
                  <w:smallCaps w:val="false"/>
                  <w:sz w:val="20"/>
                </w:rPr>
                <w:t>Certification of Principal Executive Officer Pursuant to 18 U.S.C. Section 1350 as Adopted Pursuant to Section 906 of the Sarbanes-Oxley Act of 2002.</w:t>
              </w:r>
            </w:hyperlink>
          </w:p>
        </w:tc>
        <w:tc>
          <w:tcPr>
            <w:tcW w:w="500" w:type="dxa"/>
            <w:tcBorders/>
            <w:tcMar>
              <w:bottom w:w="0" w:type="dxa"/>
            </w:tcMar>
            <w:vAlign w:val="center"/>
          </w:tcPr>
          <w:p>
            <w:pPr>
              <w:pStyle w:val="TableContents"/>
              <w:bidi w:val="0"/>
              <w:spacing w:before="0" w:after="283"/>
              <w:jc w:val="left"/>
              <w:rPr/>
            </w:pPr>
            <w:r>
              <w:rPr/>
              <w:t> </w:t>
            </w:r>
          </w:p>
        </w:tc>
        <w:tc>
          <w:tcPr>
            <w:tcW w:w="586"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815" w:type="dxa"/>
            <w:tcBorders/>
            <w:tcMar>
              <w:bottom w:w="0" w:type="dxa"/>
            </w:tcMar>
            <w:vAlign w:val="center"/>
          </w:tcPr>
          <w:p>
            <w:pPr>
              <w:pStyle w:val="TableContents"/>
              <w:bidi w:val="0"/>
              <w:spacing w:before="0" w:after="283"/>
              <w:jc w:val="left"/>
              <w:rPr/>
            </w:pPr>
            <w:r>
              <w:rPr/>
              <w:t> </w:t>
            </w:r>
          </w:p>
        </w:tc>
        <w:tc>
          <w:tcPr>
            <w:tcW w:w="6673"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586"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32.2*</w:t>
            </w:r>
          </w:p>
        </w:tc>
        <w:tc>
          <w:tcPr>
            <w:tcW w:w="6673" w:type="dxa"/>
            <w:tcBorders/>
            <w:tcMar>
              <w:bottom w:w="0" w:type="dxa"/>
            </w:tcMar>
            <w:vAlign w:val="center"/>
          </w:tcPr>
          <w:p>
            <w:pPr>
              <w:pStyle w:val="TableContents"/>
              <w:bidi w:val="0"/>
              <w:spacing w:before="0" w:after="0"/>
              <w:ind w:left="0" w:right="0" w:hanging="0"/>
              <w:jc w:val="both"/>
              <w:rPr/>
            </w:pPr>
            <w:hyperlink w:anchor="ex_522279.htm">
              <w:r>
                <w:rPr>
                  <w:rStyle w:val="InternetLink"/>
                  <w:rFonts w:ascii="Times New Roman;Times;serif" w:hAnsi="Times New Roman;Times;serif"/>
                  <w:caps w:val="false"/>
                  <w:smallCaps w:val="false"/>
                  <w:sz w:val="20"/>
                </w:rPr>
                <w:t>Certification of Principal Financial Officer Pursuant to 18 U.S.C. Section 1350 as Adopted Pursuant to Section 906 of the Sarbanes-Oxley Act of 2002.</w:t>
              </w:r>
            </w:hyperlink>
          </w:p>
        </w:tc>
        <w:tc>
          <w:tcPr>
            <w:tcW w:w="500" w:type="dxa"/>
            <w:tcBorders/>
            <w:tcMar>
              <w:bottom w:w="0" w:type="dxa"/>
            </w:tcMar>
            <w:vAlign w:val="center"/>
          </w:tcPr>
          <w:p>
            <w:pPr>
              <w:pStyle w:val="TableContents"/>
              <w:bidi w:val="0"/>
              <w:spacing w:before="0" w:after="283"/>
              <w:jc w:val="left"/>
              <w:rPr/>
            </w:pPr>
            <w:r>
              <w:rPr/>
              <w:t> </w:t>
            </w:r>
          </w:p>
        </w:tc>
        <w:tc>
          <w:tcPr>
            <w:tcW w:w="586"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815" w:type="dxa"/>
            <w:tcBorders/>
            <w:tcMar>
              <w:bottom w:w="0" w:type="dxa"/>
            </w:tcMar>
            <w:vAlign w:val="center"/>
          </w:tcPr>
          <w:p>
            <w:pPr>
              <w:pStyle w:val="TableContents"/>
              <w:bidi w:val="0"/>
              <w:spacing w:before="0" w:after="283"/>
              <w:jc w:val="left"/>
              <w:rPr/>
            </w:pPr>
            <w:r>
              <w:rPr/>
              <w:t> </w:t>
            </w:r>
          </w:p>
        </w:tc>
        <w:tc>
          <w:tcPr>
            <w:tcW w:w="6673"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586"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101.INS</w:t>
            </w:r>
          </w:p>
        </w:tc>
        <w:tc>
          <w:tcPr>
            <w:tcW w:w="6673"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Instance Document</w:t>
            </w:r>
          </w:p>
        </w:tc>
        <w:tc>
          <w:tcPr>
            <w:tcW w:w="500" w:type="dxa"/>
            <w:tcBorders/>
            <w:tcMar>
              <w:bottom w:w="0" w:type="dxa"/>
            </w:tcMar>
            <w:vAlign w:val="center"/>
          </w:tcPr>
          <w:p>
            <w:pPr>
              <w:pStyle w:val="TableContents"/>
              <w:bidi w:val="0"/>
              <w:spacing w:before="0" w:after="283"/>
              <w:jc w:val="left"/>
              <w:rPr/>
            </w:pPr>
            <w:r>
              <w:rPr/>
              <w:t> </w:t>
            </w:r>
          </w:p>
        </w:tc>
        <w:tc>
          <w:tcPr>
            <w:tcW w:w="586"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815" w:type="dxa"/>
            <w:tcBorders/>
            <w:tcMar>
              <w:bottom w:w="0" w:type="dxa"/>
            </w:tcMar>
            <w:vAlign w:val="center"/>
          </w:tcPr>
          <w:p>
            <w:pPr>
              <w:pStyle w:val="TableContents"/>
              <w:bidi w:val="0"/>
              <w:spacing w:before="0" w:after="283"/>
              <w:jc w:val="left"/>
              <w:rPr/>
            </w:pPr>
            <w:r>
              <w:rPr/>
              <w:t> </w:t>
            </w:r>
          </w:p>
        </w:tc>
        <w:tc>
          <w:tcPr>
            <w:tcW w:w="6673"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586"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101.SCH</w:t>
            </w:r>
          </w:p>
        </w:tc>
        <w:tc>
          <w:tcPr>
            <w:tcW w:w="6673"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Schema Document</w:t>
            </w:r>
          </w:p>
        </w:tc>
        <w:tc>
          <w:tcPr>
            <w:tcW w:w="500" w:type="dxa"/>
            <w:tcBorders/>
            <w:tcMar>
              <w:bottom w:w="0" w:type="dxa"/>
            </w:tcMar>
            <w:vAlign w:val="center"/>
          </w:tcPr>
          <w:p>
            <w:pPr>
              <w:pStyle w:val="TableContents"/>
              <w:bidi w:val="0"/>
              <w:spacing w:before="0" w:after="283"/>
              <w:jc w:val="left"/>
              <w:rPr/>
            </w:pPr>
            <w:r>
              <w:rPr/>
              <w:t> </w:t>
            </w:r>
          </w:p>
        </w:tc>
        <w:tc>
          <w:tcPr>
            <w:tcW w:w="586"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815" w:type="dxa"/>
            <w:tcBorders/>
            <w:tcMar>
              <w:bottom w:w="0" w:type="dxa"/>
            </w:tcMar>
            <w:vAlign w:val="center"/>
          </w:tcPr>
          <w:p>
            <w:pPr>
              <w:pStyle w:val="TableContents"/>
              <w:bidi w:val="0"/>
              <w:spacing w:before="0" w:after="283"/>
              <w:jc w:val="left"/>
              <w:rPr/>
            </w:pPr>
            <w:r>
              <w:rPr/>
              <w:t> </w:t>
            </w:r>
          </w:p>
        </w:tc>
        <w:tc>
          <w:tcPr>
            <w:tcW w:w="6673"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586"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101.CAL</w:t>
            </w:r>
          </w:p>
        </w:tc>
        <w:tc>
          <w:tcPr>
            <w:tcW w:w="6673"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Calculation Linkbase Document</w:t>
            </w:r>
          </w:p>
        </w:tc>
        <w:tc>
          <w:tcPr>
            <w:tcW w:w="500" w:type="dxa"/>
            <w:tcBorders/>
            <w:tcMar>
              <w:bottom w:w="0" w:type="dxa"/>
            </w:tcMar>
            <w:vAlign w:val="center"/>
          </w:tcPr>
          <w:p>
            <w:pPr>
              <w:pStyle w:val="TableContents"/>
              <w:bidi w:val="0"/>
              <w:spacing w:before="0" w:after="283"/>
              <w:jc w:val="left"/>
              <w:rPr/>
            </w:pPr>
            <w:r>
              <w:rPr/>
              <w:t> </w:t>
            </w:r>
          </w:p>
        </w:tc>
        <w:tc>
          <w:tcPr>
            <w:tcW w:w="586"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815" w:type="dxa"/>
            <w:tcBorders/>
            <w:tcMar>
              <w:bottom w:w="0" w:type="dxa"/>
            </w:tcMar>
            <w:vAlign w:val="center"/>
          </w:tcPr>
          <w:p>
            <w:pPr>
              <w:pStyle w:val="TableContents"/>
              <w:bidi w:val="0"/>
              <w:spacing w:before="0" w:after="283"/>
              <w:jc w:val="left"/>
              <w:rPr/>
            </w:pPr>
            <w:r>
              <w:rPr/>
              <w:t> </w:t>
            </w:r>
          </w:p>
        </w:tc>
        <w:tc>
          <w:tcPr>
            <w:tcW w:w="6673"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586"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101.DEF</w:t>
            </w:r>
          </w:p>
        </w:tc>
        <w:tc>
          <w:tcPr>
            <w:tcW w:w="6673"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Definition Linkbase Document</w:t>
            </w:r>
          </w:p>
        </w:tc>
        <w:tc>
          <w:tcPr>
            <w:tcW w:w="500" w:type="dxa"/>
            <w:tcBorders/>
            <w:tcMar>
              <w:bottom w:w="0" w:type="dxa"/>
            </w:tcMar>
            <w:vAlign w:val="center"/>
          </w:tcPr>
          <w:p>
            <w:pPr>
              <w:pStyle w:val="TableContents"/>
              <w:bidi w:val="0"/>
              <w:spacing w:before="0" w:after="283"/>
              <w:jc w:val="left"/>
              <w:rPr/>
            </w:pPr>
            <w:r>
              <w:rPr/>
              <w:t> </w:t>
            </w:r>
          </w:p>
        </w:tc>
        <w:tc>
          <w:tcPr>
            <w:tcW w:w="586"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815" w:type="dxa"/>
            <w:tcBorders/>
            <w:tcMar>
              <w:bottom w:w="0" w:type="dxa"/>
            </w:tcMar>
            <w:vAlign w:val="center"/>
          </w:tcPr>
          <w:p>
            <w:pPr>
              <w:pStyle w:val="TableContents"/>
              <w:bidi w:val="0"/>
              <w:spacing w:before="0" w:after="283"/>
              <w:jc w:val="left"/>
              <w:rPr/>
            </w:pPr>
            <w:r>
              <w:rPr/>
              <w:t> </w:t>
            </w:r>
          </w:p>
        </w:tc>
        <w:tc>
          <w:tcPr>
            <w:tcW w:w="6673"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586"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101.LAB</w:t>
            </w:r>
          </w:p>
        </w:tc>
        <w:tc>
          <w:tcPr>
            <w:tcW w:w="6673"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Label Linkbase Document</w:t>
            </w:r>
          </w:p>
        </w:tc>
        <w:tc>
          <w:tcPr>
            <w:tcW w:w="500" w:type="dxa"/>
            <w:tcBorders/>
            <w:tcMar>
              <w:bottom w:w="0" w:type="dxa"/>
            </w:tcMar>
            <w:vAlign w:val="center"/>
          </w:tcPr>
          <w:p>
            <w:pPr>
              <w:pStyle w:val="TableContents"/>
              <w:bidi w:val="0"/>
              <w:spacing w:before="0" w:after="283"/>
              <w:jc w:val="left"/>
              <w:rPr/>
            </w:pPr>
            <w:r>
              <w:rPr/>
              <w:t> </w:t>
            </w:r>
          </w:p>
        </w:tc>
        <w:tc>
          <w:tcPr>
            <w:tcW w:w="586"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815" w:type="dxa"/>
            <w:tcBorders/>
            <w:tcMar>
              <w:bottom w:w="0" w:type="dxa"/>
            </w:tcMar>
            <w:vAlign w:val="center"/>
          </w:tcPr>
          <w:p>
            <w:pPr>
              <w:pStyle w:val="TableContents"/>
              <w:bidi w:val="0"/>
              <w:spacing w:before="0" w:after="283"/>
              <w:jc w:val="left"/>
              <w:rPr/>
            </w:pPr>
            <w:r>
              <w:rPr/>
              <w:t> </w:t>
            </w:r>
          </w:p>
        </w:tc>
        <w:tc>
          <w:tcPr>
            <w:tcW w:w="6673"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586"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101.PRE</w:t>
            </w:r>
          </w:p>
        </w:tc>
        <w:tc>
          <w:tcPr>
            <w:tcW w:w="6673"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Presentation Linkbase Document</w:t>
            </w:r>
          </w:p>
        </w:tc>
        <w:tc>
          <w:tcPr>
            <w:tcW w:w="500" w:type="dxa"/>
            <w:tcBorders/>
            <w:tcMar>
              <w:bottom w:w="0" w:type="dxa"/>
            </w:tcMar>
            <w:vAlign w:val="center"/>
          </w:tcPr>
          <w:p>
            <w:pPr>
              <w:pStyle w:val="TableContents"/>
              <w:bidi w:val="0"/>
              <w:spacing w:before="0" w:after="283"/>
              <w:jc w:val="left"/>
              <w:rPr/>
            </w:pPr>
            <w:r>
              <w:rPr/>
              <w:t> </w:t>
            </w:r>
          </w:p>
        </w:tc>
        <w:tc>
          <w:tcPr>
            <w:tcW w:w="586"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815" w:type="dxa"/>
            <w:tcBorders/>
            <w:tcMar>
              <w:bottom w:w="0" w:type="dxa"/>
            </w:tcMar>
            <w:vAlign w:val="center"/>
          </w:tcPr>
          <w:p>
            <w:pPr>
              <w:pStyle w:val="TableContents"/>
              <w:bidi w:val="0"/>
              <w:spacing w:before="0" w:after="283"/>
              <w:jc w:val="left"/>
              <w:rPr/>
            </w:pPr>
            <w:r>
              <w:rPr/>
              <w:t> </w:t>
            </w:r>
          </w:p>
        </w:tc>
        <w:tc>
          <w:tcPr>
            <w:tcW w:w="6673"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586"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caps w:val="false"/>
                <w:smallCaps w:val="false"/>
                <w:sz w:val="20"/>
              </w:rPr>
              <w:t>104</w:t>
            </w:r>
          </w:p>
        </w:tc>
        <w:tc>
          <w:tcPr>
            <w:tcW w:w="6673"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and contained in Exhibit 101)</w:t>
            </w:r>
          </w:p>
        </w:tc>
        <w:tc>
          <w:tcPr>
            <w:tcW w:w="500" w:type="dxa"/>
            <w:tcBorders/>
            <w:tcMar>
              <w:bottom w:w="0" w:type="dxa"/>
            </w:tcMar>
            <w:vAlign w:val="center"/>
          </w:tcPr>
          <w:p>
            <w:pPr>
              <w:pStyle w:val="TableContents"/>
              <w:bidi w:val="0"/>
              <w:spacing w:before="0" w:after="283"/>
              <w:jc w:val="left"/>
              <w:rPr/>
            </w:pPr>
            <w:r>
              <w:rPr/>
              <w:t> </w:t>
            </w:r>
          </w:p>
        </w:tc>
        <w:tc>
          <w:tcPr>
            <w:tcW w:w="586"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 </w:t>
            </w:r>
          </w:p>
        </w:tc>
        <w:tc>
          <w:tcPr>
            <w:tcW w:w="801"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The certification attached as Exhibit 32.1 and Exhibit 32.2 that accompanies this Quarterly Report on Form 10-Q is not deemed filed with the United States Securities and Exchange Commission and is not to be incorporated by reference into any filing of Venus Concept Inc.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2" w:name="sigs"/>
      <w:bookmarkEnd w:id="22"/>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575" w:type="dxa"/>
        <w:jc w:val="left"/>
        <w:tblInd w:w="0" w:type="dxa"/>
        <w:tblLayout w:type="fixed"/>
        <w:tblCellMar>
          <w:top w:w="0" w:type="dxa"/>
          <w:left w:w="0" w:type="dxa"/>
          <w:bottom w:w="0" w:type="dxa"/>
          <w:right w:w="0" w:type="dxa"/>
        </w:tblCellMar>
      </w:tblPr>
      <w:tblGrid>
        <w:gridCol w:w="2180"/>
        <w:gridCol w:w="60"/>
        <w:gridCol w:w="320"/>
        <w:gridCol w:w="2015"/>
      </w:tblGrid>
      <w:tr>
        <w:trPr/>
        <w:tc>
          <w:tcPr>
            <w:tcW w:w="218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335"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Venus Concept Inc.</w:t>
            </w:r>
          </w:p>
        </w:tc>
      </w:tr>
      <w:tr>
        <w:trPr/>
        <w:tc>
          <w:tcPr>
            <w:tcW w:w="218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01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21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14, 2023</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0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Rajiv De Silva</w:t>
            </w:r>
          </w:p>
        </w:tc>
      </w:tr>
      <w:tr>
        <w:trPr/>
        <w:tc>
          <w:tcPr>
            <w:tcW w:w="218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01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Rajiv De Silva</w:t>
            </w:r>
          </w:p>
        </w:tc>
      </w:tr>
      <w:tr>
        <w:trPr/>
        <w:tc>
          <w:tcPr>
            <w:tcW w:w="218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01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Chief Executive Officer</w:t>
            </w:r>
          </w:p>
        </w:tc>
      </w:tr>
      <w:tr>
        <w:trPr/>
        <w:tc>
          <w:tcPr>
            <w:tcW w:w="2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01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2180" w:type="dxa"/>
            <w:tcBorders/>
            <w:vAlign w:val="center"/>
          </w:tcPr>
          <w:p>
            <w:pPr>
              <w:pStyle w:val="TableContents"/>
              <w:bidi w:val="0"/>
              <w:spacing w:before="0" w:after="283"/>
              <w:jc w:val="left"/>
              <w:rPr/>
            </w:pPr>
            <w:r>
              <w:rPr/>
              <w:t>Date: August 14, 2023</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0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Domenic Della Penna</w:t>
            </w:r>
          </w:p>
        </w:tc>
      </w:tr>
      <w:tr>
        <w:trPr/>
        <w:tc>
          <w:tcPr>
            <w:tcW w:w="218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01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Domenic Della Penna</w:t>
            </w:r>
          </w:p>
        </w:tc>
      </w:tr>
      <w:tr>
        <w:trPr/>
        <w:tc>
          <w:tcPr>
            <w:tcW w:w="218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01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49 </w:t>
      </w:r>
    </w:p>
    <w:p>
      <w:pPr>
        <w:pStyle w:val="TextBody"/>
        <w:bidi w:val="0"/>
        <w:spacing w:before="0" w:after="0"/>
        <w:ind w:left="0" w:right="0" w:hanging="0"/>
        <w:jc w:val="right"/>
        <w:rPr>
          <w:rFonts w:ascii="Times New Roman" w:hAnsi="Times New Roman"/>
          <w:b/>
          <w:caps w:val="false"/>
          <w:smallCaps w:val="false"/>
          <w:sz w:val="20"/>
        </w:rPr>
      </w:pPr>
      <w:bookmarkStart w:id="23" w:name="ex_522276.htm"/>
      <w:bookmarkStart w:id="24" w:name="ksex_522276"/>
      <w:bookmarkEnd w:id="23"/>
      <w:bookmarkEnd w:id="24"/>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CHIEF EXECUTIVE OFFICER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Rajiv De Silva,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of Venus Concept Inc.;</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100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w:t>
            </w:r>
          </w:p>
        </w:tc>
        <w:tc>
          <w:tcPr>
            <w:tcW w:w="100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95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4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99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9"/>
        <w:gridCol w:w="9936"/>
      </w:tblGrid>
      <w:tr>
        <w:trPr/>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w:t>
            </w:r>
          </w:p>
        </w:tc>
        <w:tc>
          <w:tcPr>
            <w:tcW w:w="993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94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1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ind w:left="0" w:right="0" w:hanging="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635" w:type="dxa"/>
        <w:jc w:val="left"/>
        <w:tblInd w:w="0" w:type="dxa"/>
        <w:tblLayout w:type="fixed"/>
        <w:tblCellMar>
          <w:top w:w="0" w:type="dxa"/>
          <w:left w:w="0" w:type="dxa"/>
          <w:bottom w:w="0" w:type="dxa"/>
          <w:right w:w="0" w:type="dxa"/>
        </w:tblCellMar>
      </w:tblPr>
      <w:tblGrid>
        <w:gridCol w:w="1850"/>
        <w:gridCol w:w="320"/>
        <w:gridCol w:w="2465"/>
      </w:tblGrid>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ind w:left="60" w:right="0" w:hanging="0"/>
              <w:jc w:val="left"/>
              <w:rPr>
                <w:rFonts w:ascii="Times New Roman" w:hAnsi="Times New Roman"/>
                <w:caps w:val="false"/>
                <w:smallCaps w:val="false"/>
                <w:sz w:val="20"/>
              </w:rPr>
            </w:pPr>
            <w:r>
              <w:rPr>
                <w:rFonts w:ascii="Times New Roman" w:hAnsi="Times New Roman"/>
                <w:caps w:val="false"/>
                <w:smallCaps w:val="false"/>
                <w:sz w:val="20"/>
              </w:rPr>
              <w:t>Date: August 14, 2023</w:t>
            </w:r>
          </w:p>
        </w:tc>
        <w:tc>
          <w:tcPr>
            <w:tcW w:w="32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By:</w:t>
            </w:r>
          </w:p>
        </w:tc>
        <w:tc>
          <w:tcPr>
            <w:tcW w:w="24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/s/ Rajiv De Silva </w:t>
            </w:r>
          </w:p>
        </w:tc>
      </w:tr>
      <w:tr>
        <w:trPr/>
        <w:tc>
          <w:tcPr>
            <w:tcW w:w="2170" w:type="dxa"/>
            <w:gridSpan w:val="2"/>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Rajiv De Silva</w:t>
            </w:r>
          </w:p>
        </w:tc>
      </w:tr>
      <w:tr>
        <w:trPr/>
        <w:tc>
          <w:tcPr>
            <w:tcW w:w="2170" w:type="dxa"/>
            <w:gridSpan w:val="2"/>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Chief Executive Officer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b/>
          <w:caps w:val="false"/>
          <w:smallCaps w:val="false"/>
          <w:sz w:val="20"/>
        </w:rPr>
      </w:pPr>
      <w:bookmarkStart w:id="25" w:name="ex_522277.htm"/>
      <w:bookmarkStart w:id="26" w:name="ksex_522277"/>
      <w:bookmarkEnd w:id="25"/>
      <w:bookmarkEnd w:id="26"/>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CHIEF FINANCIAL OFFICER PURSUANT TO SECTION 302 OF THE SARBANES 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Domenic Della Penna, certify that:</w:t>
      </w:r>
    </w:p>
    <w:p>
      <w:pPr>
        <w:pStyle w:val="TextBody"/>
        <w:bidi w:val="0"/>
        <w:spacing w:before="0" w:after="0"/>
        <w:ind w:left="0" w:right="0" w:hanging="0"/>
        <w:jc w:val="left"/>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170"/>
        <w:gridCol w:w="6020"/>
      </w:tblGrid>
      <w:tr>
        <w:trPr/>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60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of Venus Concept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95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4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99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9"/>
        <w:gridCol w:w="9936"/>
      </w:tblGrid>
      <w:tr>
        <w:trPr/>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w:t>
            </w:r>
          </w:p>
        </w:tc>
        <w:tc>
          <w:tcPr>
            <w:tcW w:w="993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94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1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ind w:left="0" w:right="0" w:hanging="0"/>
        <w:jc w:val="left"/>
        <w:rPr/>
      </w:pPr>
      <w:r>
        <w:rPr/>
      </w:r>
      <w:bookmarkStart w:id="27" w:name="PGBK"/>
      <w:bookmarkStart w:id="28" w:name="PGBK"/>
      <w:bookmarkEnd w:id="28"/>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bookmarkStart w:id="29" w:name="PGNUM"/>
      <w:bookmarkStart w:id="30" w:name="PGNUM"/>
      <w:bookmarkEnd w:id="30"/>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bookmarkStart w:id="31" w:name="PGHDR"/>
      <w:bookmarkEnd w:id="31"/>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605" w:type="dxa"/>
        <w:jc w:val="left"/>
        <w:tblInd w:w="0" w:type="dxa"/>
        <w:tblLayout w:type="fixed"/>
        <w:tblCellMar>
          <w:top w:w="0" w:type="dxa"/>
          <w:left w:w="0" w:type="dxa"/>
          <w:bottom w:w="0" w:type="dxa"/>
          <w:right w:w="0" w:type="dxa"/>
        </w:tblCellMar>
      </w:tblPr>
      <w:tblGrid>
        <w:gridCol w:w="1850"/>
        <w:gridCol w:w="320"/>
        <w:gridCol w:w="2435"/>
      </w:tblGrid>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ind w:left="60" w:right="0" w:hanging="0"/>
              <w:jc w:val="left"/>
              <w:rPr>
                <w:rFonts w:ascii="Times New Roman" w:hAnsi="Times New Roman"/>
                <w:caps w:val="false"/>
                <w:smallCaps w:val="false"/>
                <w:sz w:val="20"/>
              </w:rPr>
            </w:pPr>
            <w:r>
              <w:rPr>
                <w:rFonts w:ascii="Times New Roman" w:hAnsi="Times New Roman"/>
                <w:caps w:val="false"/>
                <w:smallCaps w:val="false"/>
                <w:sz w:val="20"/>
              </w:rPr>
              <w:t>Date: August 14, 2023</w:t>
            </w:r>
          </w:p>
        </w:tc>
        <w:tc>
          <w:tcPr>
            <w:tcW w:w="32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By:</w:t>
            </w:r>
          </w:p>
        </w:tc>
        <w:tc>
          <w:tcPr>
            <w:tcW w:w="24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/s/ Domenic Della Penna </w:t>
            </w:r>
          </w:p>
        </w:tc>
      </w:tr>
      <w:tr>
        <w:trPr/>
        <w:tc>
          <w:tcPr>
            <w:tcW w:w="2170" w:type="dxa"/>
            <w:gridSpan w:val="2"/>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Domenic Della Penna</w:t>
            </w:r>
          </w:p>
        </w:tc>
      </w:tr>
      <w:tr>
        <w:trPr/>
        <w:tc>
          <w:tcPr>
            <w:tcW w:w="2170" w:type="dxa"/>
            <w:gridSpan w:val="2"/>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Chief Financial Officer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b/>
          <w:caps w:val="false"/>
          <w:smallCaps w:val="false"/>
          <w:sz w:val="20"/>
        </w:rPr>
      </w:pPr>
      <w:bookmarkStart w:id="32" w:name="ex_522278.htm"/>
      <w:bookmarkStart w:id="33" w:name="ksex_522278"/>
      <w:bookmarkEnd w:id="32"/>
      <w:bookmarkEnd w:id="33"/>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Principal Executive Officer Pursuant to 18 U.S.C. Section 1350 as Adopted Pursuant to 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18 U.S.C. Section 1350, as adopted pursuant to Section 906 of the Sarbanes-Oxley Act of 2002, I, Rajiv De Silva, the Chief Executive Officer of Venus Concept Inc. (the “Company”), hereby certify, that, to my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1005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Quarterly Report on Form 10-Q for the quarter ended June 30, 2023 (the “Report”) of the Company fully complies with the requirements of Section 13(a)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1004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ind w:left="0" w:right="0" w:hanging="0"/>
        <w:jc w:val="left"/>
        <w:rPr/>
      </w:pPr>
      <w:r>
        <w:rPr/>
      </w:r>
      <w:bookmarkStart w:id="34" w:name="PGBK1"/>
      <w:bookmarkStart w:id="35" w:name="PGBK1"/>
      <w:bookmarkEnd w:id="35"/>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bookmarkStart w:id="36" w:name="PGNUM1"/>
      <w:bookmarkStart w:id="37" w:name="PGNUM1"/>
      <w:bookmarkEnd w:id="37"/>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bookmarkStart w:id="38" w:name="PGHDR1"/>
      <w:bookmarkEnd w:id="38"/>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635" w:type="dxa"/>
        <w:jc w:val="left"/>
        <w:tblInd w:w="0" w:type="dxa"/>
        <w:tblLayout w:type="fixed"/>
        <w:tblCellMar>
          <w:top w:w="0" w:type="dxa"/>
          <w:left w:w="0" w:type="dxa"/>
          <w:bottom w:w="0" w:type="dxa"/>
          <w:right w:w="0" w:type="dxa"/>
        </w:tblCellMar>
      </w:tblPr>
      <w:tblGrid>
        <w:gridCol w:w="1850"/>
        <w:gridCol w:w="320"/>
        <w:gridCol w:w="2465"/>
      </w:tblGrid>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ind w:left="60" w:right="0" w:hanging="0"/>
              <w:jc w:val="left"/>
              <w:rPr>
                <w:rFonts w:ascii="Times New Roman" w:hAnsi="Times New Roman"/>
                <w:caps w:val="false"/>
                <w:smallCaps w:val="false"/>
                <w:sz w:val="20"/>
              </w:rPr>
            </w:pPr>
            <w:r>
              <w:rPr>
                <w:rFonts w:ascii="Times New Roman" w:hAnsi="Times New Roman"/>
                <w:caps w:val="false"/>
                <w:smallCaps w:val="false"/>
                <w:sz w:val="20"/>
              </w:rPr>
              <w:t>Date: August 14, 2023</w:t>
            </w:r>
          </w:p>
        </w:tc>
        <w:tc>
          <w:tcPr>
            <w:tcW w:w="32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By:</w:t>
            </w:r>
          </w:p>
        </w:tc>
        <w:tc>
          <w:tcPr>
            <w:tcW w:w="24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Rajiv De Silva</w:t>
            </w:r>
          </w:p>
        </w:tc>
      </w:tr>
      <w:tr>
        <w:trPr/>
        <w:tc>
          <w:tcPr>
            <w:tcW w:w="2170" w:type="dxa"/>
            <w:gridSpan w:val="2"/>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Rajiv De Silva</w:t>
            </w:r>
          </w:p>
        </w:tc>
      </w:tr>
      <w:tr>
        <w:trPr/>
        <w:tc>
          <w:tcPr>
            <w:tcW w:w="2170" w:type="dxa"/>
            <w:gridSpan w:val="2"/>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Chief Executive Officer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b/>
          <w:caps w:val="false"/>
          <w:smallCaps w:val="false"/>
          <w:sz w:val="20"/>
        </w:rPr>
      </w:pPr>
      <w:bookmarkStart w:id="39" w:name="ex_522279.htm"/>
      <w:bookmarkStart w:id="40" w:name="ksex_522279"/>
      <w:bookmarkEnd w:id="39"/>
      <w:bookmarkEnd w:id="40"/>
      <w:r>
        <w:rPr>
          <w:rFonts w:ascii="Times New Roman" w:hAnsi="Times New Roman"/>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Principal Financial Officer Pursuant to 18 U.S.C. Section 1350 as Adopted Pursuant to 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18 U.S.C. Section 1350, as adopted pursuant to Section 906 of the Sarbanes-Oxley Act of 2002, I, Domenic Della Penna, the Chief Financial Officer of Venus Concept Inc. (the “Company”), hereby certify, that, to my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1005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Quarterly Report on Form 10-Q for the quarter ended June 30, 2023 (the “Report”) of the Company fully complies with the requirements of Section 13(a)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1004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ind w:left="0" w:right="0" w:hanging="0"/>
        <w:jc w:val="left"/>
        <w:rPr/>
      </w:pPr>
      <w:r>
        <w:rPr/>
      </w:r>
      <w:bookmarkStart w:id="41" w:name="PGBK2"/>
      <w:bookmarkStart w:id="42" w:name="PGBK2"/>
      <w:bookmarkEnd w:id="42"/>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bookmarkStart w:id="43" w:name="PGNUM2"/>
      <w:bookmarkStart w:id="44" w:name="PGNUM2"/>
      <w:bookmarkEnd w:id="44"/>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bookmarkStart w:id="45" w:name="PGHDR2"/>
      <w:bookmarkEnd w:id="45"/>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605" w:type="dxa"/>
        <w:jc w:val="left"/>
        <w:tblInd w:w="0" w:type="dxa"/>
        <w:tblLayout w:type="fixed"/>
        <w:tblCellMar>
          <w:top w:w="0" w:type="dxa"/>
          <w:left w:w="0" w:type="dxa"/>
          <w:bottom w:w="0" w:type="dxa"/>
          <w:right w:w="0" w:type="dxa"/>
        </w:tblCellMar>
      </w:tblPr>
      <w:tblGrid>
        <w:gridCol w:w="1850"/>
        <w:gridCol w:w="320"/>
        <w:gridCol w:w="2435"/>
      </w:tblGrid>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ind w:left="60" w:right="0" w:hanging="0"/>
              <w:jc w:val="left"/>
              <w:rPr>
                <w:rFonts w:ascii="Times New Roman" w:hAnsi="Times New Roman"/>
                <w:caps w:val="false"/>
                <w:smallCaps w:val="false"/>
                <w:sz w:val="20"/>
              </w:rPr>
            </w:pPr>
            <w:r>
              <w:rPr>
                <w:rFonts w:ascii="Times New Roman" w:hAnsi="Times New Roman"/>
                <w:caps w:val="false"/>
                <w:smallCaps w:val="false"/>
                <w:sz w:val="20"/>
              </w:rPr>
              <w:t>Date: August 14, 2023</w:t>
            </w:r>
          </w:p>
        </w:tc>
        <w:tc>
          <w:tcPr>
            <w:tcW w:w="32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By:</w:t>
            </w:r>
          </w:p>
        </w:tc>
        <w:tc>
          <w:tcPr>
            <w:tcW w:w="24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/s/ Domenic Della Penna </w:t>
            </w:r>
          </w:p>
        </w:tc>
      </w:tr>
      <w:tr>
        <w:trPr/>
        <w:tc>
          <w:tcPr>
            <w:tcW w:w="2170" w:type="dxa"/>
            <w:gridSpan w:val="2"/>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Domenic Della Penna</w:t>
            </w:r>
          </w:p>
        </w:tc>
      </w:tr>
      <w:tr>
        <w:trPr/>
        <w:tc>
          <w:tcPr>
            <w:tcW w:w="2170" w:type="dxa"/>
            <w:gridSpan w:val="2"/>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Chief Financial Officer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(Principal Financial Officer)</w:t>
            </w:r>
          </w:p>
        </w:tc>
      </w:tr>
      <w:tr>
        <w:trPr/>
        <w:tc>
          <w:tcPr>
            <w:tcW w:w="2170" w:type="dxa"/>
            <w:gridSpan w:val="2"/>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0001409269/000119312517311810/d448597dex31.htm" TargetMode="External"/><Relationship Id="rId3" Type="http://schemas.openxmlformats.org/officeDocument/2006/relationships/hyperlink" Target="http://www.sec.gov/Archives/edgar/data/0001409269/000119312519286952/d827576dex31.htm" TargetMode="External"/><Relationship Id="rId4" Type="http://schemas.openxmlformats.org/officeDocument/2006/relationships/hyperlink" Target="http://www.sec.gov/Archives/edgar/data/1409269/000114036123024193/brhc20052761_ex3-1.htm" TargetMode="External"/><Relationship Id="rId5" Type="http://schemas.openxmlformats.org/officeDocument/2006/relationships/hyperlink" Target="http://www.sec.gov/Archives/edgar/data/1409269/000114036123031431/brhc20054780_ex3-1.htm" TargetMode="External"/><Relationship Id="rId6" Type="http://schemas.openxmlformats.org/officeDocument/2006/relationships/hyperlink" Target="http://www.sec.gov/Archives/edgar/data/0001409269/000119312519286952/d827576dex3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29602</Words>
  <Characters>158429</Characters>
  <CharactersWithSpaces>190565</CharactersWithSpaces>
  <Paragraphs>8818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