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720" w:hanging="3872"/>
        <w:spacing w:after="0" w:line="392" w:lineRule="auto"/>
        <w:tabs>
          <w:tab w:leader="none" w:pos="5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83" w:lineRule="exact"/>
        <w:rPr>
          <w:sz w:val="24"/>
          <w:szCs w:val="24"/>
          <w:color w:val="auto"/>
        </w:rPr>
      </w:pPr>
    </w:p>
    <w:p>
      <w:pPr>
        <w:ind w:left="3320" w:right="1720" w:hanging="331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Restoration Robotics,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06-1681204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128 Baytech Drive</w:t>
            </w:r>
          </w:p>
        </w:tc>
        <w:tc>
          <w:tcPr>
            <w:tcW w:w="3060" w:type="dxa"/>
            <w:vAlign w:val="bottom"/>
          </w:tcPr>
          <w:p>
            <w:pPr>
              <w:spacing w:after="0"/>
              <w:rPr>
                <w:sz w:val="24"/>
                <w:szCs w:val="24"/>
                <w:color w:val="auto"/>
              </w:rPr>
            </w:pPr>
          </w:p>
        </w:tc>
      </w:tr>
      <w:tr>
        <w:trPr>
          <w:trHeight w:val="216"/>
        </w:trPr>
        <w:tc>
          <w:tcPr>
            <w:tcW w:w="4180" w:type="dxa"/>
            <w:vAlign w:val="bottom"/>
          </w:tcPr>
          <w:p>
            <w:pPr>
              <w:jc w:val="center"/>
              <w:ind w:right="2003"/>
              <w:spacing w:after="0"/>
              <w:rPr>
                <w:sz w:val="20"/>
                <w:szCs w:val="20"/>
                <w:color w:val="auto"/>
              </w:rPr>
            </w:pPr>
            <w:r>
              <w:rPr>
                <w:rFonts w:ascii="Arial" w:cs="Arial" w:eastAsia="Arial" w:hAnsi="Arial"/>
                <w:sz w:val="18"/>
                <w:szCs w:val="18"/>
                <w:b w:val="1"/>
                <w:bCs w:val="1"/>
                <w:color w:val="auto"/>
                <w:w w:val="88"/>
              </w:rPr>
              <w:t>San Jose, CA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95134</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(408) 883-6888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40" w:firstLine="51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left="520"/>
        <w:spacing w:after="0" w:line="207" w:lineRule="exact"/>
        <w:tabs>
          <w:tab w:leader="none" w:pos="8020" w:val="left"/>
          <w:tab w:leader="none" w:pos="8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4" w:lineRule="exact"/>
        <w:rPr>
          <w:sz w:val="24"/>
          <w:szCs w:val="24"/>
          <w:color w:val="auto"/>
        </w:rPr>
      </w:pPr>
    </w:p>
    <w:tbl>
      <w:tblPr>
        <w:tblLayout w:type="fixed"/>
        <w:tblInd w:w="440" w:type="dxa"/>
        <w:tblCellMar>
          <w:top w:w="0" w:type="dxa"/>
          <w:left w:w="0" w:type="dxa"/>
          <w:bottom w:w="0" w:type="dxa"/>
          <w:right w:w="0" w:type="dxa"/>
        </w:tblCellMar>
      </w:tblPr>
      <w:tr>
        <w:trPr>
          <w:trHeight w:val="206"/>
        </w:trPr>
        <w:tc>
          <w:tcPr>
            <w:tcW w:w="4400" w:type="dxa"/>
            <w:vAlign w:val="bottom"/>
            <w:gridSpan w:val="2"/>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4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Title of each class</w:t>
            </w:r>
          </w:p>
        </w:tc>
        <w:tc>
          <w:tcPr>
            <w:tcW w:w="4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Ticker Symbol</w:t>
            </w:r>
          </w:p>
        </w:tc>
      </w:tr>
      <w:tr>
        <w:trPr>
          <w:trHeight w:val="33"/>
        </w:trPr>
        <w:tc>
          <w:tcPr>
            <w:tcW w:w="4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40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Common Stock, $0.0001 par value per share</w:t>
            </w:r>
          </w:p>
        </w:tc>
        <w:tc>
          <w:tcPr>
            <w:tcW w:w="458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The Nasdaq Global Market</w:t>
            </w:r>
          </w:p>
        </w:tc>
        <w:tc>
          <w:tcPr>
            <w:tcW w:w="1580" w:type="dxa"/>
            <w:vAlign w:val="bottom"/>
          </w:tcPr>
          <w:p>
            <w:pPr>
              <w:jc w:val="center"/>
              <w:spacing w:after="0"/>
              <w:rPr>
                <w:sz w:val="20"/>
                <w:szCs w:val="20"/>
                <w:color w:val="auto"/>
              </w:rPr>
            </w:pPr>
            <w:r>
              <w:rPr>
                <w:rFonts w:ascii="Arial" w:cs="Arial" w:eastAsia="Arial" w:hAnsi="Arial"/>
                <w:sz w:val="16"/>
                <w:szCs w:val="16"/>
                <w:color w:val="auto"/>
              </w:rPr>
              <w:t>HAIR</w:t>
            </w:r>
          </w:p>
        </w:tc>
      </w:tr>
    </w:tbl>
    <w:p>
      <w:pPr>
        <w:spacing w:after="0" w:line="334" w:lineRule="exact"/>
        <w:rPr>
          <w:sz w:val="24"/>
          <w:szCs w:val="24"/>
          <w:color w:val="auto"/>
        </w:rPr>
      </w:pPr>
    </w:p>
    <w:p>
      <w:pPr>
        <w:spacing w:after="0"/>
        <w:rPr>
          <w:sz w:val="20"/>
          <w:szCs w:val="20"/>
          <w:color w:val="auto"/>
        </w:rPr>
      </w:pPr>
      <w:r>
        <w:rPr>
          <w:rFonts w:ascii="Arial" w:cs="Arial" w:eastAsia="Arial" w:hAnsi="Arial"/>
          <w:sz w:val="16"/>
          <w:szCs w:val="16"/>
          <w:color w:val="auto"/>
        </w:rPr>
        <w:t>As of May 3, 2019, the registrant had 40,857,012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5"/>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7640" w:type="dxa"/>
            <w:vAlign w:val="bottom"/>
            <w:gridSpan w:val="15"/>
            <w:vMerge w:val="restart"/>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4"/>
                <w:szCs w:val="14"/>
                <w:color w:val="auto"/>
              </w:rPr>
            </w:pPr>
          </w:p>
        </w:tc>
        <w:tc>
          <w:tcPr>
            <w:tcW w:w="1720" w:type="dxa"/>
            <w:vAlign w:val="bottom"/>
            <w:tcBorders>
              <w:bottom w:val="single" w:sz="8" w:color="0000EE"/>
            </w:tcBorders>
            <w:gridSpan w:val="5"/>
            <w:vMerge w:val="continue"/>
          </w:tcPr>
          <w:p>
            <w:pPr>
              <w:spacing w:after="0"/>
              <w:rPr>
                <w:sz w:val="14"/>
                <w:szCs w:val="14"/>
                <w:color w:val="auto"/>
              </w:rPr>
            </w:pPr>
          </w:p>
        </w:tc>
        <w:tc>
          <w:tcPr>
            <w:tcW w:w="7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Condensed Consolidated Financial Statements (unaudited)</w:t>
              </w:r>
            </w:hyperlink>
          </w:p>
        </w:tc>
        <w:tc>
          <w:tcPr>
            <w:tcW w:w="484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w:t>
              </w:r>
            </w:hyperlink>
          </w:p>
        </w:tc>
        <w:tc>
          <w:tcPr>
            <w:tcW w:w="496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Stockholders’ Equity (Deficit)</w:t>
              </w:r>
            </w:hyperlink>
          </w:p>
        </w:tc>
        <w:tc>
          <w:tcPr>
            <w:tcW w:w="436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Quantitative and Qualitative Disclosures About Market Risk</w:t>
              </w:r>
            </w:hyperlink>
          </w:p>
        </w:tc>
        <w:tc>
          <w:tcPr>
            <w:tcW w:w="46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Controls and Procedures</w:t>
              </w:r>
            </w:hyperlink>
          </w:p>
        </w:tc>
        <w:tc>
          <w:tcPr>
            <w:tcW w:w="74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Proceedings</w:t>
              </w:r>
            </w:hyperlink>
          </w:p>
        </w:tc>
        <w:tc>
          <w:tcPr>
            <w:tcW w:w="73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14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Risk Factors</w:t>
              </w:r>
            </w:hyperlink>
          </w:p>
        </w:tc>
        <w:tc>
          <w:tcPr>
            <w:tcW w:w="796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7"/>
              </w:rPr>
            </w:pPr>
            <w:hyperlink w:anchor="page66">
              <w:r>
                <w:rPr>
                  <w:rFonts w:ascii="Arial" w:cs="Arial" w:eastAsia="Arial" w:hAnsi="Arial"/>
                  <w:sz w:val="18"/>
                  <w:szCs w:val="18"/>
                  <w:b w:val="1"/>
                  <w:bCs w:val="1"/>
                  <w:color w:val="0000EE"/>
                  <w:w w:val="87"/>
                </w:rPr>
                <w:t>Unregistered Sales of Equity Securities and Use of Proceeds</w:t>
              </w:r>
            </w:hyperlink>
          </w:p>
        </w:tc>
        <w:tc>
          <w:tcPr>
            <w:tcW w:w="478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66">
              <w:r>
                <w:rPr>
                  <w:rFonts w:ascii="Arial" w:cs="Arial" w:eastAsia="Arial" w:hAnsi="Arial"/>
                  <w:sz w:val="18"/>
                  <w:szCs w:val="18"/>
                  <w:b w:val="1"/>
                  <w:bCs w:val="1"/>
                  <w:color w:val="0000EE"/>
                  <w:w w:val="89"/>
                </w:rPr>
                <w:t>Defaults Upon Senior Securities</w:t>
              </w:r>
            </w:hyperlink>
          </w:p>
        </w:tc>
        <w:tc>
          <w:tcPr>
            <w:tcW w:w="690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Mine Safety Disclosures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67">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Arial" w:cs="Arial" w:eastAsia="Arial" w:hAnsi="Arial"/>
                <w:sz w:val="16"/>
                <w:szCs w:val="16"/>
                <w:color w:val="auto"/>
                <w:w w:val="98"/>
              </w:rPr>
              <w:t>Accounts receivable, net of allowance of $1,963 and $1,772 as of March 31, 2019 and December 31, 2018,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28,102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36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4,193</w:t>
            </w:r>
          </w:p>
        </w:tc>
        <w:tc>
          <w:tcPr>
            <w:tcW w:w="2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Other accrued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Arial" w:cs="Arial" w:eastAsia="Arial" w:hAnsi="Arial"/>
                <w:sz w:val="16"/>
                <w:szCs w:val="16"/>
                <w:color w:val="auto"/>
                <w:w w:val="98"/>
              </w:rPr>
              <w:t>Current portion of long-term debt, net of discount of $693 and $617 as of March 31, 2019 and December 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2018, respectively</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Related party convertible promissory notes (Note 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debt, net of discount of $638 and $746 as of March 31, 2019 and December 31, 2018</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17,655</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35,296</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(DEFICIT)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w w:val="91"/>
              </w:rPr>
              <w:t>Convertible preferred stock, $0.0001 par value; 10,000,000 shares authorized, and no shares issued and outstanding as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6"/>
                <w:szCs w:val="16"/>
                <w:color w:val="auto"/>
              </w:rPr>
              <w:t>of March 31, 2019 and December 31, 2018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w w:val="95"/>
              </w:rPr>
              <w:t>Common stock, $0.0001 par value; 300,000,000 shares authorized as of March 31, 2019 and December 31, 2018;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w w:val="92"/>
              </w:rPr>
              <w:t>40,767,012 and 40,677,012 shares issued and outstanding as of March 31, 2019 and December 31, 2018, respectively</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195,189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194,841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(200,653)</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(193,213)</w:t>
            </w:r>
          </w:p>
        </w:tc>
        <w:tc>
          <w:tcPr>
            <w:tcW w:w="0" w:type="dxa"/>
            <w:vAlign w:val="bottom"/>
          </w:tcPr>
          <w:p>
            <w:pPr>
              <w:spacing w:after="0"/>
              <w:rPr>
                <w:sz w:val="1"/>
                <w:szCs w:val="1"/>
                <w:color w:val="auto"/>
              </w:rPr>
            </w:pPr>
          </w:p>
        </w:tc>
      </w:tr>
      <w:tr>
        <w:trPr>
          <w:trHeight w:val="20"/>
        </w:trPr>
        <w:tc>
          <w:tcPr>
            <w:tcW w:w="77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STOCKHOLDERS’ EQUITY (DEFICIT)</w:t>
            </w: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(5,474)</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TOTAL LIABILITIES AND STOCKHOLDERS’ EQUITY (DEFICIT)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29,822</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80" w:type="dxa"/>
            <w:vAlign w:val="bottom"/>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60"/>
              <w:spacing w:after="0"/>
              <w:rPr>
                <w:sz w:val="20"/>
                <w:szCs w:val="20"/>
                <w:color w:val="auto"/>
              </w:rPr>
            </w:pPr>
            <w:r>
              <w:rPr>
                <w:rFonts w:ascii="Arial" w:cs="Arial" w:eastAsia="Arial" w:hAnsi="Arial"/>
                <w:sz w:val="16"/>
                <w:szCs w:val="16"/>
                <w:color w:val="auto"/>
              </w:rPr>
              <w:t>Merger related expenses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tcPr>
          <w:p>
            <w:pPr>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(6,614)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(7,040)</w:t>
            </w: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color w:val="auto"/>
              </w:rPr>
              <w:t>Total other expense, net</w:t>
            </w: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before provision for income taxes</w:t>
            </w: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(7,426)</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(7,418)</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(7,440)</w:t>
            </w: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(0.18)</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1"/>
              </w:rPr>
              <w:t>Weighted-average shares used in computing net loss per share attributable to common stockholders, basic and diluted</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40,753,012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28,962,269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6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(7,440)</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(7,431)</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Cumulative translation adjustment</w:t>
            </w:r>
          </w:p>
        </w:tc>
        <w:tc>
          <w:tcPr>
            <w:tcW w:w="26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r>
      <w:tr>
        <w:trPr>
          <w:trHeight w:val="207"/>
        </w:trPr>
        <w:tc>
          <w:tcPr>
            <w:tcW w:w="5180" w:type="dxa"/>
            <w:vAlign w:val="bottom"/>
          </w:tcPr>
          <w:p>
            <w:pPr>
              <w:spacing w:after="0"/>
              <w:rPr>
                <w:sz w:val="20"/>
                <w:szCs w:val="20"/>
                <w:color w:val="auto"/>
              </w:rPr>
            </w:pPr>
            <w:r>
              <w:rPr>
                <w:rFonts w:ascii="Arial" w:cs="Arial" w:eastAsia="Arial" w:hAnsi="Arial"/>
                <w:sz w:val="16"/>
                <w:szCs w:val="16"/>
                <w:color w:val="auto"/>
              </w:rPr>
              <w:t>Comprehensive loss</w:t>
            </w:r>
          </w:p>
        </w:tc>
        <w:tc>
          <w:tcPr>
            <w:tcW w:w="36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(7,404)</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(7,427)</w:t>
            </w:r>
          </w:p>
        </w:tc>
      </w:tr>
      <w:tr>
        <w:trPr>
          <w:trHeight w:val="20"/>
        </w:trPr>
        <w:tc>
          <w:tcPr>
            <w:tcW w:w="5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40" w:type="dxa"/>
            <w:vAlign w:val="bottom"/>
            <w:gridSpan w:val="3"/>
            <w:vMerge w:val="restart"/>
          </w:tcPr>
          <w:p>
            <w:pPr>
              <w:jc w:val="right"/>
              <w:ind w:right="36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40,677,012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(193,213)</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Release of restricted stock awards</w:t>
            </w:r>
          </w:p>
        </w:tc>
        <w:tc>
          <w:tcPr>
            <w:tcW w:w="1020" w:type="dxa"/>
            <w:vAlign w:val="bottom"/>
          </w:tcPr>
          <w:p>
            <w:pPr>
              <w:jc w:val="right"/>
              <w:spacing w:after="0"/>
              <w:rPr>
                <w:sz w:val="20"/>
                <w:szCs w:val="20"/>
                <w:color w:val="auto"/>
              </w:rPr>
            </w:pPr>
            <w:r>
              <w:rPr>
                <w:rFonts w:ascii="Arial" w:cs="Arial" w:eastAsia="Arial" w:hAnsi="Arial"/>
                <w:sz w:val="16"/>
                <w:szCs w:val="16"/>
                <w:color w:val="auto"/>
              </w:rPr>
              <w:t>90,000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Other comprehensive gain</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(7,440)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color w:val="auto"/>
              </w:rPr>
              <w:t>Balance — March 31, 2019</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8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40,767,012</w:t>
            </w:r>
          </w:p>
        </w:tc>
        <w:tc>
          <w:tcPr>
            <w:tcW w:w="220" w:type="dxa"/>
            <w:vAlign w:val="bottom"/>
          </w:tcPr>
          <w:p>
            <w:pPr>
              <w:spacing w:after="0"/>
              <w:rPr>
                <w:sz w:val="17"/>
                <w:szCs w:val="17"/>
                <w:color w:val="auto"/>
              </w:rPr>
            </w:pPr>
          </w:p>
        </w:tc>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195,189</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(200,653)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(5,474)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(7,440)</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discounts and issuance costs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bad debt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7700" w:type="dxa"/>
            <w:vAlign w:val="bottom"/>
          </w:tcPr>
          <w:p>
            <w:pPr>
              <w:ind w:left="7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and other liabilities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(5,839)</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00"/>
              <w:spacing w:after="0"/>
              <w:rPr>
                <w:sz w:val="20"/>
                <w:szCs w:val="20"/>
                <w:color w:val="auto"/>
              </w:rPr>
            </w:pPr>
            <w:r>
              <w:rPr>
                <w:rFonts w:ascii="Arial" w:cs="Arial" w:eastAsia="Arial" w:hAnsi="Arial"/>
                <w:sz w:val="16"/>
                <w:szCs w:val="16"/>
                <w:color w:val="auto"/>
              </w:rPr>
              <w:t>Proceeds from related party convertible promissory notes, net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exercised stock options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 Beginning of period</w:t>
            </w:r>
          </w:p>
        </w:tc>
        <w:tc>
          <w:tcPr>
            <w:tcW w:w="16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23,645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 End of period</w:t>
            </w:r>
          </w:p>
        </w:tc>
        <w:tc>
          <w:tcPr>
            <w:tcW w:w="1160" w:type="dxa"/>
            <w:vAlign w:val="bottom"/>
            <w:gridSpan w:val="2"/>
            <w:shd w:val="clear" w:color="auto" w:fill="CFF0FC"/>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15,040</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paid during the period</w:t>
            </w:r>
          </w:p>
        </w:tc>
        <w:tc>
          <w:tcPr>
            <w:tcW w:w="1160" w:type="dxa"/>
            <w:vAlign w:val="bottom"/>
            <w:gridSpan w:val="2"/>
            <w:shd w:val="clear" w:color="auto" w:fill="CFF0FC"/>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property and equipment included in accounts payable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Discounts in connection with amendment of long-term debt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for shares, per share data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Restoration Robotics, Inc. is a medical device company incorporated in the state of Delaware on November 22, 2002 and headquartered in San Jose, California. The Company develops an image-guided robotic system that enables follicular unit extraction (FUE) and implantation functionality for use in the field of hair transplantation and markets the ARTAS</w:t>
      </w:r>
      <w:r>
        <w:rPr>
          <w:rFonts w:ascii="Arial" w:cs="Arial" w:eastAsia="Arial" w:hAnsi="Arial"/>
          <w:sz w:val="15"/>
          <w:szCs w:val="15"/>
          <w:color w:val="auto"/>
        </w:rPr>
        <w:t>®</w:t>
      </w:r>
      <w:r>
        <w:rPr>
          <w:rFonts w:ascii="Arial" w:cs="Arial" w:eastAsia="Arial" w:hAnsi="Arial"/>
          <w:sz w:val="18"/>
          <w:szCs w:val="18"/>
          <w:color w:val="auto"/>
        </w:rPr>
        <w:t xml:space="preserve"> Robotic System in the United States and certain other countries. In these notes to the unaudited condensed consolidated financial statements, the “Company” and “Restoration Robotics” refers to Restoration Robotics, Inc. and its subsidiaries on a consolidated basis.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Proposed Merger with Venus</w:t>
      </w:r>
    </w:p>
    <w:p>
      <w:pPr>
        <w:spacing w:after="0" w:line="121"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On March 15, 2019, the Company entered into the Merger Agreement (the Merger Agreement) with Radiant Merger Sub Ltd., a company organized under the laws of Israel and a directly, wholly-owned subsidiary of the Company (“</w:t>
      </w:r>
      <w:r>
        <w:rPr>
          <w:rFonts w:ascii="Arial" w:cs="Arial" w:eastAsia="Arial" w:hAnsi="Arial"/>
          <w:sz w:val="18"/>
          <w:szCs w:val="18"/>
          <w:u w:val="single" w:color="auto"/>
          <w:color w:val="auto"/>
        </w:rPr>
        <w:t>Merger Sub</w:t>
      </w:r>
      <w:r>
        <w:rPr>
          <w:rFonts w:ascii="Arial" w:cs="Arial" w:eastAsia="Arial" w:hAnsi="Arial"/>
          <w:sz w:val="18"/>
          <w:szCs w:val="18"/>
          <w:color w:val="auto"/>
          <w:highlight w:val="white"/>
        </w:rPr>
        <w:t>”),</w:t>
      </w:r>
      <w:r>
        <w:rPr>
          <w:rFonts w:ascii="Arial" w:cs="Arial" w:eastAsia="Arial" w:hAnsi="Arial"/>
          <w:sz w:val="18"/>
          <w:szCs w:val="18"/>
          <w:color w:val="auto"/>
        </w:rPr>
        <w:t xml:space="preserve"> and Venus Concept Ltd., a company organized under the laws of Israel (Venus) to combine the companies in an all-stock transaction (the Merger). The Merger Agreement and the Merger have been approved by the Company’s board of directors and the board of directors of Venus. The transaction is expected to close in the third quarter of 2019, subject to customary closing conditions, including the approval by stockholders of the Company and Venus and receipt of all necessary regulatory approvals.</w:t>
      </w:r>
    </w:p>
    <w:p>
      <w:pPr>
        <w:spacing w:after="0" w:line="85" w:lineRule="exact"/>
        <w:rPr>
          <w:sz w:val="20"/>
          <w:szCs w:val="20"/>
          <w:color w:val="auto"/>
        </w:rPr>
      </w:pPr>
    </w:p>
    <w:p>
      <w:pPr>
        <w:ind w:left="520" w:right="220"/>
        <w:spacing w:after="0" w:line="308"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therein, Merger Sub will be merged with and into Venus, with Venus continuing as the surviving corporation and a direct wholly-owned subsidiary of the Company.</w:t>
      </w:r>
    </w:p>
    <w:p>
      <w:pPr>
        <w:spacing w:after="0" w:line="38" w:lineRule="exact"/>
        <w:rPr>
          <w:sz w:val="20"/>
          <w:szCs w:val="20"/>
          <w:color w:val="auto"/>
        </w:rPr>
      </w:pPr>
    </w:p>
    <w:p>
      <w:pPr>
        <w:ind w:left="520"/>
        <w:spacing w:after="0" w:line="271" w:lineRule="auto"/>
        <w:rPr>
          <w:sz w:val="20"/>
          <w:szCs w:val="20"/>
          <w:color w:val="auto"/>
        </w:rPr>
      </w:pPr>
      <w:r>
        <w:rPr>
          <w:rFonts w:ascii="Arial" w:cs="Arial" w:eastAsia="Arial" w:hAnsi="Arial"/>
          <w:sz w:val="17"/>
          <w:szCs w:val="17"/>
          <w:color w:val="auto"/>
        </w:rPr>
        <w:t>Under the terms of the transaction, the Company and Venus shareholders will own approximately 15% and 85% of the combined company, respectively, on a fully diluted basis, without giving effect to the shares issued in the proposed equity financing that is expected to close immediately after the merger (the Equity Financing). EW Healthcare Partners has committed to lead a $21,000 equity investment, priced at $0.825 per share (subject to adjustment for stock splits), in the combined company’s common stock contingent on the closing of the Merger. Additional investors committed to participating in the proposed equity financing include HealthQuest Capital, Madryn Asset Management, Longitude Capital Management, Fred Moll and Aperture Venture Partners. In addition to the equity financing, Fred Moll and InterWest Partners previously funded a $5.0 million convertible note to the Company, which will convert into the combined company’s common stock at the closing of the equity financing led by EW Healthcare, at a price of $0.825 per share (subject to adjustment for stock splits).</w:t>
      </w:r>
    </w:p>
    <w:p>
      <w:pPr>
        <w:spacing w:after="0" w:line="71"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 xml:space="preserve">Concurrent with closing of the Merger, the Company anticipates effecting a reverse stock split. The Company expects to have approximately 283.2 million shares outstanding (or approximately 18.9 million shares outstanding after giving effect to an anticipated 1-for-15 reverse stock split) and after taking into account shares issued to the former Venus shareholders in the Merger, shares issued as part of the $21,000 equity investment, and shares issued upon conversion of the $5,000 convertible notes issued by the Company in February, 2019, as discussed in </w:t>
      </w:r>
      <w:r>
        <w:rPr>
          <w:rFonts w:ascii="Arial" w:cs="Arial" w:eastAsia="Arial" w:hAnsi="Arial"/>
          <w:sz w:val="18"/>
          <w:szCs w:val="18"/>
          <w:i w:val="1"/>
          <w:iCs w:val="1"/>
          <w:color w:val="auto"/>
        </w:rPr>
        <w:t>Note 8</w:t>
      </w:r>
      <w:r>
        <w:rPr>
          <w:rFonts w:ascii="Arial" w:cs="Arial" w:eastAsia="Arial" w:hAnsi="Arial"/>
          <w:sz w:val="18"/>
          <w:szCs w:val="18"/>
          <w:color w:val="auto"/>
        </w:rPr>
        <w:t xml:space="preserve"> to the condensed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20" w:right="60"/>
        <w:spacing w:after="0" w:line="270" w:lineRule="auto"/>
        <w:rPr>
          <w:sz w:val="20"/>
          <w:szCs w:val="20"/>
          <w:color w:val="auto"/>
        </w:rPr>
      </w:pPr>
      <w:r>
        <w:rPr>
          <w:rFonts w:ascii="Arial" w:cs="Arial" w:eastAsia="Arial" w:hAnsi="Arial"/>
          <w:sz w:val="17"/>
          <w:szCs w:val="17"/>
          <w:color w:val="auto"/>
        </w:rPr>
        <w:t>These condensed consolidated financial statements are prepared on a going concern basis that contemplates the realization of assets and extinguishment of liabilities in the normal course of business. The Company has incurred net operating losses and negative cash flows from operations since inception. As of March 31, 2019, and December 31, 2018, the Company has an accumulated deficit of $200,653 and $193,213 and, as of such dates, and through the date of this filing, does not have sufficient capital to fund its planned operations. Because of the Company’s recurring losses from operations and negative cash flows, the Company’s independent registered public accounting firm included an explanatory paragraph in its report on the Company’s consolidated financial statements as of, and for the year ended, December 31, 2018 that such factors raise substantial doubt about the Company’s ability to continue as a going concern. To continue its operations, the Company must achieve profitable operations and/or obtain additional financing. Until the Company generates revenue at a level to support its cost structure, the Company expects to continue to incur substantial operating losses and net cash outflows. The Company may never become profitable and even if it does attain profitable operations, it may not be able to sustain profitability or positive cash flows on a recurring basis.</w:t>
      </w:r>
    </w:p>
    <w:p>
      <w:pPr>
        <w:spacing w:after="0" w:line="178"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187"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20" w:right="20"/>
        <w:spacing w:after="0" w:line="252" w:lineRule="auto"/>
        <w:rPr>
          <w:sz w:val="20"/>
          <w:szCs w:val="20"/>
          <w:color w:val="auto"/>
        </w:rPr>
      </w:pPr>
      <w:r>
        <w:rPr>
          <w:rFonts w:ascii="Arial" w:cs="Arial" w:eastAsia="Arial" w:hAnsi="Arial"/>
          <w:sz w:val="18"/>
          <w:szCs w:val="18"/>
          <w:color w:val="auto"/>
        </w:rPr>
        <w:t>The condensed consolidated balance sheet as of March 31, 2019, the condensed consolidated statements of operations and condensed consolidated statements of comprehensive loss for the three months ended March 31, 2019 and 2018, the condensed consolidated statements of cash flows for the three months ended March 31, 2019 and 2018 and the condensed consolidated statement of stockholders’ equity (deficit) for the three months ended March 31, 2019 are unaudited. The accompanying unaudited condensed consolidated financial statements have been prepared in accordance with generally accepted accounting principles in the United States (U.S. GAAP) and in the opinion of management, reflect all adjustments of a normal and recurring nature that are necessary for the fair presentation of the Company’s condensed consolidated financial statements included in this report. The condensed consolidated financial data disclosed in these notes to the condensed consolidated financial statements related to the three-month periods are also unaudited. The condensed consolidated results of operations for the three months ended March 31, 2019 are not necessarily indicative of the results to be expected for the year ending December 31, 2019, or for any other future annual or interim period. The consolidated balance sheet as of December 31, 2018 included herein was derived from the audited consolidated financial statements as of that date. These condensed consolidated financial statements should be read in conjunction with the Company’s audited consolidated financial statements included in its Annual Report filed on Form 10-K for the year ended December 31, 2018, with the SEC on March 20, 2019.</w:t>
      </w:r>
    </w:p>
    <w:p>
      <w:pPr>
        <w:spacing w:after="0" w:line="3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Restoration Robotics, Inc. and its wholly owned subsidiaries, which are organized in the United States, United Kingdom, Spain, Hong Kong and South Korea. All significant intercompany accounts and transactions have been eliminated in consolidation.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Significant estimates and assumptions made in the accompanying condensed consolidated financial statements include, but are not limited to revenue recognition, allowance for doubtful accounts, inventory valuation, stock-based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right="80"/>
        <w:spacing w:after="0" w:line="264" w:lineRule="auto"/>
        <w:rPr>
          <w:sz w:val="20"/>
          <w:szCs w:val="20"/>
          <w:color w:val="auto"/>
        </w:rPr>
      </w:pPr>
      <w:r>
        <w:rPr>
          <w:rFonts w:ascii="Arial" w:cs="Arial" w:eastAsia="Arial" w:hAnsi="Arial"/>
          <w:sz w:val="18"/>
          <w:szCs w:val="18"/>
          <w:color w:val="auto"/>
        </w:rPr>
        <w:t>compensation, warranty accrual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 The Company’s restricted cash is held in a separate money market account as collateral for credit cards.</w:t>
      </w:r>
    </w:p>
    <w:p>
      <w:pPr>
        <w:spacing w:after="0" w:line="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condensed consolidated statements of cash flows.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31, 2019</w:t>
            </w:r>
          </w:p>
        </w:tc>
        <w:tc>
          <w:tcPr>
            <w:tcW w:w="3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14,957</w:t>
            </w:r>
          </w:p>
        </w:tc>
        <w:tc>
          <w:tcPr>
            <w:tcW w:w="3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tcPr>
          <w:p>
            <w:pPr>
              <w:spacing w:after="0"/>
              <w:rPr>
                <w:sz w:val="19"/>
                <w:szCs w:val="19"/>
                <w:color w:val="auto"/>
              </w:rPr>
            </w:pP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cash, cash equivalents and restricted cash in the condensed consolidated statements of</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flows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w:t>
            </w:r>
          </w:p>
        </w:tc>
        <w:tc>
          <w:tcPr>
            <w:tcW w:w="78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w:t>
            </w:r>
          </w:p>
        </w:tc>
        <w:tc>
          <w:tcPr>
            <w:tcW w:w="120" w:type="dxa"/>
            <w:vAlign w:val="bottom"/>
            <w:shd w:val="clear" w:color="auto" w:fill="CFF0FC"/>
          </w:tcPr>
          <w:p>
            <w:pPr>
              <w:spacing w:after="0"/>
              <w:rPr>
                <w:sz w:val="20"/>
                <w:szCs w:val="20"/>
                <w:color w:val="auto"/>
              </w:rPr>
            </w:pPr>
          </w:p>
        </w:tc>
      </w:tr>
      <w:tr>
        <w:trPr>
          <w:trHeight w:val="20"/>
        </w:trPr>
        <w:tc>
          <w:tcPr>
            <w:tcW w:w="69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three months ended March 31, 2019, one customer accounted for more than 10% of the Company’s revenue. For the three months ended March 31, 2018, no customer accounted for more than 10% of the Company’s revenue. As of March 31, 2019, and December 31, 2018, no customers accounted for more than 10% of the Company’s accounts receivable.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2" w:lineRule="exact"/>
        <w:rPr>
          <w:sz w:val="20"/>
          <w:szCs w:val="20"/>
          <w:color w:val="auto"/>
        </w:rPr>
      </w:pPr>
    </w:p>
    <w:p>
      <w:pPr>
        <w:ind w:right="400" w:firstLine="6"/>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In May 2014, the Financial Accounting Standards Board (FASB) issued Accounting Standards Update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ASU 2014-09 is required to be adopted, using either of two methods: (i) retrospective to each prior reporting period presented with the option to elect certain practical expedients as defined within ASU 2014-09; or (ii) retrospective with the cumulative effect of initially applying ASU 2014-09 recognized at the date of initial application and providing certain additional disclosures. The Company adopted the new revenue standard on January 1, 2019, using the</w:t>
      </w: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449" w:right="279" w:bottom="1440" w:gutter="0" w:footer="0" w:header="0"/>
        </w:sectPr>
      </w:pPr>
    </w:p>
    <w:bookmarkStart w:id="10" w:name="page11"/>
    <w:bookmarkEnd w:id="10"/>
    <w:p>
      <w:pPr>
        <w:ind w:left="520" w:right="220"/>
        <w:spacing w:after="0" w:line="277" w:lineRule="auto"/>
        <w:rPr>
          <w:sz w:val="20"/>
          <w:szCs w:val="20"/>
          <w:color w:val="auto"/>
        </w:rPr>
      </w:pPr>
      <w:r>
        <w:rPr>
          <w:rFonts w:ascii="Arial" w:cs="Arial" w:eastAsia="Arial" w:hAnsi="Arial"/>
          <w:sz w:val="18"/>
          <w:szCs w:val="18"/>
          <w:color w:val="auto"/>
        </w:rPr>
        <w:t xml:space="preserve">modified retrospective transition method applied to those contracts which were not completed as of that date. See Note 3. </w:t>
      </w:r>
      <w:r>
        <w:rPr>
          <w:rFonts w:ascii="Arial" w:cs="Arial" w:eastAsia="Arial" w:hAnsi="Arial"/>
          <w:sz w:val="18"/>
          <w:szCs w:val="18"/>
          <w:i w:val="1"/>
          <w:iCs w:val="1"/>
          <w:color w:val="auto"/>
        </w:rPr>
        <w:t>Revenue</w:t>
      </w:r>
      <w:r>
        <w:rPr>
          <w:rFonts w:ascii="Arial" w:cs="Arial" w:eastAsia="Arial" w:hAnsi="Arial"/>
          <w:sz w:val="18"/>
          <w:szCs w:val="18"/>
          <w:color w:val="auto"/>
        </w:rPr>
        <w:t>, to our unaudited condensed consolidated financial statements included in this Quarterly Report on Form 10-Q for additional details.</w:t>
      </w:r>
    </w:p>
    <w:p>
      <w:pPr>
        <w:spacing w:after="0" w:line="62" w:lineRule="exact"/>
        <w:rPr>
          <w:sz w:val="20"/>
          <w:szCs w:val="20"/>
          <w:color w:val="auto"/>
        </w:rPr>
      </w:pPr>
    </w:p>
    <w:p>
      <w:pPr>
        <w:ind w:left="520" w:right="240"/>
        <w:spacing w:after="0" w:line="272" w:lineRule="auto"/>
        <w:rPr>
          <w:sz w:val="20"/>
          <w:szCs w:val="20"/>
          <w:color w:val="auto"/>
        </w:rPr>
      </w:pPr>
      <w:r>
        <w:rPr>
          <w:rFonts w:ascii="Arial" w:cs="Arial" w:eastAsia="Arial" w:hAnsi="Arial"/>
          <w:sz w:val="17"/>
          <w:szCs w:val="17"/>
          <w:color w:val="auto"/>
        </w:rPr>
        <w:t xml:space="preserve">In June 2018, the FASB issued ASU No. 2018-7,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guidance supersedes ASC 505-50 and expands the scope of ASC 718 to include all share-based payment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acquisition of goods and services from both nonemployees and employees. The amendments should be applied on a modified retrospective basis through a cumulative-effect adjustment to retained earnings as of the beginning of the fiscal year of adoption. The Company adopted this standard on January 1, 2019 using the modified retrospective adoption method. The adoption of this standard did not have a material impact on the Company’s condensed consolidated financial statements and related disclosures and no cumulative-effect adjustment was recorded to accumulated deficit at January 1, 2019.</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left="520" w:right="60"/>
        <w:spacing w:after="0" w:line="218" w:lineRule="exact"/>
        <w:rPr>
          <w:sz w:val="20"/>
          <w:szCs w:val="20"/>
          <w:color w:val="auto"/>
        </w:rPr>
      </w:pPr>
      <w:r>
        <w:rPr>
          <w:rFonts w:ascii="Arial" w:cs="Arial" w:eastAsia="Arial" w:hAnsi="Arial"/>
          <w:sz w:val="18"/>
          <w:szCs w:val="18"/>
          <w:color w:val="auto"/>
        </w:rPr>
        <w:t>In February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 xml:space="preserve">02,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2016</w:t>
      </w:r>
      <w:r>
        <w:rPr>
          <w:rFonts w:ascii="MS PGothic" w:cs="MS PGothic" w:eastAsia="MS PGothic" w:hAnsi="MS PGothic"/>
          <w:sz w:val="18"/>
          <w:szCs w:val="18"/>
          <w:color w:val="auto"/>
        </w:rPr>
        <w:t>‑</w:t>
      </w:r>
      <w:r>
        <w:rPr>
          <w:rFonts w:ascii="Arial" w:cs="Arial" w:eastAsia="Arial" w:hAnsi="Arial"/>
          <w:sz w:val="18"/>
          <w:szCs w:val="18"/>
          <w:color w:val="auto"/>
        </w:rPr>
        <w:t>02, as amended by ASU 2019-01 issued in March 2019, (collectively, ASU 2016-02), which requires lessees to record most leases on their balance sheets but recognize the expenses on their income statements in a manner similar to current practice. Under ASU 2016</w:t>
      </w:r>
      <w:r>
        <w:rPr>
          <w:rFonts w:ascii="MS PGothic" w:cs="MS PGothic" w:eastAsia="MS PGothic" w:hAnsi="MS PGothic"/>
          <w:sz w:val="18"/>
          <w:szCs w:val="18"/>
          <w:color w:val="auto"/>
        </w:rPr>
        <w:t>‑</w:t>
      </w:r>
      <w:r>
        <w:rPr>
          <w:rFonts w:ascii="Arial" w:cs="Arial" w:eastAsia="Arial" w:hAnsi="Arial"/>
          <w:sz w:val="18"/>
          <w:szCs w:val="18"/>
          <w:color w:val="auto"/>
        </w:rPr>
        <w:t>02, a lessee would recognize a lease liability for the obligation to make lease payments and a right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use asset for the right to use the underlying asset for the lease term. For public entities, this standard is effective for annual reporting periods beginning after December 15, 2018, including interim periods within that reporting period. As an Emerging Growth Company, this standard is effective for the Company in annual reporting periods beginning after December 15, 2019, and interim periods within annual periods beginning after December 15, 2020. Early adoption is permitted. The Company is currently evaluating the standard and its impact on the condensed consolidated financial statements. However, the Company does expect a material change in its consolidated assets and liabilities upon adoption of this standard.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Topic 606 supersedes the revenue recognition requirements in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(Topic 605) and requires entities to recognize revenue when control of the promised goods or services is transferred to customers at an amount that reflects the consideration to which the entity expects to be entitled in exchange for those goods or services. The FASB has issued several amendments to the standard, including clarifications on disclosure of prior-period performance obligations and remaining performance obligations.</w:t>
      </w:r>
    </w:p>
    <w:p>
      <w:pPr>
        <w:spacing w:after="0" w:line="188"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The Company adopted the standard effective January 1, 2019 using the modified retrospective method. This approach was applied to all contracts that were not completed as of January 1, 2019. The adoption of Topic 606 did not have a material impact on the Company’s historical net losses and, therefore, no adjustment was made to the opening balance of accumulated deficit at January 1, 2019. Therefore, the comparative 2018 period has not been adjusted and continues to be reported under Topic 605.</w:t>
      </w:r>
    </w:p>
    <w:p>
      <w:pPr>
        <w:spacing w:after="0" w:line="193" w:lineRule="exact"/>
        <w:rPr>
          <w:sz w:val="20"/>
          <w:szCs w:val="20"/>
          <w:color w:val="auto"/>
        </w:rPr>
      </w:pPr>
    </w:p>
    <w:p>
      <w:pPr>
        <w:jc w:val="both"/>
        <w:ind w:left="520" w:right="20"/>
        <w:spacing w:after="0" w:line="264" w:lineRule="auto"/>
        <w:rPr>
          <w:sz w:val="20"/>
          <w:szCs w:val="20"/>
          <w:color w:val="auto"/>
        </w:rPr>
      </w:pPr>
      <w:r>
        <w:rPr>
          <w:rFonts w:ascii="Arial" w:cs="Arial" w:eastAsia="Arial" w:hAnsi="Arial"/>
          <w:sz w:val="18"/>
          <w:szCs w:val="18"/>
          <w:color w:val="auto"/>
        </w:rPr>
        <w:t>Topic 606’s core principle is that a reporting entity will recognize revenue when it transfers promised goods or services to customers in an amount that reflects the consideration to which the entity expects to be entitled in exchange for those goods or services. In applying this new guidance to contracts within its scope, an entity will:</w:t>
      </w:r>
    </w:p>
    <w:p>
      <w:pPr>
        <w:spacing w:after="0" w:line="181"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5" w:lineRule="exact"/>
        <w:rPr>
          <w:rFonts w:ascii="Arial" w:cs="Arial" w:eastAsia="Arial" w:hAnsi="Arial"/>
          <w:sz w:val="18"/>
          <w:szCs w:val="18"/>
          <w:color w:val="auto"/>
        </w:rPr>
      </w:pPr>
    </w:p>
    <w:p>
      <w:pPr>
        <w:ind w:left="5620" w:right="4800" w:hanging="5099"/>
        <w:spacing w:after="0" w:line="624" w:lineRule="auto"/>
        <w:tabs>
          <w:tab w:leader="none" w:pos="103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Impact on Financial Statements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accordance with Topic 606, the disclosure of the impact of the change in accounting principle to the unaudited condensed consolidated statements of operations and balance sheets was as follows:</w:t>
      </w:r>
    </w:p>
    <w:p>
      <w:pPr>
        <w:spacing w:after="0" w:line="180"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Three months ended March 31, 2019</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33"/>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Condensed Consolidated Statements of Operations Data</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4"/>
                <w:szCs w:val="14"/>
                <w:b w:val="1"/>
                <w:bCs w:val="1"/>
                <w:color w:val="auto"/>
                <w:w w:val="96"/>
              </w:rPr>
              <w:t>As Reported</w:t>
            </w:r>
          </w:p>
        </w:tc>
        <w:tc>
          <w:tcPr>
            <w:tcW w:w="160" w:type="dxa"/>
            <w:vAlign w:val="bottom"/>
            <w:tcBorders>
              <w:top w:val="single" w:sz="8" w:color="auto"/>
            </w:tcBorders>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w w:val="96"/>
              </w:rPr>
              <w:t>Adjustments</w:t>
            </w:r>
          </w:p>
        </w:tc>
        <w:tc>
          <w:tcPr>
            <w:tcW w:w="160" w:type="dxa"/>
            <w:vAlign w:val="bottom"/>
            <w:tcBorders>
              <w:top w:val="single" w:sz="8" w:color="auto"/>
            </w:tcBorders>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Balance Without ASC 606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(169)</w:t>
            </w:r>
          </w:p>
        </w:tc>
        <w:tc>
          <w:tcPr>
            <w:tcW w:w="46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2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6"/>
                <w:szCs w:val="16"/>
                <w:color w:val="auto"/>
              </w:rPr>
              <w:t>Loss from operations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(6,794)</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Net loss before provision for income taxes</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(7,440)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(180)</w:t>
            </w:r>
          </w:p>
        </w:tc>
        <w:tc>
          <w:tcPr>
            <w:tcW w:w="46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(7,620)</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9"/>
              </w:rPr>
              <w:t>Net loss per share attributable to common stockholders, basic and diluted</w:t>
            </w: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0" w:type="dxa"/>
            <w:vAlign w:val="bottom"/>
            <w:vMerge w:val="continue"/>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(0.01)</w:t>
            </w:r>
          </w:p>
        </w:tc>
        <w:tc>
          <w:tcPr>
            <w:tcW w:w="46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0"/>
        </w:trPr>
        <w:tc>
          <w:tcPr>
            <w:tcW w:w="5200" w:type="dxa"/>
            <w:vAlign w:val="bottom"/>
          </w:tcPr>
          <w:p>
            <w:pPr>
              <w:spacing w:after="0"/>
              <w:rPr>
                <w:sz w:val="20"/>
                <w:szCs w:val="20"/>
                <w:color w:val="auto"/>
              </w:rPr>
            </w:pPr>
            <w:r>
              <w:rPr>
                <w:rFonts w:ascii="Arial" w:cs="Arial" w:eastAsia="Arial" w:hAnsi="Arial"/>
                <w:sz w:val="16"/>
                <w:szCs w:val="16"/>
                <w:color w:val="auto"/>
                <w:w w:val="94"/>
              </w:rPr>
              <w:t>Weighted-average shares used in computing net loss per share attributable to</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common stockholders, basic and diluted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40,753,012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40,753,012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Condensed Consolidated Balance Sheets Data</w:t>
            </w: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As Reported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6"/>
              </w:rPr>
              <w:t>Adjustments</w:t>
            </w:r>
          </w:p>
        </w:tc>
        <w:tc>
          <w:tcPr>
            <w:tcW w:w="20" w:type="dxa"/>
            <w:vAlign w:val="bottom"/>
          </w:tcPr>
          <w:p>
            <w:pPr>
              <w:spacing w:after="0"/>
              <w:rPr>
                <w:sz w:val="11"/>
                <w:szCs w:val="11"/>
                <w:color w:val="auto"/>
              </w:rPr>
            </w:pPr>
          </w:p>
        </w:tc>
        <w:tc>
          <w:tcPr>
            <w:tcW w:w="17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Balance Without ASC 606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37"/>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(200,653)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generates revenue primarily through the sale and delivery of promised goods and services, which consists of the sale of ARTAS</w:t>
      </w:r>
      <w:r>
        <w:rPr>
          <w:rFonts w:ascii="Arial" w:cs="Arial" w:eastAsia="Arial" w:hAnsi="Arial"/>
          <w:sz w:val="15"/>
          <w:szCs w:val="15"/>
          <w:color w:val="auto"/>
        </w:rPr>
        <w:t>®</w:t>
      </w:r>
      <w:r>
        <w:rPr>
          <w:rFonts w:ascii="Arial" w:cs="Arial" w:eastAsia="Arial" w:hAnsi="Arial"/>
          <w:sz w:val="18"/>
          <w:szCs w:val="18"/>
          <w:color w:val="auto"/>
        </w:rPr>
        <w:t xml:space="preserve"> and ARTAS</w:t>
      </w:r>
      <w:r>
        <w:rPr>
          <w:rFonts w:ascii="Arial" w:cs="Arial" w:eastAsia="Arial" w:hAnsi="Arial"/>
          <w:sz w:val="15"/>
          <w:szCs w:val="15"/>
          <w:color w:val="auto"/>
        </w:rPr>
        <w:t>®</w:t>
      </w:r>
      <w:r>
        <w:rPr>
          <w:rFonts w:ascii="Arial" w:cs="Arial" w:eastAsia="Arial" w:hAnsi="Arial"/>
          <w:sz w:val="18"/>
          <w:szCs w:val="18"/>
          <w:color w:val="auto"/>
        </w:rPr>
        <w:t xml:space="preserve"> iX Systems, training on the systems, extended service contracts, consumables and marketing services. Revenue is recognized when control is transferred to customers, in an amount that reflects the consideration the Company expects to be entitled to in exchange for the goods or services. Sales prices are documented in the executed sales contract or purchase order prior to the transfer of control to the customer. Customers may enter into a separate extended service agreement (referred to as ARTAS Care) to purchase an extended warranty for products from the Company whereby the payment is due at the inception of the agreement or in monthly installment payments. Revenue for ARTAS Care is recognized ratably over the term of the agreement.</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utilizes distributors to sell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and related consumables in certain markets outside of the United States. The Company recognizes revenue when control of the goods or services is transferred to the distributors. Standard terms for all agreements with either end customers or distributors do not allow for right of return, refunds, payment contingent on obtaining financing or other terms that could impact the customer’s payment obligation. Payment terms for U.S. customers are generally at shipment, delivery, or within 30 day of shipment, while payment terms for customers outside of the U.S. vary between 30 and 180 days after shipment.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Determination and Allocation of Transaction Price and Method of Recognition</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system sale arrangements generally contain multiple products and services. For these bundled sale arrangements, the Company accounts for individual products and services as separate performance obligations. These performance obligations include: ARTAS</w:t>
      </w:r>
      <w:r>
        <w:rPr>
          <w:rFonts w:ascii="Arial" w:cs="Arial" w:eastAsia="Arial" w:hAnsi="Arial"/>
          <w:sz w:val="13"/>
          <w:szCs w:val="13"/>
          <w:color w:val="auto"/>
        </w:rPr>
        <w:t>®</w:t>
      </w:r>
      <w:r>
        <w:rPr>
          <w:rFonts w:ascii="Arial" w:cs="Arial" w:eastAsia="Arial" w:hAnsi="Arial"/>
          <w:sz w:val="16"/>
          <w:szCs w:val="16"/>
          <w:color w:val="auto"/>
        </w:rPr>
        <w:t xml:space="preserve"> or ARTAS</w:t>
      </w:r>
      <w:r>
        <w:rPr>
          <w:rFonts w:ascii="Arial" w:cs="Arial" w:eastAsia="Arial" w:hAnsi="Arial"/>
          <w:sz w:val="13"/>
          <w:szCs w:val="13"/>
          <w:color w:val="auto"/>
        </w:rPr>
        <w:t>®</w:t>
      </w:r>
      <w:r>
        <w:rPr>
          <w:rFonts w:ascii="Arial" w:cs="Arial" w:eastAsia="Arial" w:hAnsi="Arial"/>
          <w:sz w:val="16"/>
          <w:szCs w:val="16"/>
          <w:color w:val="auto"/>
        </w:rPr>
        <w:t xml:space="preserve"> iX System, including related accessories and software license (considered as one performance obligation), product training, consumables (consisting of harvest or site making/implantation kits), extended service contracts and marketing services. All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include an assurance-type standard warranty, generally for a 12-month period. ARTAS Care (extended warranty service contract) will commence at the expiration of the standard warranty period. For multiple performance obligations arrangements, the Company allocates revenue</w:t>
      </w:r>
    </w:p>
    <w:p>
      <w:pPr>
        <w:spacing w:after="0" w:line="1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665" w:right="239" w:bottom="1440" w:gutter="0" w:footer="0" w:header="0"/>
        </w:sectPr>
      </w:pPr>
    </w:p>
    <w:bookmarkStart w:id="12" w:name="page13"/>
    <w:bookmarkEnd w:id="12"/>
    <w:p>
      <w:pPr>
        <w:ind w:right="780"/>
        <w:spacing w:after="0" w:line="277" w:lineRule="auto"/>
        <w:rPr>
          <w:sz w:val="20"/>
          <w:szCs w:val="20"/>
          <w:color w:val="auto"/>
        </w:rPr>
      </w:pPr>
      <w:r>
        <w:rPr>
          <w:rFonts w:ascii="Arial" w:cs="Arial" w:eastAsia="Arial" w:hAnsi="Arial"/>
          <w:sz w:val="18"/>
          <w:szCs w:val="18"/>
          <w:color w:val="auto"/>
        </w:rPr>
        <w:t>to each performance obligation based on its relative standalone selling price (SSP), which is based on a combination of observable prices or management’s best estimate of standalone selling price when an observable price is not available.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ARTAS</w:t>
      </w:r>
      <w:r>
        <w:rPr>
          <w:rFonts w:ascii="Arial" w:cs="Arial" w:eastAsia="Arial" w:hAnsi="Arial"/>
          <w:sz w:val="15"/>
          <w:szCs w:val="15"/>
          <w:color w:val="auto"/>
        </w:rPr>
        <w:t>®</w:t>
      </w:r>
      <w:r>
        <w:rPr>
          <w:rFonts w:ascii="Arial" w:cs="Arial" w:eastAsia="Arial" w:hAnsi="Arial"/>
          <w:sz w:val="18"/>
          <w:szCs w:val="18"/>
          <w:color w:val="auto"/>
        </w:rPr>
        <w:t xml:space="preserve"> and ARTAS</w:t>
      </w:r>
      <w:r>
        <w:rPr>
          <w:rFonts w:ascii="Arial" w:cs="Arial" w:eastAsia="Arial" w:hAnsi="Arial"/>
          <w:sz w:val="15"/>
          <w:szCs w:val="15"/>
          <w:color w:val="auto"/>
        </w:rPr>
        <w:t>®</w:t>
      </w:r>
      <w:r>
        <w:rPr>
          <w:rFonts w:ascii="Arial" w:cs="Arial" w:eastAsia="Arial" w:hAnsi="Arial"/>
          <w:sz w:val="18"/>
          <w:szCs w:val="18"/>
          <w:color w:val="auto"/>
        </w:rPr>
        <w:t xml:space="preserve"> iX Systems and consumables are performance obligations that are satisfied at a point in time (upon shipment), whereas ARTAS Care, product training, and marketing services are performance obligations that are satisfied over time (e.g. straight line over the performance period or as training and marketing services are performed).</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 as follows (in thousands):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2022 and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System related</w:t>
            </w:r>
          </w:p>
        </w:tc>
        <w:tc>
          <w:tcPr>
            <w:tcW w:w="1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Procedure-based</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Service-related fees</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9"/>
              </w:rPr>
              <w:t>25</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9"/>
              </w:rPr>
              <w:t>25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Freight Costs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Shipping and freight costs are treated as fulfillment costs. For shipments to end-customers, the customer bears the shipping and freight costs and has control of the product upon shipment. For shipments to distributors, the distributor bears the shipping and freight costs, including insurance, tariffs and other import/export costs. Additionally, sale taxes are excluded from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Company’s adoption of Topic 606, the Company elected to use the following practical expedients (i) not to adjust the promised amount of consideration for the effects of a significant financing component when the Company expects, at contract inception, that the period between the Company's transfer of a promised product or service to a customer and when the customer pays for that product or service will be one year or less;</w:t>
      </w:r>
    </w:p>
    <w:p>
      <w:pPr>
        <w:ind w:right="300" w:firstLine="6"/>
        <w:spacing w:after="0" w:line="261"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expense costs as incurred for costs to obtain a contract when the amortization period would have been one year or less; and (iii) not to recast revenue for contracts that begin and end in the same fiscal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Customer Contracts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Sales commissions and related expenses are considered incremental and recoverable costs of acquiring customer contracts. Except for sales commissions that would have been amortized in one year or less, which we have elected the practical expedient discussed above, certain sales commissions related to ARTAS Care and consumables that are sold bundled with the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are capitalized and amortized on a straight-line basis over the anticipated period of benefit, which we have estimated to be three years for ARTAS Care extended warranty service contracts and five years for consumables. We determined the period of benefit by taking into consideration the length of the customer contracts, the Company’s technology lifecycle, and other factors. Amortization expense is recorded in sales and marketing expense within the condensed consolidated statement of operations. As of March 31, 2019, short-term and long-term unamortized deferred compensation were $3 and $8, which are included in “Prepaid and other current assets” and “Other Assets,” respectively, on the condensed consolidated balance sheets.</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557"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Deferred Revenue (Remaining Performance Obligations)</w:t>
      </w:r>
    </w:p>
    <w:p>
      <w:pPr>
        <w:spacing w:after="0" w:line="225" w:lineRule="exact"/>
        <w:rPr>
          <w:sz w:val="20"/>
          <w:szCs w:val="20"/>
          <w:color w:val="auto"/>
        </w:rPr>
      </w:pPr>
    </w:p>
    <w:p>
      <w:pPr>
        <w:ind w:left="520" w:right="260"/>
        <w:spacing w:after="0" w:line="274" w:lineRule="auto"/>
        <w:rPr>
          <w:sz w:val="20"/>
          <w:szCs w:val="20"/>
          <w:color w:val="auto"/>
        </w:rPr>
      </w:pPr>
      <w:r>
        <w:rPr>
          <w:rFonts w:ascii="Arial" w:cs="Arial" w:eastAsia="Arial" w:hAnsi="Arial"/>
          <w:sz w:val="17"/>
          <w:szCs w:val="17"/>
          <w:color w:val="auto"/>
        </w:rPr>
        <w:t>The aggregate balance of remaining performance obligations represents contracted revenue that has not yet been recognized primarily from ARTAS Care extended warranty service contracts, product training and marketing services not yet rendered to customers.</w:t>
      </w:r>
    </w:p>
    <w:p>
      <w:pPr>
        <w:ind w:left="7800"/>
        <w:spacing w:after="0"/>
        <w:rPr>
          <w:sz w:val="20"/>
          <w:szCs w:val="20"/>
          <w:color w:val="auto"/>
        </w:rPr>
      </w:pPr>
      <w:r>
        <w:rPr>
          <w:rFonts w:ascii="Arial" w:cs="Arial" w:eastAsia="Arial" w:hAnsi="Arial"/>
          <w:sz w:val="18"/>
          <w:szCs w:val="18"/>
          <w:b w:val="1"/>
          <w:bCs w:val="1"/>
          <w:color w:val="auto"/>
        </w:rPr>
        <w:t>Three months ended March 31, 2019</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20"/>
        </w:trPr>
        <w:tc>
          <w:tcPr>
            <w:tcW w:w="7100" w:type="dxa"/>
            <w:vAlign w:val="bottom"/>
            <w:tcBorders>
              <w:right w:val="single" w:sz="8" w:color="CFF0FC"/>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7100" w:type="dxa"/>
            <w:vAlign w:val="bottom"/>
            <w:tcBorders>
              <w:right w:val="single" w:sz="8" w:color="CFF0FC"/>
            </w:tcBorders>
            <w:shd w:val="clear" w:color="auto" w:fill="CFF0FC"/>
          </w:tcPr>
          <w:p>
            <w:pPr>
              <w:ind w:left="120"/>
              <w:spacing w:after="0" w:line="203" w:lineRule="exact"/>
              <w:rPr>
                <w:sz w:val="20"/>
                <w:szCs w:val="20"/>
                <w:color w:val="auto"/>
              </w:rPr>
            </w:pPr>
            <w:r>
              <w:rPr>
                <w:rFonts w:ascii="Arial" w:cs="Arial" w:eastAsia="Arial" w:hAnsi="Arial"/>
                <w:sz w:val="18"/>
                <w:szCs w:val="18"/>
                <w:color w:val="auto"/>
              </w:rPr>
              <w:t>Balance at the beginning of the period</w:t>
            </w:r>
          </w:p>
        </w:tc>
        <w:tc>
          <w:tcPr>
            <w:tcW w:w="1360" w:type="dxa"/>
            <w:vAlign w:val="bottom"/>
            <w:shd w:val="clear" w:color="auto" w:fill="CFF0FC"/>
          </w:tcPr>
          <w:p>
            <w:pPr>
              <w:jc w:val="right"/>
              <w:ind w:right="125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30"/>
        </w:trPr>
        <w:tc>
          <w:tcPr>
            <w:tcW w:w="71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Recognition of deferred revenue</w:t>
            </w:r>
          </w:p>
        </w:tc>
        <w:tc>
          <w:tcPr>
            <w:tcW w:w="13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w:t>
            </w:r>
          </w:p>
        </w:tc>
      </w:tr>
      <w:tr>
        <w:trPr>
          <w:trHeight w:val="223"/>
        </w:trPr>
        <w:tc>
          <w:tcPr>
            <w:tcW w:w="7100" w:type="dxa"/>
            <w:vAlign w:val="bottom"/>
          </w:tcPr>
          <w:p>
            <w:pPr>
              <w:ind w:left="120"/>
              <w:spacing w:after="0"/>
              <w:rPr>
                <w:sz w:val="20"/>
                <w:szCs w:val="20"/>
                <w:color w:val="auto"/>
              </w:rPr>
            </w:pPr>
            <w:r>
              <w:rPr>
                <w:rFonts w:ascii="Arial" w:cs="Arial" w:eastAsia="Arial" w:hAnsi="Arial"/>
                <w:sz w:val="18"/>
                <w:szCs w:val="18"/>
                <w:color w:val="auto"/>
              </w:rPr>
              <w:t>Balance at the end of the period</w:t>
            </w:r>
          </w:p>
        </w:tc>
        <w:tc>
          <w:tcPr>
            <w:tcW w:w="1360" w:type="dxa"/>
            <w:vAlign w:val="bottom"/>
            <w:tcBorders>
              <w:top w:val="single" w:sz="8" w:color="auto"/>
            </w:tcBorders>
          </w:tcPr>
          <w:p>
            <w:pPr>
              <w:jc w:val="right"/>
              <w:ind w:right="1250"/>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r>
      <w:tr>
        <w:trPr>
          <w:trHeight w:val="230"/>
        </w:trPr>
        <w:tc>
          <w:tcPr>
            <w:tcW w:w="71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Deferred revenue - current</w:t>
            </w:r>
          </w:p>
        </w:tc>
        <w:tc>
          <w:tcPr>
            <w:tcW w:w="1360" w:type="dxa"/>
            <w:vAlign w:val="bottom"/>
            <w:shd w:val="clear" w:color="auto" w:fill="CFF0FC"/>
          </w:tcPr>
          <w:p>
            <w:pPr>
              <w:jc w:val="right"/>
              <w:ind w:right="125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ind w:left="120"/>
              <w:spacing w:after="0"/>
              <w:rPr>
                <w:sz w:val="20"/>
                <w:szCs w:val="20"/>
                <w:color w:val="auto"/>
              </w:rPr>
            </w:pPr>
            <w:r>
              <w:rPr>
                <w:rFonts w:ascii="Arial" w:cs="Arial" w:eastAsia="Arial" w:hAnsi="Arial"/>
                <w:sz w:val="18"/>
                <w:szCs w:val="18"/>
                <w:color w:val="auto"/>
              </w:rPr>
              <w:t>Deferred revenue - non-current (A)</w:t>
            </w:r>
          </w:p>
        </w:tc>
        <w:tc>
          <w:tcPr>
            <w:tcW w:w="13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Included in “Other long-term liabilities” on the condensed consolidated balance sheets as of March 31, 2019.</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520" w:right="400"/>
        <w:spacing w:after="0" w:line="264" w:lineRule="auto"/>
        <w:rPr>
          <w:sz w:val="20"/>
          <w:szCs w:val="20"/>
          <w:color w:val="auto"/>
        </w:rPr>
      </w:pPr>
      <w:r>
        <w:rPr>
          <w:rFonts w:ascii="Arial" w:cs="Arial" w:eastAsia="Arial" w:hAnsi="Arial"/>
          <w:sz w:val="18"/>
          <w:szCs w:val="18"/>
          <w:color w:val="auto"/>
        </w:rPr>
        <w:t>The Company disaggregates revenue from contracts with customers into geographical regions and by the timing of when goods and services are transferred. The Company determined that disaggregating revenue into these categories depicts how the nature, amount, timing and uncertainty of revenue and cash flows are affected by regional economic factors.</w:t>
      </w:r>
    </w:p>
    <w:p>
      <w:pPr>
        <w:spacing w:after="0" w:line="181"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The following tables provide information about disaggregated revenue from contracts with customers into geographic regions, and the nature of the products and services: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6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3,183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Europe and Middle East</w:t>
            </w: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w w:val="88"/>
              </w:rPr>
              <w:t>1,115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3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688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36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3"/>
              </w:rPr>
              <w:t>408</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36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5,394</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3680" w:type="dxa"/>
            <w:vAlign w:val="bottom"/>
            <w:tcBorders>
              <w:bottom w:val="single" w:sz="8" w:color="CFF0FC"/>
            </w:tcBorders>
            <w:gridSpan w:val="2"/>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3680" w:type="dxa"/>
            <w:vAlign w:val="bottom"/>
            <w:gridSpan w:val="2"/>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3,553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Procedure-based</w:t>
            </w: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w w:val="88"/>
              </w:rPr>
              <w:t>1,362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Service-related fees</w:t>
            </w:r>
          </w:p>
        </w:tc>
        <w:tc>
          <w:tcPr>
            <w:tcW w:w="3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6"/>
              </w:rPr>
              <w:t>479</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680" w:type="dxa"/>
            <w:vAlign w:val="bottom"/>
            <w:gridSpan w:val="2"/>
          </w:tcPr>
          <w:p>
            <w:pPr>
              <w:spacing w:after="0"/>
              <w:rPr>
                <w:sz w:val="19"/>
                <w:szCs w:val="19"/>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5,394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40" w:type="dxa"/>
            <w:vAlign w:val="bottom"/>
            <w:vMerge w:val="restart"/>
          </w:tcPr>
          <w:p>
            <w:pPr>
              <w:jc w:val="right"/>
              <w:ind w:right="173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common stock equivalents and are only included in the calculation of diluted net loss per share when their effect is dilutive.</w:t>
      </w:r>
    </w:p>
    <w:p>
      <w:pPr>
        <w:spacing w:after="0" w:line="188"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March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3,970,513</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1,950,853</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 for common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272,211</w:t>
            </w: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306,456</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potential dilutive shares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4,242,724</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2,257,309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Cash and cash equivalents, restricted cash, accounts receivable, accounts payable, and accrued liabilities approximate fair market value because of the short-term nature of those instruments. The Company’s Term Loan with Solar and Convertible Promissory Notes (both discussed further in Note 8) have fair values that approximate their carrying value.</w:t>
      </w:r>
    </w:p>
    <w:p>
      <w:pPr>
        <w:spacing w:after="0" w:line="181"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U.S. GAAP establishes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condensed consolidated financial statements and items disclosed at fair value in the notes to the condensed consolidated financial statements.</w:t>
      </w:r>
    </w:p>
    <w:p>
      <w:pPr>
        <w:spacing w:after="0" w:line="173" w:lineRule="exact"/>
        <w:rPr>
          <w:sz w:val="20"/>
          <w:szCs w:val="20"/>
          <w:color w:val="auto"/>
        </w:rPr>
      </w:pPr>
    </w:p>
    <w:p>
      <w:pPr>
        <w:ind w:left="520" w:right="420"/>
        <w:spacing w:after="0" w:line="312" w:lineRule="auto"/>
        <w:rPr>
          <w:sz w:val="20"/>
          <w:szCs w:val="20"/>
          <w:color w:val="auto"/>
        </w:rPr>
      </w:pPr>
      <w:r>
        <w:rPr>
          <w:rFonts w:ascii="Arial" w:cs="Arial" w:eastAsia="Arial" w:hAnsi="Arial"/>
          <w:sz w:val="16"/>
          <w:szCs w:val="16"/>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39" w:lineRule="exact"/>
        <w:rPr>
          <w:sz w:val="20"/>
          <w:szCs w:val="20"/>
          <w:color w:val="auto"/>
        </w:rPr>
      </w:pPr>
    </w:p>
    <w:p>
      <w:pPr>
        <w:ind w:left="1040" w:right="380"/>
        <w:spacing w:after="0" w:line="34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are available in active markets for identical assets or liabilities as of the report date. A quoted price for an identical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in an active market provides the most reliable fair value measurement because it is directly observable to the market.</w:t>
      </w:r>
    </w:p>
    <w:p>
      <w:pPr>
        <w:spacing w:after="0" w:line="16" w:lineRule="exact"/>
        <w:rPr>
          <w:sz w:val="20"/>
          <w:szCs w:val="20"/>
          <w:color w:val="auto"/>
        </w:rPr>
      </w:pPr>
    </w:p>
    <w:p>
      <w:pPr>
        <w:ind w:left="1040" w:right="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which are either directly or indirectly observable as of the report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these securities includes investments for which quoted prices are available but traded less frequently and investments that are fair valued using other securities, the parameters of which can be directly observed.</w:t>
      </w:r>
    </w:p>
    <w:p>
      <w:pPr>
        <w:spacing w:after="0" w:line="73" w:lineRule="exact"/>
        <w:rPr>
          <w:sz w:val="20"/>
          <w:szCs w:val="20"/>
          <w:color w:val="auto"/>
        </w:rPr>
      </w:pPr>
    </w:p>
    <w:p>
      <w:pPr>
        <w:ind w:left="1040" w:right="80"/>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Securities that have little to no pricing observability as of the report date. These securities are measured using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fair value, where the inputs into the determination of fair value are not observable and require significant management judgment or estimation.</w:t>
      </w:r>
    </w:p>
    <w:p>
      <w:pPr>
        <w:spacing w:after="0" w:line="181"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tables summarize the levels of fair value measurements of the Company’s cash equivalents: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b w:val="1"/>
                <w:bCs w:val="1"/>
                <w:color w:val="auto"/>
                <w:w w:val="93"/>
              </w:rPr>
              <w:t>Fair Value Measurements as of March 31,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9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220" w:type="dxa"/>
            <w:vAlign w:val="bottom"/>
          </w:tcPr>
          <w:p>
            <w:pPr>
              <w:spacing w:after="0"/>
              <w:rPr>
                <w:sz w:val="12"/>
                <w:szCs w:val="12"/>
                <w:color w:val="auto"/>
              </w:rPr>
            </w:pPr>
          </w:p>
        </w:tc>
        <w:tc>
          <w:tcPr>
            <w:tcW w:w="920" w:type="dxa"/>
            <w:vAlign w:val="bottom"/>
            <w:gridSpan w:val="3"/>
          </w:tcPr>
          <w:p>
            <w:pPr>
              <w:jc w:val="center"/>
              <w:ind w:left="10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13,715</w:t>
            </w:r>
          </w:p>
        </w:tc>
        <w:tc>
          <w:tcPr>
            <w:tcW w:w="4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3"/>
          </w:tcPr>
          <w:p>
            <w:pPr>
              <w:ind w:left="5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8"/>
          </w:tcPr>
          <w:p>
            <w:pPr>
              <w:jc w:val="center"/>
              <w:ind w:left="862"/>
              <w:spacing w:after="0"/>
              <w:rPr>
                <w:sz w:val="20"/>
                <w:szCs w:val="20"/>
                <w:color w:val="auto"/>
              </w:rPr>
            </w:pPr>
            <w:r>
              <w:rPr>
                <w:rFonts w:ascii="Arial" w:cs="Arial" w:eastAsia="Arial" w:hAnsi="Arial"/>
                <w:sz w:val="14"/>
                <w:szCs w:val="14"/>
                <w:b w:val="1"/>
                <w:bCs w:val="1"/>
                <w:color w:val="auto"/>
                <w:w w:val="92"/>
              </w:rPr>
              <w:t>Fair Value Measurements as of December 31, 2018</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9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220" w:type="dxa"/>
            <w:vAlign w:val="bottom"/>
          </w:tcPr>
          <w:p>
            <w:pPr>
              <w:spacing w:after="0"/>
              <w:rPr>
                <w:sz w:val="12"/>
                <w:szCs w:val="12"/>
                <w:color w:val="auto"/>
              </w:rPr>
            </w:pPr>
          </w:p>
        </w:tc>
        <w:tc>
          <w:tcPr>
            <w:tcW w:w="920" w:type="dxa"/>
            <w:vAlign w:val="bottom"/>
            <w:gridSpan w:val="3"/>
          </w:tcPr>
          <w:p>
            <w:pPr>
              <w:jc w:val="center"/>
              <w:ind w:left="10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13,968</w:t>
            </w:r>
          </w:p>
        </w:tc>
        <w:tc>
          <w:tcPr>
            <w:tcW w:w="4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3"/>
          </w:tcPr>
          <w:p>
            <w:pPr>
              <w:ind w:left="5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BALANCE SHEET COMPONENTS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ind w:left="520"/>
              <w:spacing w:after="0"/>
              <w:rPr>
                <w:sz w:val="20"/>
                <w:szCs w:val="20"/>
                <w:color w:val="auto"/>
              </w:rPr>
            </w:pPr>
            <w:r>
              <w:rPr>
                <w:rFonts w:ascii="Arial" w:cs="Arial" w:eastAsia="Arial" w:hAnsi="Arial"/>
                <w:sz w:val="18"/>
                <w:szCs w:val="18"/>
                <w:b w:val="1"/>
                <w:bCs w:val="1"/>
                <w:i w:val="1"/>
                <w:iCs w:val="1"/>
                <w:color w:val="auto"/>
              </w:rPr>
              <w:t>Inventory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ind w:left="520"/>
              <w:spacing w:after="0"/>
              <w:rPr>
                <w:sz w:val="20"/>
                <w:szCs w:val="20"/>
                <w:color w:val="auto"/>
              </w:rPr>
            </w:pPr>
            <w:r>
              <w:rPr>
                <w:rFonts w:ascii="Arial" w:cs="Arial" w:eastAsia="Arial" w:hAnsi="Arial"/>
                <w:sz w:val="18"/>
                <w:szCs w:val="18"/>
                <w:color w:val="auto"/>
              </w:rPr>
              <w:t>Inventory consists of the following: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left="144"/>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left="5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2,114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right w:val="single" w:sz="8" w:color="CFF0FC"/>
            </w:tcBorders>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2,464</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8"/>
                <w:szCs w:val="18"/>
                <w:color w:val="auto"/>
              </w:rPr>
              <w:t>323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3,001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2,735</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5,207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5,522</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net consist of the following: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gridSpan w:val="2"/>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7"/>
              </w:rPr>
              <w:t>3,844</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3,531</w:t>
            </w: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80" w:type="dxa"/>
            <w:vAlign w:val="bottom"/>
            <w:tcBorders>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457</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7"/>
              </w:rPr>
              <w:t>6,085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Borders>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(4,614)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(4,464)</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7"/>
              </w:rPr>
              <w:t>1,471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$149 and $132 for three months ended March 31, 2019 and 2018, respectively.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57" w:right="799" w:bottom="1440" w:gutter="0" w:footer="0" w:header="0"/>
        </w:sectPr>
      </w:pPr>
    </w:p>
    <w:bookmarkStart w:id="16" w:name="page17"/>
    <w:bookmarkEnd w:id="16"/>
    <w:p>
      <w:pPr>
        <w:ind w:left="512" w:right="7780" w:hanging="512"/>
        <w:spacing w:after="0" w:line="378" w:lineRule="auto"/>
        <w:tabs>
          <w:tab w:leader="none" w:pos="17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left="512" w:right="400"/>
        <w:spacing w:after="0" w:line="264" w:lineRule="auto"/>
        <w:rPr>
          <w:sz w:val="20"/>
          <w:szCs w:val="20"/>
          <w:color w:val="auto"/>
        </w:rPr>
      </w:pPr>
      <w:r>
        <w:rPr>
          <w:rFonts w:ascii="Arial" w:cs="Arial" w:eastAsia="Arial" w:hAnsi="Arial"/>
          <w:sz w:val="18"/>
          <w:szCs w:val="18"/>
          <w:color w:val="auto"/>
        </w:rPr>
        <w:t>The Company has various operating leases including 23,000 square feet of office space and 2,500 square feet of manufacturing space in San Jose, California, which expire in April 2022 and April 2019, respectively. After April 2019, our manufacturing space is on a month-to-month lease arrangement.</w:t>
      </w:r>
    </w:p>
    <w:p>
      <w:pPr>
        <w:spacing w:after="0" w:line="181"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Aggregate future minimum lease payments required under the Company’s operating leases as of March 31, 2019 are as follows:</w:t>
      </w:r>
    </w:p>
    <w:p>
      <w:pPr>
        <w:spacing w:after="0" w:line="222" w:lineRule="exact"/>
        <w:rPr>
          <w:sz w:val="20"/>
          <w:szCs w:val="20"/>
          <w:color w:val="auto"/>
        </w:rPr>
      </w:pPr>
    </w:p>
    <w:tbl>
      <w:tblPr>
        <w:tblLayout w:type="fixed"/>
        <w:tblInd w:w="2292"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(remaining 9 months)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2020</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34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Total rent expense was $163 and $103 for three months ended March 31, 2019 and 2018, respectively.</w:t>
      </w:r>
    </w:p>
    <w:p>
      <w:pPr>
        <w:spacing w:after="0" w:line="33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512"/>
        <w:spacing w:after="0" w:line="291" w:lineRule="auto"/>
        <w:rPr>
          <w:sz w:val="20"/>
          <w:szCs w:val="20"/>
          <w:color w:val="auto"/>
        </w:rPr>
      </w:pPr>
      <w:r>
        <w:rPr>
          <w:rFonts w:ascii="Arial" w:cs="Arial" w:eastAsia="Arial" w:hAnsi="Arial"/>
          <w:sz w:val="16"/>
          <w:szCs w:val="16"/>
          <w:color w:val="auto"/>
        </w:rPr>
        <w:t>The Company has two master agreements and a component pricing agreement with Evolve Manufacturing Technologies, Inc. (Evolve) for the supply of the ARTAS</w:t>
      </w:r>
      <w:r>
        <w:rPr>
          <w:rFonts w:ascii="Arial" w:cs="Arial" w:eastAsia="Arial" w:hAnsi="Arial"/>
          <w:sz w:val="13"/>
          <w:szCs w:val="13"/>
          <w:color w:val="auto"/>
        </w:rPr>
        <w:t>®</w:t>
      </w:r>
      <w:r>
        <w:rPr>
          <w:rFonts w:ascii="Arial" w:cs="Arial" w:eastAsia="Arial" w:hAnsi="Arial"/>
          <w:sz w:val="16"/>
          <w:szCs w:val="16"/>
          <w:color w:val="auto"/>
        </w:rPr>
        <w:t xml:space="preserve"> System and consumable products. The terms of these master agreements are substantially similar. The master agreement for the sale of ARTAS</w:t>
      </w:r>
      <w:r>
        <w:rPr>
          <w:rFonts w:ascii="Arial" w:cs="Arial" w:eastAsia="Arial" w:hAnsi="Arial"/>
          <w:sz w:val="13"/>
          <w:szCs w:val="13"/>
          <w:color w:val="auto"/>
        </w:rPr>
        <w:t>®</w:t>
      </w:r>
      <w:r>
        <w:rPr>
          <w:rFonts w:ascii="Arial" w:cs="Arial" w:eastAsia="Arial" w:hAnsi="Arial"/>
          <w:sz w:val="16"/>
          <w:szCs w:val="16"/>
          <w:color w:val="auto"/>
        </w:rPr>
        <w:t xml:space="preserve">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up to $285 as of March 31, 2019.</w:t>
      </w:r>
    </w:p>
    <w:p>
      <w:pPr>
        <w:spacing w:after="0" w:line="167" w:lineRule="exact"/>
        <w:rPr>
          <w:sz w:val="20"/>
          <w:szCs w:val="20"/>
          <w:color w:val="auto"/>
        </w:rPr>
      </w:pPr>
    </w:p>
    <w:p>
      <w:pPr>
        <w:ind w:left="512"/>
        <w:spacing w:after="0" w:line="254" w:lineRule="auto"/>
        <w:rPr>
          <w:sz w:val="20"/>
          <w:szCs w:val="20"/>
          <w:color w:val="auto"/>
        </w:rPr>
      </w:pPr>
      <w:r>
        <w:rPr>
          <w:rFonts w:ascii="Arial" w:cs="Arial" w:eastAsia="Arial" w:hAnsi="Arial"/>
          <w:sz w:val="18"/>
          <w:szCs w:val="18"/>
          <w:color w:val="auto"/>
        </w:rPr>
        <w:t>In March 2018, the Company received U.S. FDA 510(k) clearance to expand the ARTAS</w:t>
      </w:r>
      <w:r>
        <w:rPr>
          <w:rFonts w:ascii="Arial" w:cs="Arial" w:eastAsia="Arial" w:hAnsi="Arial"/>
          <w:sz w:val="15"/>
          <w:szCs w:val="15"/>
          <w:color w:val="auto"/>
        </w:rPr>
        <w:t>®</w:t>
      </w:r>
      <w:r>
        <w:rPr>
          <w:rFonts w:ascii="Arial" w:cs="Arial" w:eastAsia="Arial" w:hAnsi="Arial"/>
          <w:sz w:val="18"/>
          <w:szCs w:val="18"/>
          <w:color w:val="auto"/>
        </w:rPr>
        <w:t xml:space="preserve"> System technology to include an implantation functionality, referred to as ARTAS</w:t>
      </w:r>
      <w:r>
        <w:rPr>
          <w:rFonts w:ascii="Arial" w:cs="Arial" w:eastAsia="Arial" w:hAnsi="Arial"/>
          <w:sz w:val="15"/>
          <w:szCs w:val="15"/>
          <w:color w:val="auto"/>
        </w:rPr>
        <w:t>®</w:t>
      </w:r>
      <w:r>
        <w:rPr>
          <w:rFonts w:ascii="Arial" w:cs="Arial" w:eastAsia="Arial" w:hAnsi="Arial"/>
          <w:sz w:val="18"/>
          <w:szCs w:val="18"/>
          <w:color w:val="auto"/>
        </w:rPr>
        <w:t xml:space="preserve"> iX. Based on manufacturing changes associated with the ARTAS</w:t>
      </w:r>
      <w:r>
        <w:rPr>
          <w:rFonts w:ascii="Arial" w:cs="Arial" w:eastAsia="Arial" w:hAnsi="Arial"/>
          <w:sz w:val="15"/>
          <w:szCs w:val="15"/>
          <w:color w:val="auto"/>
        </w:rPr>
        <w:t>®</w:t>
      </w:r>
      <w:r>
        <w:rPr>
          <w:rFonts w:ascii="Arial" w:cs="Arial" w:eastAsia="Arial" w:hAnsi="Arial"/>
          <w:sz w:val="18"/>
          <w:szCs w:val="18"/>
          <w:color w:val="auto"/>
        </w:rPr>
        <w:t xml:space="preserve"> iX System, the Company determined that certain components procured or expected to be procured by Evolve, will be in excess of expected demand or usage based on the advance notice the Company provided to Evolve under the term of the agreement mentioned above. Additionally, in the fourth quarter of 2018, the Company recorded a $188 charge related to other excess purchase commitments from another vendor based on cost reduction changes in 2019. Although the Company will be taking steps to minimize the adverse impact on the Company’s business, based on information available as of March 31, 2019, the Company’s management recorded a loss contingency accrual of $473 which is included in “Other accrued liabilities” on the condensed consolidated balance sheets as of March 31, 2019.</w:t>
      </w:r>
    </w:p>
    <w:p>
      <w:pPr>
        <w:spacing w:after="0" w:line="30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17" w:lineRule="exact"/>
        <w:rPr>
          <w:sz w:val="20"/>
          <w:szCs w:val="20"/>
          <w:color w:val="auto"/>
        </w:rPr>
      </w:pPr>
    </w:p>
    <w:p>
      <w:pPr>
        <w:ind w:left="512" w:right="320"/>
        <w:spacing w:after="0" w:line="276" w:lineRule="auto"/>
        <w:rPr>
          <w:sz w:val="20"/>
          <w:szCs w:val="20"/>
          <w:color w:val="auto"/>
        </w:rPr>
      </w:pPr>
      <w:r>
        <w:rPr>
          <w:rFonts w:ascii="Arial" w:cs="Arial" w:eastAsia="Arial" w:hAnsi="Arial"/>
          <w:sz w:val="17"/>
          <w:szCs w:val="17"/>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perpetual license to a patent subject to this license agreement.</w:t>
      </w:r>
    </w:p>
    <w:p>
      <w:pPr>
        <w:spacing w:after="0" w:line="173" w:lineRule="exact"/>
        <w:rPr>
          <w:sz w:val="20"/>
          <w:szCs w:val="20"/>
          <w:color w:val="auto"/>
        </w:rPr>
      </w:pPr>
    </w:p>
    <w:p>
      <w:pPr>
        <w:ind w:left="512" w:right="60"/>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86"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20" w:right="80"/>
        <w:spacing w:after="0" w:line="312" w:lineRule="auto"/>
        <w:rPr>
          <w:sz w:val="20"/>
          <w:szCs w:val="20"/>
          <w:color w:val="auto"/>
        </w:rPr>
      </w:pPr>
      <w:r>
        <w:rPr>
          <w:rFonts w:ascii="Arial" w:cs="Arial" w:eastAsia="Arial" w:hAnsi="Arial"/>
          <w:sz w:val="16"/>
          <w:szCs w:val="16"/>
          <w:color w:val="auto"/>
        </w:rPr>
        <w:t>From time to time the Company is involved in litigation arising out of claims in the normal course of business. Based on the information presently available, management believes that there are no claims or actions pending or threatened against the Company, the ultimate resolution of which will have a material effect on the Company’s financial position, liquidity or results of operations, although the results of litigation are inherently uncertain.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Purported Shareholder Class Action</w:t>
      </w:r>
    </w:p>
    <w:p>
      <w:pPr>
        <w:spacing w:after="0" w:line="117" w:lineRule="exact"/>
        <w:rPr>
          <w:sz w:val="20"/>
          <w:szCs w:val="20"/>
          <w:color w:val="auto"/>
        </w:rPr>
      </w:pPr>
    </w:p>
    <w:p>
      <w:pPr>
        <w:ind w:left="520" w:right="60"/>
        <w:spacing w:after="0" w:line="268" w:lineRule="auto"/>
        <w:rPr>
          <w:sz w:val="20"/>
          <w:szCs w:val="20"/>
          <w:color w:val="auto"/>
        </w:rPr>
      </w:pPr>
      <w:r>
        <w:rPr>
          <w:rFonts w:ascii="Arial" w:cs="Arial" w:eastAsia="Arial" w:hAnsi="Arial"/>
          <w:sz w:val="17"/>
          <w:szCs w:val="17"/>
          <w:color w:val="auto"/>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the Company as defendants, and certain of its current and former executive officers and directors, certain of its venture capital investors and the underwriters in the Company’s IPO. The Yzeiraj complaint names the Company as defendants and certain of its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the Company’s Registration Statement filed with the SEC on September 1, 2017 and the Prospectus filed with the SEC on October 13, 2017 in connection with the Company’s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88" w:lineRule="exact"/>
        <w:rPr>
          <w:sz w:val="20"/>
          <w:szCs w:val="20"/>
          <w:color w:val="auto"/>
        </w:rPr>
      </w:pPr>
    </w:p>
    <w:p>
      <w:pPr>
        <w:ind w:left="520"/>
        <w:spacing w:after="0" w:line="253" w:lineRule="auto"/>
        <w:rPr>
          <w:sz w:val="20"/>
          <w:szCs w:val="20"/>
          <w:color w:val="auto"/>
        </w:rPr>
      </w:pPr>
      <w:r>
        <w:rPr>
          <w:rFonts w:ascii="Arial" w:cs="Arial" w:eastAsia="Arial" w:hAnsi="Arial"/>
          <w:sz w:val="18"/>
          <w:szCs w:val="18"/>
          <w:color w:val="auto"/>
        </w:rPr>
        <w:t>On August 8, 2018, the Company, along with certain of its current and former executive officers and directors, filed a motion to dismiss the Wong complaint based on the forum selection clause designating the federal district courts as the exclusive forum for claims arising under the Securities Act contained in the Company’s Amended and Restated Certificate of Incorporation, and which asked the court in the alternative to stay the Wong action. Also, on August 8, 2018, the venture capital investor and underwriters’ defendants in the Wong action filed demurrers to the Wong complaint, and the Company, along with certain of its current and former executive officers and directors, joined in the venture capital investor defendants’ demurrer. A hearing on the Company’s motion to dismiss and the demurrers to the Wong complaint was held on October 24, 2018. On October 25, 2018, the Court ordered the defendants’ demurrers to the complaint sustained with leave to amend and granted an extension of time for plaintiff to serve a First Amended Complaint until further order of the Court. On January 31, 2019, the Court stayed the case and stayed any decision on the Company’s motion to dismiss on forum selection grounds pending resolution of an appeal of Sciabacucchi v. Salzberg, a case addressing similar issues in Delaware.</w:t>
      </w:r>
    </w:p>
    <w:p>
      <w:pPr>
        <w:spacing w:after="0" w:line="195" w:lineRule="exact"/>
        <w:rPr>
          <w:sz w:val="20"/>
          <w:szCs w:val="20"/>
          <w:color w:val="auto"/>
        </w:rPr>
      </w:pPr>
    </w:p>
    <w:p>
      <w:pPr>
        <w:ind w:left="520" w:right="40"/>
        <w:spacing w:after="0" w:line="270" w:lineRule="auto"/>
        <w:rPr>
          <w:sz w:val="20"/>
          <w:szCs w:val="20"/>
          <w:color w:val="auto"/>
        </w:rPr>
      </w:pPr>
      <w:r>
        <w:rPr>
          <w:rFonts w:ascii="Arial" w:cs="Arial" w:eastAsia="Arial" w:hAnsi="Arial"/>
          <w:sz w:val="17"/>
          <w:szCs w:val="17"/>
          <w:color w:val="auto"/>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On November 30, 2018, Lead Plaintiff Edgardo Guerrini filed a Consolidated Amended Complaint for violations of federal securities laws asserting the same claims, against the same defendants, as his original complaint but adding certain allegations in support of those claims. On January 29, 2019, the Company, along with certain of its current and former executive officers and directors, filed a motion to dismiss the Consolidated Amended Complaint for failure to state a claim under Federal Rule of Civil Procedure 12(b)(6). The venture capital defendants and underwriter defendants filed joinders to the Company’s motion to dismiss on the same day. A hearing on the Company’s motion to dismiss is scheduled for July 11, 2019. The Company is unable to predict the date on which the District Court will issue any decision on the motion to dismiss at this time.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these lawsuits are without merit and management intends to vigorously defend against these claims.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Issuance of Related Party Convertible Promissory Notes</w:t>
      </w:r>
    </w:p>
    <w:p>
      <w:pPr>
        <w:spacing w:after="0" w:line="117" w:lineRule="exact"/>
        <w:rPr>
          <w:sz w:val="20"/>
          <w:szCs w:val="20"/>
          <w:color w:val="auto"/>
        </w:rPr>
      </w:pPr>
    </w:p>
    <w:p>
      <w:pPr>
        <w:jc w:val="both"/>
        <w:ind w:left="520" w:right="120"/>
        <w:spacing w:after="0" w:line="312" w:lineRule="auto"/>
        <w:rPr>
          <w:sz w:val="20"/>
          <w:szCs w:val="20"/>
          <w:color w:val="auto"/>
        </w:rPr>
      </w:pPr>
      <w:r>
        <w:rPr>
          <w:rFonts w:ascii="Arial" w:cs="Arial" w:eastAsia="Arial" w:hAnsi="Arial"/>
          <w:sz w:val="16"/>
          <w:szCs w:val="16"/>
          <w:color w:val="auto"/>
        </w:rPr>
        <w:t>On February 28, 2019, the Company entered into a Note Purchase Agreement pursuant to which the Company raised $5,000 through the issuance of two unsecured subordinated convertible promissory notes (the Notes) to Frederic Moll, M.D., one of the Company’s directors, and Interwest Partners IX, LP, one of the Company’s stockholders affiliated with Gil Kliman, M.D., one of the Company’s directors (together, the Investors).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ind w:right="100"/>
        <w:spacing w:after="0" w:line="264" w:lineRule="auto"/>
        <w:rPr>
          <w:sz w:val="20"/>
          <w:szCs w:val="20"/>
          <w:color w:val="auto"/>
        </w:rPr>
      </w:pPr>
      <w:r>
        <w:rPr>
          <w:rFonts w:ascii="Arial" w:cs="Arial" w:eastAsia="Arial" w:hAnsi="Arial"/>
          <w:sz w:val="18"/>
          <w:szCs w:val="18"/>
          <w:color w:val="auto"/>
        </w:rPr>
        <w:t>The maturity date of the Notes is August 28, 2020 (the Maturity Date). The Notes bear interest on the unpaid principal amount at a rate of eight percent (8.0%) per annum from the date of issuance. The Notes are unsecured and subordinate in priority to the Company’s existing obligations under the Solar Agreement.</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of the outstanding principal and unpaid accrued interest on the Notes will automatically be converted into shares of the same class and series of capital stock of the Company issued to other investors in any Qualified Financing to occur after the date of the Notes, at a conversion price equal to the price per share of the securities of the Company sold in such Qualified Financing. A “Qualified Financing” means the first issuance or series of related issuances of capital stock of the Company after the date of the Notes with gross proceeds to the Company of at least $20,000. The Company anticipates that the potential Equity Financing discussed above will constitute a Qualified Financing. Upon the occurrence of certain events of default or the Maturity Date, the Notes require the Company to repay the principal amount of the Notes and any unpaid accrued interest. Issuance costs associated with the Notes were not significant and accrued interest of $35 through March 31, 2019 is reported in “Other Long-Term Liabilities” on the condensed consolidated balance sheets.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 May 2018, the Company entered into a Loan and Security Agreement and as subsequently amended (the Solar Agreement) with Solar Capital Ltd. (Solar) and certain other lenders thereunder (together with Solar, the Lenders), and Solar, as the Collateral Agent. The Solar Agreement consists of a four-year term loan for an aggregate principal amount of $20,000 (the Borrowings), for working capital, to fund the Company’s general business requirements and to repay indebtedness of the Company to Oxford Finance LLC (the Oxford Agreement). The Company used $10,085 of the loan proceeds to repay the outstanding principal of $8,667, a final payment fee of $1,300 plus accrued interest and prepayment fees of $118 under the Oxford Agreement. The Borrowings under the Solar Agreement bear interest through maturity at a rate equal to the U.S. Dollar LIBOR rate plus</w:t>
      </w:r>
    </w:p>
    <w:p>
      <w:pPr>
        <w:spacing w:after="0" w:line="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7.95% per annum (the Interest Rate). The outstanding balance on the loan was $20,000 and accrued interest totaled $180 as of March 31, 2019. The Interest Rate was 10.1% at March 31, 2019.</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terms of the Solar Agreement, the Company shall make interest only payments until December 1, 2019 (the Interest Only Period). The Interest Only Period may be extended up to three additional months, if the Company achieves certain revenue and capital fundraising thresholds. Following cessation of the Interest Only Period, the Company shall make equal monthly payments on the outstanding principal balance of the Borrowings and any unpaid and accrued interest such that the Borrowings shall be fully repaid on May 1, 2022.</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addition, pursuant to the Solar Agreement, the Company issued the Lenders warrants (the Warrants) to purchase an aggregate of 161,725 shares of the Company’s common stock, $0.0001 par value per share, at an exercise price of $3.71 per share. The Warrants were immediately exercisable upon issuance, and excluding certain mergers or acquisitions, will expire on the ten-year anniversary of the date of issuance. The fair value of the Warrants issued was determined to be $404 using a Black-Scholes valuation model with the following assumptions: common stock price at issuance of $3.71 per share; exercise price of $3.71; risk-free interest rate of 2.97% based upon observed risk-free interest rates; expected volatility of 55.50%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condensed consolidated balance sheet. The debt discount is being amortized as interest expense over the term of the Solar Agreement, using the effective interest method.</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third-party transaction costs (not paid directly to the lenders) related to the debt of $404 are accounted for as a debt discount and classified within notes payable on the Company’s condensed consolidated balance sheet and amortized as interest expense over the term of the loan using the effective interest method. Unamortized debt discounts related to the Oxford Agreement and all fees paid directly to Solar and Oxford totaling $505 in connection with the debt financing in May 2018 were written off to “Other income (expense), net” in the condensed consolidated statements of operations.</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obligations under the Solar Agreement are secured by a lien on substantially all the Company’s property. The Solar Agreement contains certain affirmative covenants, negative covenants and events of default, including, covenants and restrictions that among other things, require the Company and its subsidiary to satisfy certain financial covenants including covenants requiring the Company to satisfy certain revenue and liquidity thresholds, and restricts the ability of the Company and its subsidiary’s ability to, incur liens, incur additional indebtedness, make loans and investments, engage in mergers and acquisitions, engage in asset sales or sale and leaseback transactions, and declare dividends or redeem or repurchase capital stock. A failure to comply with these covenants could permit the Lenders under the Solar Agreement to declare the Borrowings, together with accrued but unpaid interest and certain Prepayment Fees, to be immediately due and payable. On November 2, 2018, the Solar Agreement was amended to modify the compliance requirement for certain revenue and liquidity thresholds. As part of this amendment, the Company paid a fee of $50 to the Lenders and cancelled 161,725 Warrants (originally issued in May 2018, as mentioned above) and issued 161,725 new warrants of the Company’s common stock, $0.0001 par value per share, at an exercise price of $1.76 per share. All other terms of the Warrants were unchanged.</w:t>
      </w:r>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49" w:right="239" w:bottom="1440" w:gutter="0" w:footer="0" w:header="0"/>
        </w:sectPr>
      </w:pPr>
    </w:p>
    <w:bookmarkStart w:id="19" w:name="page20"/>
    <w:bookmarkEnd w:id="19"/>
    <w:p>
      <w:pPr>
        <w:ind w:left="520" w:right="220"/>
        <w:spacing w:after="0" w:line="293" w:lineRule="auto"/>
        <w:rPr>
          <w:sz w:val="20"/>
          <w:szCs w:val="20"/>
          <w:color w:val="auto"/>
        </w:rPr>
      </w:pPr>
      <w:r>
        <w:rPr>
          <w:rFonts w:ascii="Arial" w:cs="Arial" w:eastAsia="Arial" w:hAnsi="Arial"/>
          <w:sz w:val="16"/>
          <w:szCs w:val="16"/>
          <w:color w:val="auto"/>
        </w:rPr>
        <w:t>On February 13, 2019, the Company entered into a Third Amendment to the Loan and Security Agreement (the Third Amendment), which amended the Solar Agreement with the Lenders. Pursuant to the terms of the Third Amendment, the Solar Agreement was amended to modify the compliance requirement for certain liquidity thresholds to provide the Company with additional flexibility. As part of the Third Amendment, the Final Fee (as defined in the Solar Agreement) that is payable to the Lenders upon prepayment, default and maturity of the Solar Agreement, was amended and increased to $960. In addition, the Solar Agreement was amended to include certain additional changes to covenants covering certain operational milestones. As of March 31, 2019, the Company was in compliance with all covenants under the Solar Agreement, as amended.</w:t>
      </w:r>
    </w:p>
    <w:p>
      <w:pPr>
        <w:spacing w:after="0" w:line="165" w:lineRule="exact"/>
        <w:rPr>
          <w:sz w:val="20"/>
          <w:szCs w:val="20"/>
          <w:color w:val="auto"/>
        </w:rPr>
      </w:pPr>
    </w:p>
    <w:p>
      <w:pPr>
        <w:ind w:left="520" w:right="200"/>
        <w:spacing w:after="0" w:line="279" w:lineRule="auto"/>
        <w:rPr>
          <w:sz w:val="20"/>
          <w:szCs w:val="20"/>
          <w:color w:val="auto"/>
        </w:rPr>
      </w:pPr>
      <w:r>
        <w:rPr>
          <w:rFonts w:ascii="Arial" w:cs="Arial" w:eastAsia="Arial" w:hAnsi="Arial"/>
          <w:sz w:val="17"/>
          <w:szCs w:val="17"/>
          <w:color w:val="auto"/>
        </w:rPr>
        <w:t>The Company is also required to make mandatory prepayments of the Borrowings, subject to specified exceptions, upon defaulting on any payments of principal or interest on the Borrowings, the occurrence of certain specified defaults of the covenants in the Solar Agreement, the occurrence of a material adverse change in the business, operations or conditions of the Company and specified other events (each, an Event of Default). Upon the occurrence and continuation of an Event of Default, the Borrowings shall accrue at the Interest Rate plus 4.0%.</w:t>
      </w:r>
    </w:p>
    <w:p>
      <w:pPr>
        <w:spacing w:after="0" w:line="171" w:lineRule="exact"/>
        <w:rPr>
          <w:sz w:val="20"/>
          <w:szCs w:val="20"/>
          <w:color w:val="auto"/>
        </w:rPr>
      </w:pPr>
    </w:p>
    <w:p>
      <w:pPr>
        <w:ind w:left="520" w:right="440"/>
        <w:spacing w:after="0" w:line="291" w:lineRule="auto"/>
        <w:rPr>
          <w:sz w:val="20"/>
          <w:szCs w:val="20"/>
          <w:color w:val="auto"/>
        </w:rPr>
      </w:pPr>
      <w:r>
        <w:rPr>
          <w:rFonts w:ascii="Arial" w:cs="Arial" w:eastAsia="Arial" w:hAnsi="Arial"/>
          <w:sz w:val="16"/>
          <w:szCs w:val="16"/>
          <w:color w:val="auto"/>
        </w:rPr>
        <w:t>If all or any of the Borrowings are prepaid or required to be prepaid under the Solar Agreement, then the Company shall pay, in addition to such prepayment, a prepayment premium (the Prepayment Premium) equal to (i) with respect to any such prepayment paid on or prior to May 1, 2019,</w:t>
      </w:r>
    </w:p>
    <w:p>
      <w:pPr>
        <w:ind w:left="520" w:right="200"/>
        <w:spacing w:after="0" w:line="254" w:lineRule="auto"/>
        <w:rPr>
          <w:sz w:val="20"/>
          <w:szCs w:val="20"/>
          <w:color w:val="auto"/>
        </w:rPr>
      </w:pPr>
      <w:r>
        <w:rPr>
          <w:rFonts w:ascii="Arial" w:cs="Arial" w:eastAsia="Arial" w:hAnsi="Arial"/>
          <w:sz w:val="18"/>
          <w:szCs w:val="18"/>
          <w:color w:val="auto"/>
        </w:rPr>
        <w:t>3.0% of the principal amount of the Borrowings being prepaid, (ii) with respect to any prepayments paid after May 1, 2019 but on or prior to May 1, 2020, 2.0% of the principal amount of the Borrowings being prepaid and (iii) with respect to any prepayments paid after May 1, 2020 but on or prior to May 1, 2021, 1.0% of the principal amount of the Borrowings being prepaid. Notwithstanding the foregoing, if the Lenders each participate in a refinancing of the Borrowings, then the Prepayment Premium shall be 0%.</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on the outstanding borrowings as of March 31, 2019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(remaining 9 months)</w:t>
            </w: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2020</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portion</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Reported as:</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non-current portion</w:t>
            </w:r>
          </w:p>
        </w:tc>
        <w:tc>
          <w:tcPr>
            <w:tcW w:w="1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 RESERVED FOR ISSUANCE</w:t>
      </w:r>
    </w:p>
    <w:p>
      <w:pPr>
        <w:spacing w:after="0" w:line="121" w:lineRule="exact"/>
        <w:rPr>
          <w:sz w:val="20"/>
          <w:szCs w:val="20"/>
          <w:color w:val="auto"/>
        </w:rPr>
      </w:pPr>
    </w:p>
    <w:p>
      <w:pPr>
        <w:ind w:left="520" w:right="380"/>
        <w:spacing w:after="0" w:line="342" w:lineRule="auto"/>
        <w:rPr>
          <w:sz w:val="20"/>
          <w:szCs w:val="20"/>
          <w:color w:val="auto"/>
        </w:rPr>
      </w:pPr>
      <w:r>
        <w:rPr>
          <w:rFonts w:ascii="Arial" w:cs="Arial" w:eastAsia="Arial" w:hAnsi="Arial"/>
          <w:sz w:val="16"/>
          <w:szCs w:val="16"/>
          <w:color w:val="auto"/>
        </w:rPr>
        <w:t>The Company is required to reserve and keep available out of its authorized but unissued shares of common stock a number of shares sufficient to affect the conversion of all outstanding common stock warrants, plus options granted and available for grant under the incentive plans.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8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9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272,211</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272,211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Outstanding and issued stock options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3,970,513</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3,989,432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option grants</w:t>
            </w:r>
          </w:p>
        </w:tc>
        <w:tc>
          <w:tcPr>
            <w:tcW w:w="3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1,069,271</w:t>
            </w:r>
          </w:p>
        </w:tc>
        <w:tc>
          <w:tcPr>
            <w:tcW w:w="200" w:type="dxa"/>
            <w:vAlign w:val="bottom"/>
            <w:shd w:val="clear" w:color="auto" w:fill="CFF0FC"/>
          </w:tcPr>
          <w:p>
            <w:pPr>
              <w:spacing w:after="0"/>
              <w:rPr>
                <w:sz w:val="19"/>
                <w:szCs w:val="19"/>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437,241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w w:val="98"/>
              </w:rPr>
              <w:t>Total common stock reserved for issuance</w:t>
            </w:r>
          </w:p>
        </w:tc>
        <w:tc>
          <w:tcPr>
            <w:tcW w:w="19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5,311,995</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4,698,884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20" w:type="dxa"/>
            <w:vAlign w:val="bottom"/>
            <w:vMerge w:val="restart"/>
          </w:tcPr>
          <w:p>
            <w:pPr>
              <w:jc w:val="right"/>
              <w:ind w:right="1354"/>
              <w:spacing w:after="0"/>
              <w:rPr>
                <w:sz w:val="20"/>
                <w:szCs w:val="20"/>
                <w:color w:val="auto"/>
              </w:rPr>
            </w:pPr>
            <w:r>
              <w:rPr>
                <w:rFonts w:ascii="Arial" w:cs="Arial" w:eastAsia="Arial" w:hAnsi="Arial"/>
                <w:sz w:val="18"/>
                <w:szCs w:val="18"/>
                <w:color w:val="auto"/>
              </w:rPr>
              <w:t>19</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2005 and 2015 Plans</w:t>
      </w:r>
    </w:p>
    <w:p>
      <w:pPr>
        <w:spacing w:after="0" w:line="104" w:lineRule="exact"/>
        <w:rPr>
          <w:sz w:val="20"/>
          <w:szCs w:val="20"/>
          <w:color w:val="auto"/>
        </w:rPr>
      </w:pPr>
    </w:p>
    <w:p>
      <w:pPr>
        <w:ind w:left="520" w:right="60"/>
        <w:spacing w:after="0" w:line="237" w:lineRule="auto"/>
        <w:rPr>
          <w:sz w:val="20"/>
          <w:szCs w:val="20"/>
          <w:color w:val="auto"/>
        </w:rPr>
      </w:pPr>
      <w:r>
        <w:rPr>
          <w:rFonts w:ascii="Arial" w:cs="Arial" w:eastAsia="Arial" w:hAnsi="Arial"/>
          <w:sz w:val="17"/>
          <w:szCs w:val="17"/>
          <w:color w:val="auto"/>
        </w:rPr>
        <w:t>The Company granted incentive stock options (ISOs) and non-statutory stock options (NSOs) pursuant to its 2005 Stock Option Plan (the 2005 Plan) until the Board of Directors approved the 2015 Stock Option Plan (the 2015 Plan), and all remaining shares available for future award under the 2005 Plan were transferred to the 2015 Plan and the 2005 Plan was terminated. The Company granted ISOs and NSOs pursuant to its 2015 Plan until the 2017 Equity Incentive Plan (the 2017 Plan) was approved by the Board of Directors and became effective on October 11, 2017. As a result of the 2017 Plan becoming effective, all remaining shares available for future award under the 2015 Plan were transferred to the 2017 Plan, the 2015 Plan was terminated, and no further grants will be made under the Company’s 2005 Plan and the 2015 Plan. Any outstanding stock awards granted under the 2005 Plan and the 2015 Plan will remain outstanding, subject to the terms of the Company’s 2005 Plan and 2015 Plan and the applicable stock award agreements, until such outstanding stock awards that are stock options are exercised or until they terminate or expire by their terms, or until such stock awards are fully settled, terminated or forfeited.</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ind w:left="520" w:right="260"/>
        <w:spacing w:after="0" w:line="264" w:lineRule="auto"/>
        <w:rPr>
          <w:sz w:val="20"/>
          <w:szCs w:val="20"/>
          <w:color w:val="auto"/>
        </w:rPr>
      </w:pPr>
      <w:r>
        <w:rPr>
          <w:rFonts w:ascii="Arial" w:cs="Arial" w:eastAsia="Arial" w:hAnsi="Arial"/>
          <w:sz w:val="18"/>
          <w:szCs w:val="18"/>
          <w:color w:val="auto"/>
        </w:rPr>
        <w:t>The Company’s 2017 Plan provides for the grant of ISOs,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w:t>
      </w:r>
    </w:p>
    <w:p>
      <w:pPr>
        <w:spacing w:after="0" w:line="181"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consolidated statements of operations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17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right="880"/>
        <w:spacing w:after="0" w:line="277" w:lineRule="auto"/>
        <w:rPr>
          <w:sz w:val="20"/>
          <w:szCs w:val="20"/>
          <w:color w:val="auto"/>
        </w:rPr>
      </w:pPr>
      <w:r>
        <w:rPr>
          <w:rFonts w:ascii="Arial" w:cs="Arial" w:eastAsia="Arial" w:hAnsi="Arial"/>
          <w:sz w:val="18"/>
          <w:szCs w:val="18"/>
          <w:color w:val="auto"/>
        </w:rPr>
        <w:t>The fair value of each option is estimated at the date of grant using the Black-Scholes-Merton option pricing model, based on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0" w:type="dxa"/>
            <w:vAlign w:val="bottom"/>
            <w:gridSpan w:val="4"/>
          </w:tcPr>
          <w:p>
            <w:pPr>
              <w:jc w:val="center"/>
              <w:ind w:right="150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0" w:type="dxa"/>
            <w:vAlign w:val="bottom"/>
            <w:gridSpan w:val="4"/>
          </w:tcPr>
          <w:p>
            <w:pPr>
              <w:jc w:val="center"/>
              <w:ind w:right="150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60" w:type="dxa"/>
            <w:vAlign w:val="bottom"/>
            <w:tcBorders>
              <w:top w:val="single" w:sz="8" w:color="auto"/>
            </w:tcBorders>
          </w:tcPr>
          <w:p>
            <w:pPr>
              <w:jc w:val="center"/>
              <w:ind w:left="519"/>
              <w:spacing w:after="0" w:line="155" w:lineRule="exact"/>
              <w:rPr>
                <w:sz w:val="20"/>
                <w:szCs w:val="20"/>
                <w:color w:val="auto"/>
              </w:rPr>
            </w:pPr>
            <w:r>
              <w:rPr>
                <w:rFonts w:ascii="Arial" w:cs="Arial" w:eastAsia="Arial" w:hAnsi="Arial"/>
                <w:sz w:val="14"/>
                <w:szCs w:val="14"/>
                <w:b w:val="1"/>
                <w:bCs w:val="1"/>
                <w:color w:val="auto"/>
                <w:w w:val="89"/>
              </w:rPr>
              <w:t>2019</w:t>
            </w:r>
          </w:p>
        </w:tc>
        <w:tc>
          <w:tcPr>
            <w:tcW w:w="2900" w:type="dxa"/>
            <w:vAlign w:val="bottom"/>
            <w:tcBorders>
              <w:top w:val="single" w:sz="8" w:color="auto"/>
            </w:tcBorders>
            <w:gridSpan w:val="3"/>
          </w:tcPr>
          <w:p>
            <w:pPr>
              <w:jc w:val="center"/>
              <w:ind w:left="779"/>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6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ind w:left="499"/>
              <w:spacing w:after="0"/>
              <w:rPr>
                <w:sz w:val="20"/>
                <w:szCs w:val="20"/>
                <w:color w:val="auto"/>
              </w:rPr>
            </w:pPr>
            <w:r>
              <w:rPr>
                <w:rFonts w:ascii="Arial" w:cs="Arial" w:eastAsia="Arial" w:hAnsi="Arial"/>
                <w:sz w:val="18"/>
                <w:szCs w:val="18"/>
                <w:color w:val="auto"/>
                <w:w w:val="87"/>
              </w:rPr>
              <w:t>5.1</w:t>
            </w: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60" w:type="dxa"/>
            <w:vAlign w:val="bottom"/>
            <w:gridSpan w:val="2"/>
          </w:tcPr>
          <w:p>
            <w:pPr>
              <w:jc w:val="center"/>
              <w:ind w:left="3090"/>
              <w:spacing w:after="0"/>
              <w:rPr>
                <w:sz w:val="20"/>
                <w:szCs w:val="20"/>
                <w:color w:val="auto"/>
              </w:rPr>
            </w:pPr>
            <w:r>
              <w:rPr>
                <w:rFonts w:ascii="Arial" w:cs="Arial" w:eastAsia="Arial" w:hAnsi="Arial"/>
                <w:sz w:val="18"/>
                <w:szCs w:val="18"/>
                <w:color w:val="auto"/>
                <w:w w:val="90"/>
              </w:rPr>
              <w:t>2.65%</w:t>
            </w:r>
          </w:p>
        </w:tc>
        <w:tc>
          <w:tcPr>
            <w:tcW w:w="2900" w:type="dxa"/>
            <w:vAlign w:val="bottom"/>
            <w:gridSpan w:val="3"/>
          </w:tcPr>
          <w:p>
            <w:pPr>
              <w:jc w:val="center"/>
              <w:ind w:left="799"/>
              <w:spacing w:after="0"/>
              <w:rPr>
                <w:sz w:val="20"/>
                <w:szCs w:val="20"/>
                <w:color w:val="auto"/>
              </w:rPr>
            </w:pPr>
            <w:r>
              <w:rPr>
                <w:rFonts w:ascii="Arial" w:cs="Arial" w:eastAsia="Arial" w:hAnsi="Arial"/>
                <w:sz w:val="18"/>
                <w:szCs w:val="18"/>
                <w:color w:val="auto"/>
                <w:w w:val="90"/>
              </w:rPr>
              <w:t>2.40%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gridSpan w:val="2"/>
            <w:shd w:val="clear" w:color="auto" w:fill="CFF0FC"/>
          </w:tcPr>
          <w:p>
            <w:pPr>
              <w:jc w:val="center"/>
              <w:ind w:left="3110"/>
              <w:spacing w:after="0"/>
              <w:rPr>
                <w:sz w:val="20"/>
                <w:szCs w:val="20"/>
                <w:color w:val="auto"/>
              </w:rPr>
            </w:pPr>
            <w:r>
              <w:rPr>
                <w:rFonts w:ascii="Arial" w:cs="Arial" w:eastAsia="Arial" w:hAnsi="Arial"/>
                <w:sz w:val="18"/>
                <w:szCs w:val="18"/>
                <w:color w:val="auto"/>
                <w:w w:val="91"/>
              </w:rPr>
              <w:t>60.00%</w:t>
            </w:r>
          </w:p>
        </w:tc>
        <w:tc>
          <w:tcPr>
            <w:tcW w:w="2900" w:type="dxa"/>
            <w:vAlign w:val="bottom"/>
            <w:gridSpan w:val="3"/>
            <w:shd w:val="clear" w:color="auto" w:fill="CFF0FC"/>
          </w:tcPr>
          <w:p>
            <w:pPr>
              <w:jc w:val="center"/>
              <w:ind w:left="779"/>
              <w:spacing w:after="0"/>
              <w:rPr>
                <w:sz w:val="20"/>
                <w:szCs w:val="20"/>
                <w:color w:val="auto"/>
              </w:rPr>
            </w:pPr>
            <w:r>
              <w:rPr>
                <w:rFonts w:ascii="Arial" w:cs="Arial" w:eastAsia="Arial" w:hAnsi="Arial"/>
                <w:sz w:val="18"/>
                <w:szCs w:val="18"/>
                <w:color w:val="auto"/>
                <w:w w:val="91"/>
              </w:rPr>
              <w:t>55.50%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Dividend yield</w:t>
            </w:r>
          </w:p>
        </w:tc>
        <w:tc>
          <w:tcPr>
            <w:tcW w:w="3960" w:type="dxa"/>
            <w:vAlign w:val="bottom"/>
            <w:gridSpan w:val="2"/>
          </w:tcPr>
          <w:p>
            <w:pPr>
              <w:jc w:val="center"/>
              <w:ind w:left="3110"/>
              <w:spacing w:after="0"/>
              <w:rPr>
                <w:sz w:val="20"/>
                <w:szCs w:val="20"/>
                <w:color w:val="auto"/>
              </w:rPr>
            </w:pPr>
            <w:r>
              <w:rPr>
                <w:rFonts w:ascii="Arial" w:cs="Arial" w:eastAsia="Arial" w:hAnsi="Arial"/>
                <w:sz w:val="18"/>
                <w:szCs w:val="18"/>
                <w:color w:val="auto"/>
                <w:w w:val="92"/>
              </w:rPr>
              <w:t>0%</w:t>
            </w:r>
          </w:p>
        </w:tc>
        <w:tc>
          <w:tcPr>
            <w:tcW w:w="2900" w:type="dxa"/>
            <w:vAlign w:val="bottom"/>
            <w:gridSpan w:val="3"/>
          </w:tcPr>
          <w:p>
            <w:pPr>
              <w:jc w:val="center"/>
              <w:ind w:left="779"/>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64"/>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0" w:type="dxa"/>
            <w:vAlign w:val="bottom"/>
          </w:tcPr>
          <w:p>
            <w:pPr>
              <w:jc w:val="right"/>
              <w:ind w:right="61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2"/>
              </w:rPr>
              <w:t>per Share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2018</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3,989,432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1.95</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0.83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cancelled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(38,919)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Outstanding — March 31, 2019</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3,970,513</w:t>
            </w:r>
          </w:p>
        </w:tc>
        <w:tc>
          <w:tcPr>
            <w:tcW w:w="120" w:type="dxa"/>
            <w:vAlign w:val="bottom"/>
          </w:tcPr>
          <w:p>
            <w:pPr>
              <w:spacing w:after="0"/>
              <w:rPr>
                <w:sz w:val="19"/>
                <w:szCs w:val="19"/>
                <w:color w:val="auto"/>
              </w:rPr>
            </w:pPr>
          </w:p>
        </w:tc>
        <w:tc>
          <w:tcPr>
            <w:tcW w:w="10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1.95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8.3</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 March 31, 2019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3,582,709</w:t>
            </w: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1.96</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8.2</w:t>
            </w:r>
          </w:p>
        </w:tc>
        <w:tc>
          <w:tcPr>
            <w:tcW w:w="4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Exercisable — March 31, 2019</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91"/>
              </w:rPr>
              <w:t>1.97</w:t>
            </w: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5"/>
              </w:rPr>
              <w:t>7.3</w:t>
            </w:r>
          </w:p>
        </w:tc>
        <w:tc>
          <w:tcPr>
            <w:tcW w:w="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1,459,630</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options granted was $0.44 per share for three months ended March 31, 2019.</w:t>
      </w:r>
    </w:p>
    <w:p>
      <w:pPr>
        <w:spacing w:after="0" w:line="225"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No options were exercised for the three months ended March 31, 2019. The total intrinsic value of options exercised was $14.8 for the three months ended March 31, 2018.</w:t>
      </w:r>
    </w:p>
    <w:p>
      <w:pPr>
        <w:spacing w:after="0" w:line="170"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Unamortized stock-based compensation was $2,090 as of March 31, 2019, which is expected to be recognized over a weighted-average period of approximately 2.92 years.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The Company’s Board of Directors appointed Keith Sullivan, a current Board member of the Company, as interim Chief Commercial Officer, effective November 1, 2018, and for a period up to one year. Under the terms of the arrangement, Mr. Sullivan was granted 360,000 restricted stock awards, which shall vest in quarterly installments equal to 25% of the shares starting with the first vest date on January 15, 2019 so long as Mr. Sullivan is providing services. As of March 31, 2019, the Company had $144 of unrecognized compensation expense, net of estimated forfeitures, which it expects to recognize over the next seven months. The aggregate intrinsic value of the RSAs outstanding was $159.</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right="320"/>
        <w:spacing w:after="0" w:line="264" w:lineRule="auto"/>
        <w:rPr>
          <w:sz w:val="20"/>
          <w:szCs w:val="20"/>
          <w:color w:val="auto"/>
        </w:rPr>
      </w:pPr>
      <w:r>
        <w:rPr>
          <w:rFonts w:ascii="Arial" w:cs="Arial" w:eastAsia="Arial" w:hAnsi="Arial"/>
          <w:sz w:val="18"/>
          <w:szCs w:val="18"/>
          <w:color w:val="auto"/>
        </w:rPr>
        <w:t>On February 27, 2019, the Company’s Board of Directors granted our Chief Financial Officer and interim Chief Commercial Officer each 500,000 restricted stock units that will vest contingent on the closing of the merger of the Company with Venus (as discussed in Note 1). During the three months ended March 31, 2019, no stock-based compensation expense was recorded.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8" w:lineRule="exact"/>
        <w:rPr>
          <w:sz w:val="20"/>
          <w:szCs w:val="20"/>
          <w:color w:val="auto"/>
        </w:rPr>
      </w:pPr>
    </w:p>
    <w:p>
      <w:pPr>
        <w:ind w:left="520" w:right="180"/>
        <w:spacing w:after="0" w:line="227" w:lineRule="auto"/>
        <w:rPr>
          <w:sz w:val="20"/>
          <w:szCs w:val="20"/>
          <w:color w:val="auto"/>
        </w:rPr>
      </w:pPr>
      <w:r>
        <w:rPr>
          <w:rFonts w:ascii="Arial" w:cs="Arial" w:eastAsia="Arial" w:hAnsi="Arial"/>
          <w:sz w:val="18"/>
          <w:szCs w:val="18"/>
          <w:color w:val="auto"/>
        </w:rPr>
        <w:t>The Company generated a loss for the three months ended March 31, 2019 and 2018 and incurred $14 and $13 of tax expense for the three months ended March 31, 2019 and 2018, respectively. The Company’s effective tax rate is (0.19)% and (0.17)% for income tax for the three months ended March 31, 2019 and 2018, respectively and the Company expects that its effective tax rate for the full year 2019 will be (0.17)%. Based on available evidence, including cumulative losses since inception and expected future losses, the Company has determined that it is more likely than not that the Company’s U.S. federal, U.S. state and Korea deferred tax assets will not be realized and therefore a valuation allowance has been provided on these net deferred tax assets.</w:t>
      </w:r>
    </w:p>
    <w:p>
      <w:pPr>
        <w:spacing w:after="0" w:line="176" w:lineRule="exact"/>
        <w:rPr>
          <w:sz w:val="20"/>
          <w:szCs w:val="20"/>
          <w:color w:val="auto"/>
        </w:rPr>
      </w:pPr>
    </w:p>
    <w:p>
      <w:pPr>
        <w:ind w:left="520"/>
        <w:spacing w:after="0" w:line="228" w:lineRule="auto"/>
        <w:rPr>
          <w:sz w:val="20"/>
          <w:szCs w:val="20"/>
          <w:color w:val="auto"/>
        </w:rPr>
      </w:pPr>
      <w:r>
        <w:rPr>
          <w:rFonts w:ascii="Arial" w:cs="Arial" w:eastAsia="Arial" w:hAnsi="Arial"/>
          <w:sz w:val="18"/>
          <w:szCs w:val="18"/>
          <w:color w:val="auto"/>
        </w:rPr>
        <w:t>The Company has substantial net operating loss carry forwards available to offset future taxable income for U.S. federal and state income tax purposes. The Company’s ability to utilize its net operating losses may be limited due to changes in its ownership as defined by Section 382 of the Internal Revenue Code (the Code). Under the provisions of Sections 382 and 383 of the Code, a change of control, as defined in the Code, may impose an annual limitation on the amount of the Company’s net operating loss and tax credit carryforwards, and other tax attributes that can be used to reduce future tax liabilities.</w:t>
      </w:r>
    </w:p>
    <w:p>
      <w:pPr>
        <w:spacing w:after="0" w:line="178" w:lineRule="exact"/>
        <w:rPr>
          <w:sz w:val="20"/>
          <w:szCs w:val="20"/>
          <w:color w:val="auto"/>
        </w:rPr>
      </w:pPr>
    </w:p>
    <w:p>
      <w:pPr>
        <w:ind w:left="520" w:right="100"/>
        <w:spacing w:after="0" w:line="235" w:lineRule="auto"/>
        <w:rPr>
          <w:sz w:val="20"/>
          <w:szCs w:val="20"/>
          <w:color w:val="auto"/>
        </w:rPr>
      </w:pPr>
      <w:r>
        <w:rPr>
          <w:rFonts w:ascii="Arial" w:cs="Arial" w:eastAsia="Arial" w:hAnsi="Arial"/>
          <w:sz w:val="18"/>
          <w:szCs w:val="18"/>
          <w:color w:val="auto"/>
        </w:rPr>
        <w:t>The Company files tax returns for U.S. federal and state tax returns along with tax returns in the United Kingdom, Hong Kong, Spain and South Korea. The Company is not currently subject to any income tax examinations. Since the Company’s inception, the Company had incurred losses from its U.S. operations, which generally allows all tax years to remain open.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80"/>
        <w:spacing w:after="0" w:line="231" w:lineRule="auto"/>
        <w:rPr>
          <w:sz w:val="20"/>
          <w:szCs w:val="20"/>
          <w:color w:val="auto"/>
        </w:rPr>
      </w:pPr>
      <w:r>
        <w:rPr>
          <w:rFonts w:ascii="Arial" w:cs="Arial" w:eastAsia="Arial" w:hAnsi="Arial"/>
          <w:sz w:val="18"/>
          <w:szCs w:val="18"/>
          <w:color w:val="auto"/>
        </w:rPr>
        <w:t>Beginning in first quarter of 2018, the Company is subject to new provisions of the tax law, including provisions related to Global Low Taxed Intangible Income (GILTI), Foreign Derived Intangible Income deductions (FDII), and other changes. However, due to the Company’s losses and full valuation allowance in the U.S., these were determined to have no material impact to the Estimated Annual Effective Tax Rate due to the full Valuation Allowance in the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82828"/>
        </w:rPr>
        <w:t>Uncertain Tax Positions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Accounting Standards Codification 740-10 requires that the Company recognize the financial statement effects of a tax position when it becomes more likely than not, based upon the technical merits, that the position will be sustained upon examination. The gross amount of unrecognized tax benefits as of March 31, 2019 is approximately $1,490 and related to the reserve on R&amp;D credits, none of which will affect the effective tax rate if recognized due to the valuation allowance. The Company does not expect any material changes in the next 12 months in unrecognized tax benefits.</w:t>
      </w:r>
    </w:p>
    <w:p>
      <w:pPr>
        <w:spacing w:after="0" w:line="157"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The Company recognizes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The Company currently has no interest and penalties related to uncertain tax positions.</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54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and with our audited financial statements and notes thereto in the Company’s Annual Report filed on Form 10-K for the year ended December 31, 2018, filed with the Securities and Exchange Commission (“SEC”) and other filings we have made with the SEC.</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identified herein, and those discussed in the section titled “Risk Factors,” set forth in Part II, Item 1A of this Form 10-Q and in our other SEC filings, including the Prospectus. You should review the risk factors for a more complete understanding of the risks associated with an investment in our securities. We disclaim any obligation to update any forward-looking statements to reflect events or circumstances after the date of such statements. Therefore, you should not rely on these forward-looking statements as representing our views as of any date subsequent to the date of this Quarterly Report on Form 10-Q. Our fiscal year end is December 31, and references throughout this Quarterly Report on Form 10-Q to a given fiscal year are to the twelve months ended on that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medical technology company developing and commercializing a robotic device, the ARTAS</w:t>
      </w:r>
      <w:r>
        <w:rPr>
          <w:rFonts w:ascii="Arial" w:cs="Arial" w:eastAsia="Arial" w:hAnsi="Arial"/>
          <w:sz w:val="14"/>
          <w:szCs w:val="14"/>
          <w:color w:val="auto"/>
        </w:rPr>
        <w:t>®</w:t>
      </w:r>
      <w:r>
        <w:rPr>
          <w:rFonts w:ascii="Arial" w:cs="Arial" w:eastAsia="Arial" w:hAnsi="Arial"/>
          <w:sz w:val="17"/>
          <w:szCs w:val="17"/>
          <w:color w:val="auto"/>
        </w:rPr>
        <w:t xml:space="preserve"> System, which assists physicians in performing many of the repetitive tasks that are a part of a follicular unit extraction, or FUE surgery, a type of hair restoration procedure. We believe the ARTAS</w:t>
      </w:r>
      <w:r>
        <w:rPr>
          <w:rFonts w:ascii="Arial" w:cs="Arial" w:eastAsia="Arial" w:hAnsi="Arial"/>
          <w:sz w:val="14"/>
          <w:szCs w:val="14"/>
          <w:color w:val="auto"/>
        </w:rPr>
        <w:t>®</w:t>
      </w:r>
      <w:r>
        <w:rPr>
          <w:rFonts w:ascii="Arial" w:cs="Arial" w:eastAsia="Arial" w:hAnsi="Arial"/>
          <w:sz w:val="17"/>
          <w:szCs w:val="17"/>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Arial" w:cs="Arial" w:eastAsia="Arial" w:hAnsi="Arial"/>
          <w:sz w:val="14"/>
          <w:szCs w:val="14"/>
          <w:color w:val="auto"/>
        </w:rPr>
        <w:t>®</w:t>
      </w:r>
      <w:r>
        <w:rPr>
          <w:rFonts w:ascii="Arial" w:cs="Arial" w:eastAsia="Arial" w:hAnsi="Arial"/>
          <w:sz w:val="17"/>
          <w:szCs w:val="17"/>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4"/>
          <w:szCs w:val="14"/>
          <w:color w:val="auto"/>
        </w:rPr>
        <w:t>®</w:t>
      </w:r>
      <w:r>
        <w:rPr>
          <w:rFonts w:ascii="Arial" w:cs="Arial" w:eastAsia="Arial" w:hAnsi="Arial"/>
          <w:sz w:val="17"/>
          <w:szCs w:val="17"/>
          <w:color w:val="auto"/>
        </w:rPr>
        <w:t xml:space="preserve"> System in the U.S., and we have sold the ARTAS</w:t>
      </w:r>
      <w:r>
        <w:rPr>
          <w:rFonts w:ascii="Arial" w:cs="Arial" w:eastAsia="Arial" w:hAnsi="Arial"/>
          <w:sz w:val="14"/>
          <w:szCs w:val="14"/>
          <w:color w:val="auto"/>
        </w:rPr>
        <w:t>®</w:t>
      </w:r>
      <w:r>
        <w:rPr>
          <w:rFonts w:ascii="Arial" w:cs="Arial" w:eastAsia="Arial" w:hAnsi="Arial"/>
          <w:sz w:val="17"/>
          <w:szCs w:val="17"/>
          <w:color w:val="auto"/>
        </w:rPr>
        <w:t xml:space="preserve"> System into 37 other countries. In March 2018, we received 510(k) clearance from the FDA to expand the ARTAS</w:t>
      </w:r>
      <w:r>
        <w:rPr>
          <w:rFonts w:ascii="Arial" w:cs="Arial" w:eastAsia="Arial" w:hAnsi="Arial"/>
          <w:sz w:val="14"/>
          <w:szCs w:val="14"/>
          <w:color w:val="auto"/>
        </w:rPr>
        <w:t>®</w:t>
      </w:r>
      <w:r>
        <w:rPr>
          <w:rFonts w:ascii="Arial" w:cs="Arial" w:eastAsia="Arial" w:hAnsi="Arial"/>
          <w:sz w:val="17"/>
          <w:szCs w:val="17"/>
          <w:color w:val="auto"/>
        </w:rPr>
        <w:t xml:space="preserve"> technology to include implantation. In the third quarter of 2018, we commercially launched the next generation ARTAS</w:t>
      </w:r>
      <w:r>
        <w:rPr>
          <w:rFonts w:ascii="Arial" w:cs="Arial" w:eastAsia="Arial" w:hAnsi="Arial"/>
          <w:sz w:val="14"/>
          <w:szCs w:val="14"/>
          <w:color w:val="auto"/>
        </w:rPr>
        <w:t>®</w:t>
      </w:r>
      <w:r>
        <w:rPr>
          <w:rFonts w:ascii="Arial" w:cs="Arial" w:eastAsia="Arial" w:hAnsi="Arial"/>
          <w:sz w:val="17"/>
          <w:szCs w:val="17"/>
          <w:color w:val="auto"/>
        </w:rPr>
        <w:t xml:space="preserve"> System, called ARTAS</w:t>
      </w:r>
      <w:r>
        <w:rPr>
          <w:rFonts w:ascii="Arial" w:cs="Arial" w:eastAsia="Arial" w:hAnsi="Arial"/>
          <w:sz w:val="14"/>
          <w:szCs w:val="14"/>
          <w:color w:val="auto"/>
        </w:rPr>
        <w:t>®</w:t>
      </w:r>
      <w:r>
        <w:rPr>
          <w:rFonts w:ascii="Arial" w:cs="Arial" w:eastAsia="Arial" w:hAnsi="Arial"/>
          <w:sz w:val="17"/>
          <w:szCs w:val="17"/>
          <w:color w:val="auto"/>
        </w:rPr>
        <w:t xml:space="preserve"> iX System, which incorporates the implantation functionality as well as other functionalities. As of March 31, 2019, the ARTAS</w:t>
      </w:r>
      <w:r>
        <w:rPr>
          <w:rFonts w:ascii="Arial" w:cs="Arial" w:eastAsia="Arial" w:hAnsi="Arial"/>
          <w:sz w:val="14"/>
          <w:szCs w:val="14"/>
          <w:color w:val="auto"/>
        </w:rPr>
        <w:t>®</w:t>
      </w:r>
      <w:r>
        <w:rPr>
          <w:rFonts w:ascii="Arial" w:cs="Arial" w:eastAsia="Arial" w:hAnsi="Arial"/>
          <w:sz w:val="17"/>
          <w:szCs w:val="17"/>
          <w:color w:val="auto"/>
        </w:rPr>
        <w:t xml:space="preserve"> System and ARTAS Hair Studio application are protected by over 80 patents in the U.S. and over 110 international patents.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28, 2019, we entered into a Note Purchase Agreement pursuant to which we raised $5.0 million through the issuance of two unsecured subordinated convertible promissory notes, or the Notes, which were issued to Frederic Moll, M.D., one of our directors, and Interwest Partners IX, LP, one of our stockholders affiliated with Gil Kliman, M.D., one of our directors, or together the Investors. The maturity date of the Notes is August 28, 2020. The Notes bear interest on the unpaid principal amount at a rate of eight percent (8.0%) per annum from the date of issuance. The Notes are unsecured and subordinate in priority to our existing obligations under the Solar Agreement, as amended. All of the outstanding principal and unpaid accrued interest on the Notes will automatically be converted into shares of the same class and series of our capital stock issued to investors in the first issuance, or series of related issuances, of our capital stock with gross proceeds of at least $20.0 million following the date of the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Merger with Venus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2019, we entered into the Merger Agreement (the Merger Agreement) with Venus Concept Ltd. (Venus) to combine the companies in an all-stock transaction (the Merger). The Merger Agreement and the Merger have been approved by our board of directors and the board of directors of Venus. The transaction is expected to close in the third quarter of 2019, subject to customary closing conditions, including the approval by our stockholders and the stockholders of Venus as well as the receipt of all necessary regulatory approvals.</w:t>
      </w:r>
    </w:p>
    <w:p>
      <w:pPr>
        <w:spacing w:after="0" w:line="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the terms of the transaction, our and Venus shareholders will own approximately 15% and 85% of the combined company, respectively, on a fully diluted basis, without giving effect to the shares issued in the proposed equity financing that is expected to close immediately after the merger. EW Healthcare Partners has committed to lead a $21.0 million equity investment, priced at $0.825 per share (subject to adjustment for stock splits), in the combined company’s common stock contingent on the closing of the merger transaction. Additional investors committed to participating in the proposed equity financing include HealthQuest Capital, Madryn Asset Management, Longitude Capital Management, Fred Moll and Aperture Venture Partners. In addition to the equity financing, Fred Moll and InterWest Partners previously funded a $5.0 million convertible note (the Notes), which will convert into the combined company’s common stock at the closing of the equity financing led by EW Healthcare, at a price of $0.825 per share (subject to adjustment for stock splits).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ind w:right="160"/>
        <w:spacing w:after="0" w:line="259" w:lineRule="auto"/>
        <w:rPr>
          <w:sz w:val="20"/>
          <w:szCs w:val="20"/>
          <w:color w:val="auto"/>
        </w:rPr>
      </w:pPr>
      <w:r>
        <w:rPr>
          <w:rFonts w:ascii="Arial" w:cs="Arial" w:eastAsia="Arial" w:hAnsi="Arial"/>
          <w:sz w:val="18"/>
          <w:szCs w:val="18"/>
          <w:color w:val="auto"/>
        </w:rPr>
        <w:t>Concurrent with closing of the Merger, we anticipate effecting a reverse stock split. We expect to have approximately 283.2 million shares outstanding (or approximately 18.9 million shares outstanding after giving effect to an anticipated 1-for-15 reverse stock split) and after taking into account shares issued to the former Venus shareholders in the merger, shares issued as part of the $21.0 million equity investment, and shares issued upon conversion of the $5.0 million Notes.</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and subsequent public follow-on offering, private placements of our equity securities and, to a lesser extent, through debt financings, exercises of our common stock warrants and payments from our customers. As of March 31, 2019, we had cash and cash equivalents of $15.0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the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System</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growth of our business depends on our ability to gain broader acceptance of the ARTAS</w:t>
      </w:r>
      <w:r>
        <w:rPr>
          <w:rFonts w:ascii="Arial" w:cs="Arial" w:eastAsia="Arial" w:hAnsi="Arial"/>
          <w:sz w:val="15"/>
          <w:szCs w:val="15"/>
          <w:color w:val="auto"/>
        </w:rPr>
        <w:t>®</w:t>
      </w:r>
      <w:r>
        <w:rPr>
          <w:rFonts w:ascii="Arial" w:cs="Arial" w:eastAsia="Arial" w:hAnsi="Arial"/>
          <w:sz w:val="18"/>
          <w:szCs w:val="18"/>
          <w:color w:val="auto"/>
        </w:rPr>
        <w:t xml:space="preserve"> System and, in particular, the latest iteration of our ARTAS System, ARTAS</w:t>
      </w:r>
      <w:r>
        <w:rPr>
          <w:rFonts w:ascii="Arial" w:cs="Arial" w:eastAsia="Arial" w:hAnsi="Arial"/>
          <w:sz w:val="15"/>
          <w:szCs w:val="15"/>
          <w:color w:val="auto"/>
        </w:rPr>
        <w:t>®</w:t>
      </w:r>
      <w:r>
        <w:rPr>
          <w:rFonts w:ascii="Arial" w:cs="Arial" w:eastAsia="Arial" w:hAnsi="Arial"/>
          <w:sz w:val="18"/>
          <w:szCs w:val="18"/>
          <w:color w:val="auto"/>
        </w:rPr>
        <w:t xml:space="preserve"> iX, as well as the ARTAS procedure by successfully marketing and distributing the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If we are unable to successfully commercialize our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We have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were increasing the size of our U.S. sales force by hiring sales professionals with experience selling capital equipment and equipment to physicians in the aesthetic market. In addition, we were investing significantly in our sales and marketing efforts related to the launch of the ARTAS</w:t>
      </w:r>
      <w:r>
        <w:rPr>
          <w:rFonts w:ascii="Arial" w:cs="Arial" w:eastAsia="Arial" w:hAnsi="Arial"/>
          <w:sz w:val="14"/>
          <w:szCs w:val="14"/>
          <w:color w:val="auto"/>
        </w:rPr>
        <w:t>®</w:t>
      </w:r>
      <w:r>
        <w:rPr>
          <w:rFonts w:ascii="Arial" w:cs="Arial" w:eastAsia="Arial" w:hAnsi="Arial"/>
          <w:sz w:val="17"/>
          <w:szCs w:val="17"/>
          <w:color w:val="auto"/>
        </w:rPr>
        <w:t xml:space="preserve"> iX System.</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increased revenue in 2019 because of increased unit sales, these sales initiatives have also increased our sales and marketing expenses. Furthermore, we anticipate as we continue to advance the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iX System, our sales and marketing expenses will continue to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by category:</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28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Procedure-based</w:t>
            </w:r>
          </w:p>
        </w:tc>
        <w:tc>
          <w:tcPr>
            <w:tcW w:w="2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Service-related fees</w:t>
            </w:r>
          </w:p>
        </w:tc>
        <w:tc>
          <w:tcPr>
            <w:tcW w:w="28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9"/>
                <w:szCs w:val="19"/>
                <w:color w:val="auto"/>
              </w:rPr>
            </w:pP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40" w:type="dxa"/>
            <w:vAlign w:val="bottom"/>
          </w:tcPr>
          <w:p>
            <w:pPr>
              <w:spacing w:after="0"/>
              <w:rPr>
                <w:sz w:val="19"/>
                <w:szCs w:val="19"/>
                <w:color w:val="auto"/>
              </w:rPr>
            </w:pPr>
          </w:p>
        </w:tc>
        <w:tc>
          <w:tcPr>
            <w:tcW w:w="86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w:t>
      </w:r>
      <w:r>
        <w:rPr>
          <w:rFonts w:ascii="Arial" w:cs="Arial" w:eastAsia="Arial" w:hAnsi="Arial"/>
          <w:sz w:val="15"/>
          <w:szCs w:val="15"/>
          <w:color w:val="auto"/>
        </w:rPr>
        <w:t>®</w:t>
      </w:r>
      <w:r>
        <w:rPr>
          <w:rFonts w:ascii="Arial" w:cs="Arial" w:eastAsia="Arial" w:hAnsi="Arial"/>
          <w:sz w:val="18"/>
          <w:szCs w:val="18"/>
          <w:color w:val="auto"/>
        </w:rPr>
        <w:t xml:space="preserve"> Systems and procedure-based fees.</w:t>
      </w:r>
    </w:p>
    <w:p>
      <w:pPr>
        <w:spacing w:after="0" w:line="117" w:lineRule="exact"/>
        <w:rPr>
          <w:sz w:val="20"/>
          <w:szCs w:val="20"/>
          <w:color w:val="auto"/>
        </w:rPr>
      </w:pPr>
    </w:p>
    <w:p>
      <w:pPr>
        <w:ind w:left="1040" w:right="80" w:hanging="519"/>
        <w:spacing w:after="0" w:line="297" w:lineRule="auto"/>
        <w:tabs>
          <w:tab w:leader="none" w:pos="1040"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 xml:space="preserve">Revenue from systems for the three months ended March 31, 2019 increased as compared to the same period in </w:t>
      </w:r>
      <w:r>
        <w:rPr>
          <w:rFonts w:ascii="Arial" w:cs="Arial" w:eastAsia="Arial" w:hAnsi="Arial"/>
          <w:sz w:val="16"/>
          <w:szCs w:val="16"/>
          <w:color w:val="000000"/>
        </w:rPr>
        <w:t>2018 due to the average sales</w:t>
      </w:r>
      <w:r>
        <w:rPr>
          <w:rFonts w:ascii="Arial" w:cs="Arial" w:eastAsia="Arial" w:hAnsi="Arial"/>
          <w:sz w:val="16"/>
          <w:szCs w:val="16"/>
          <w:color w:val="231F20"/>
        </w:rPr>
        <w:t xml:space="preserve"> </w:t>
      </w:r>
      <w:r>
        <w:rPr>
          <w:rFonts w:ascii="Arial" w:cs="Arial" w:eastAsia="Arial" w:hAnsi="Arial"/>
          <w:sz w:val="16"/>
          <w:szCs w:val="16"/>
          <w:color w:val="000000"/>
        </w:rPr>
        <w:t>price of our systems sold during the period being higher as a result of the launch of the ARTAS</w:t>
      </w:r>
      <w:r>
        <w:rPr>
          <w:rFonts w:ascii="Arial" w:cs="Arial" w:eastAsia="Arial" w:hAnsi="Arial"/>
          <w:sz w:val="13"/>
          <w:szCs w:val="13"/>
          <w:color w:val="000000"/>
        </w:rPr>
        <w:t>®</w:t>
      </w:r>
      <w:r>
        <w:rPr>
          <w:rFonts w:ascii="Arial" w:cs="Arial" w:eastAsia="Arial" w:hAnsi="Arial"/>
          <w:sz w:val="16"/>
          <w:szCs w:val="16"/>
          <w:color w:val="000000"/>
        </w:rPr>
        <w:t xml:space="preserve"> iX Systems in the third quarter of 2018 in the United States and Europe in the fourth quarter of 2018, which has a higher average sales price. </w:t>
      </w:r>
      <w:r>
        <w:rPr>
          <w:rFonts w:ascii="Arial" w:cs="Arial" w:eastAsia="Arial" w:hAnsi="Arial"/>
          <w:sz w:val="16"/>
          <w:szCs w:val="16"/>
          <w:color w:val="231F20"/>
        </w:rPr>
        <w:t>We anticipate U.S. and Europe revenue from</w:t>
      </w:r>
      <w:r>
        <w:rPr>
          <w:rFonts w:ascii="Arial" w:cs="Arial" w:eastAsia="Arial" w:hAnsi="Arial"/>
          <w:sz w:val="16"/>
          <w:szCs w:val="16"/>
          <w:color w:val="000000"/>
        </w:rPr>
        <w:t xml:space="preserve"> </w:t>
      </w:r>
      <w:r>
        <w:rPr>
          <w:rFonts w:ascii="Arial" w:cs="Arial" w:eastAsia="Arial" w:hAnsi="Arial"/>
          <w:sz w:val="16"/>
          <w:szCs w:val="16"/>
          <w:color w:val="231F20"/>
        </w:rPr>
        <w:t xml:space="preserve">systems sold going forward to be primarily from ARTAS iX Systems, while revenue from systems sold outside of these two regions to be primarily from the existing ARTAS Systems until the time, if and when, we receive regulatory approval for the </w:t>
      </w:r>
      <w:r>
        <w:rPr>
          <w:rFonts w:ascii="Arial" w:cs="Arial" w:eastAsia="Arial" w:hAnsi="Arial"/>
          <w:sz w:val="16"/>
          <w:szCs w:val="16"/>
          <w:color w:val="000000"/>
        </w:rPr>
        <w:t>ARTAS</w:t>
      </w:r>
      <w:r>
        <w:rPr>
          <w:rFonts w:ascii="Arial" w:cs="Arial" w:eastAsia="Arial" w:hAnsi="Arial"/>
          <w:sz w:val="13"/>
          <w:szCs w:val="13"/>
          <w:color w:val="000000"/>
        </w:rPr>
        <w:t>®</w:t>
      </w:r>
      <w:r>
        <w:rPr>
          <w:rFonts w:ascii="Arial" w:cs="Arial" w:eastAsia="Arial" w:hAnsi="Arial"/>
          <w:sz w:val="16"/>
          <w:szCs w:val="16"/>
          <w:color w:val="231F20"/>
        </w:rPr>
        <w:t xml:space="preserve"> </w:t>
      </w:r>
      <w:r>
        <w:rPr>
          <w:rFonts w:ascii="Arial" w:cs="Arial" w:eastAsia="Arial" w:hAnsi="Arial"/>
          <w:sz w:val="16"/>
          <w:szCs w:val="16"/>
          <w:color w:val="000000"/>
        </w:rPr>
        <w:t>iX System</w:t>
      </w:r>
      <w:r>
        <w:rPr>
          <w:rFonts w:ascii="Arial" w:cs="Arial" w:eastAsia="Arial" w:hAnsi="Arial"/>
          <w:sz w:val="16"/>
          <w:szCs w:val="16"/>
          <w:color w:val="231F20"/>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ind w:left="1040" w:hanging="519"/>
        <w:spacing w:after="0" w:line="279" w:lineRule="auto"/>
        <w:tabs>
          <w:tab w:leader="none" w:pos="104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 xml:space="preserve">Revenue from procedure-based fees for the three months end March 31, 2019 decreased as compared to the same period in 2018. </w:t>
      </w:r>
      <w:r>
        <w:rPr>
          <w:rFonts w:ascii="Arial" w:cs="Arial" w:eastAsia="Arial" w:hAnsi="Arial"/>
          <w:sz w:val="17"/>
          <w:szCs w:val="17"/>
          <w:color w:val="000000"/>
        </w:rPr>
        <w:t>Revenue from</w:t>
      </w:r>
      <w:r>
        <w:rPr>
          <w:rFonts w:ascii="Arial" w:cs="Arial" w:eastAsia="Arial" w:hAnsi="Arial"/>
          <w:sz w:val="17"/>
          <w:szCs w:val="17"/>
          <w:color w:val="231F20"/>
        </w:rPr>
        <w:t xml:space="preserve"> </w:t>
      </w:r>
      <w:r>
        <w:rPr>
          <w:rFonts w:ascii="Arial" w:cs="Arial" w:eastAsia="Arial" w:hAnsi="Arial"/>
          <w:sz w:val="17"/>
          <w:szCs w:val="17"/>
          <w:color w:val="000000"/>
        </w:rPr>
        <w:t xml:space="preserve">procedure-based fees for the three months ended March 31, 2019, decreased at least in part due to the timing of prior period purchases of bulk procedures, with customers purchasing bulk procedures in prior periods and using them during in later quarterly periods </w:t>
      </w:r>
      <w:r>
        <w:rPr>
          <w:rFonts w:ascii="Arial" w:cs="Arial" w:eastAsia="Arial" w:hAnsi="Arial"/>
          <w:sz w:val="17"/>
          <w:szCs w:val="17"/>
          <w:color w:val="231F20"/>
        </w:rPr>
        <w:t>which we believe</w:t>
      </w:r>
      <w:r>
        <w:rPr>
          <w:rFonts w:ascii="Arial" w:cs="Arial" w:eastAsia="Arial" w:hAnsi="Arial"/>
          <w:sz w:val="17"/>
          <w:szCs w:val="17"/>
          <w:color w:val="000000"/>
        </w:rPr>
        <w:t xml:space="preserve"> </w:t>
      </w:r>
      <w:r>
        <w:rPr>
          <w:rFonts w:ascii="Arial" w:cs="Arial" w:eastAsia="Arial" w:hAnsi="Arial"/>
          <w:sz w:val="17"/>
          <w:szCs w:val="17"/>
          <w:color w:val="231F20"/>
        </w:rPr>
        <w:t>resulted in fewer procedures being purchased in the three months ended March 31, 2019</w:t>
      </w:r>
      <w:r>
        <w:rPr>
          <w:rFonts w:ascii="Arial" w:cs="Arial" w:eastAsia="Arial" w:hAnsi="Arial"/>
          <w:sz w:val="17"/>
          <w:szCs w:val="17"/>
          <w:color w:val="000000"/>
        </w:rPr>
        <w:t>.</w:t>
      </w:r>
    </w:p>
    <w:p>
      <w:pPr>
        <w:spacing w:after="0" w:line="63" w:lineRule="exact"/>
        <w:rPr>
          <w:rFonts w:ascii="Arial" w:cs="Arial" w:eastAsia="Arial" w:hAnsi="Arial"/>
          <w:sz w:val="17"/>
          <w:szCs w:val="17"/>
          <w:color w:val="231F20"/>
        </w:rPr>
      </w:pPr>
    </w:p>
    <w:p>
      <w:pPr>
        <w:ind w:left="1040" w:hanging="519"/>
        <w:spacing w:after="0"/>
        <w:tabs>
          <w:tab w:leader="none" w:pos="104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Service-related fees did not change significantly for the three months ended March 31, 2019 as compared to the same period in 2018.</w:t>
      </w:r>
    </w:p>
    <w:p>
      <w:pPr>
        <w:spacing w:after="0" w:line="23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Historically, the majority of our revenue and our revenue growth has been generated through system sales. While we would expect our procedure-based fees to increase as our installed base of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000000"/>
        </w:rPr>
        <w:t>®</w:t>
      </w:r>
      <w:r>
        <w:rPr>
          <w:rFonts w:ascii="Arial" w:cs="Arial" w:eastAsia="Arial" w:hAnsi="Arial"/>
          <w:sz w:val="16"/>
          <w:szCs w:val="16"/>
          <w:color w:val="231F20"/>
        </w:rPr>
        <w:t xml:space="preserve"> iX Systems grow worldwide, the total number of procedures has not followed the increase in our installed base of systems sold. For example, our procedure-based revenue decreased for the three months ended March 31, 2019, as compared to the same period in 2018, whereas our installed base has grown from 2018 to 2019. While procedure-based revenue has increased, on from a year-to-date perspective, more than our revenue from system sales on a combined basis, during the aforementioned periods, we believe that revenue from procedure-based fees may not grow proportionally as compared to the increase in our installed base and that it could vary from quarter-to-quarter due to a number of factors, including:</w:t>
      </w:r>
    </w:p>
    <w:p>
      <w:pPr>
        <w:spacing w:after="0" w:line="57" w:lineRule="exact"/>
        <w:rPr>
          <w:sz w:val="20"/>
          <w:szCs w:val="20"/>
          <w:color w:val="auto"/>
        </w:rPr>
      </w:pPr>
    </w:p>
    <w:p>
      <w:pPr>
        <w:ind w:left="1040" w:right="20" w:hanging="519"/>
        <w:spacing w:after="0" w:line="264" w:lineRule="auto"/>
        <w:tabs>
          <w:tab w:leader="none" w:pos="10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w:t>
      </w:r>
      <w:r>
        <w:rPr>
          <w:rFonts w:ascii="Arial" w:cs="Arial" w:eastAsia="Arial" w:hAnsi="Arial"/>
          <w:sz w:val="15"/>
          <w:szCs w:val="15"/>
          <w:color w:val="000000"/>
        </w:rPr>
        <w:t>®</w:t>
      </w:r>
      <w:r>
        <w:rPr>
          <w:rFonts w:ascii="Arial" w:cs="Arial" w:eastAsia="Arial" w:hAnsi="Arial"/>
          <w:sz w:val="18"/>
          <w:szCs w:val="18"/>
          <w:color w:val="231F20"/>
        </w:rPr>
        <w:t xml:space="preserve"> or ARTAS</w:t>
      </w:r>
      <w:r>
        <w:rPr>
          <w:rFonts w:ascii="Arial" w:cs="Arial" w:eastAsia="Arial" w:hAnsi="Arial"/>
          <w:sz w:val="15"/>
          <w:szCs w:val="15"/>
          <w:color w:val="000000"/>
        </w:rPr>
        <w:t>®</w:t>
      </w:r>
      <w:r>
        <w:rPr>
          <w:rFonts w:ascii="Arial" w:cs="Arial" w:eastAsia="Arial" w:hAnsi="Arial"/>
          <w:sz w:val="18"/>
          <w:szCs w:val="18"/>
          <w:color w:val="231F20"/>
        </w:rPr>
        <w:t xml:space="preserve"> iX Systems,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jc w:val="both"/>
        <w:ind w:left="1040" w:right="80" w:hanging="519"/>
        <w:spacing w:after="0" w:line="342" w:lineRule="auto"/>
        <w:tabs>
          <w:tab w:leader="none" w:pos="104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capacity limitations with the current installed base of ARTAS</w:t>
      </w:r>
      <w:r>
        <w:rPr>
          <w:rFonts w:ascii="Arial" w:cs="Arial" w:eastAsia="Arial" w:hAnsi="Arial"/>
          <w:sz w:val="13"/>
          <w:szCs w:val="13"/>
          <w:color w:val="000000"/>
        </w:rPr>
        <w:t>®</w:t>
      </w:r>
      <w:r>
        <w:rPr>
          <w:rFonts w:ascii="Arial" w:cs="Arial" w:eastAsia="Arial" w:hAnsi="Arial"/>
          <w:sz w:val="16"/>
          <w:szCs w:val="16"/>
          <w:color w:val="231F20"/>
        </w:rPr>
        <w:t xml:space="preserve"> or ARTAS</w:t>
      </w:r>
      <w:r>
        <w:rPr>
          <w:rFonts w:ascii="Arial" w:cs="Arial" w:eastAsia="Arial" w:hAnsi="Arial"/>
          <w:sz w:val="13"/>
          <w:szCs w:val="13"/>
          <w:color w:val="000000"/>
        </w:rPr>
        <w:t>®</w:t>
      </w:r>
      <w:r>
        <w:rPr>
          <w:rFonts w:ascii="Arial" w:cs="Arial" w:eastAsia="Arial" w:hAnsi="Arial"/>
          <w:sz w:val="16"/>
          <w:szCs w:val="16"/>
          <w:color w:val="231F20"/>
        </w:rPr>
        <w:t xml:space="preserve"> iX Systems, which can result in procedure-based fees not growing as quickly as system sales, as high performing practitioners are limited in the number of procedures that can be performed in any given period;</w:t>
      </w:r>
    </w:p>
    <w:p>
      <w:pPr>
        <w:spacing w:after="0" w:line="15" w:lineRule="exact"/>
        <w:rPr>
          <w:rFonts w:ascii="Arial" w:cs="Arial" w:eastAsia="Arial" w:hAnsi="Arial"/>
          <w:sz w:val="16"/>
          <w:szCs w:val="16"/>
          <w:color w:val="231F20"/>
        </w:rPr>
      </w:pPr>
    </w:p>
    <w:p>
      <w:pPr>
        <w:ind w:left="1040" w:hanging="519"/>
        <w:spacing w:after="0"/>
        <w:tabs>
          <w:tab w:leader="none" w:pos="104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limited or no utilization of the ARTAS</w:t>
      </w:r>
      <w:r>
        <w:rPr>
          <w:rFonts w:ascii="Arial" w:cs="Arial" w:eastAsia="Arial" w:hAnsi="Arial"/>
          <w:sz w:val="13"/>
          <w:szCs w:val="13"/>
          <w:color w:val="000000"/>
        </w:rPr>
        <w:t>®</w:t>
      </w:r>
      <w:r>
        <w:rPr>
          <w:rFonts w:ascii="Arial" w:cs="Arial" w:eastAsia="Arial" w:hAnsi="Arial"/>
          <w:sz w:val="16"/>
          <w:szCs w:val="16"/>
          <w:color w:val="231F20"/>
        </w:rPr>
        <w:t xml:space="preserve"> or ARTAS</w:t>
      </w:r>
      <w:r>
        <w:rPr>
          <w:rFonts w:ascii="Arial" w:cs="Arial" w:eastAsia="Arial" w:hAnsi="Arial"/>
          <w:sz w:val="13"/>
          <w:szCs w:val="13"/>
          <w:color w:val="000000"/>
        </w:rPr>
        <w:t>®</w:t>
      </w:r>
      <w:r>
        <w:rPr>
          <w:rFonts w:ascii="Arial" w:cs="Arial" w:eastAsia="Arial" w:hAnsi="Arial"/>
          <w:sz w:val="16"/>
          <w:szCs w:val="16"/>
          <w:color w:val="231F20"/>
        </w:rPr>
        <w:t xml:space="preserve"> iX Systems after purchase because of a change in physician preference or practice; and</w:t>
      </w:r>
    </w:p>
    <w:p>
      <w:pPr>
        <w:spacing w:after="0" w:line="140" w:lineRule="exact"/>
        <w:rPr>
          <w:rFonts w:ascii="Arial" w:cs="Arial" w:eastAsia="Arial" w:hAnsi="Arial"/>
          <w:sz w:val="16"/>
          <w:szCs w:val="16"/>
          <w:color w:val="231F20"/>
        </w:rPr>
      </w:pPr>
    </w:p>
    <w:p>
      <w:pPr>
        <w:ind w:left="1040" w:right="460" w:hanging="519"/>
        <w:spacing w:after="0" w:line="277" w:lineRule="auto"/>
        <w:tabs>
          <w:tab w:leader="none" w:pos="10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concentration of ARTAS procedures being performed on a limited number of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 Systems leading to volatility between periods if particular high-volume practitioners perform a smaller number of procedures in a given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In order to increase the number of procedures performed per ARTAS</w:t>
      </w:r>
      <w:r>
        <w:rPr>
          <w:rFonts w:ascii="Arial" w:cs="Arial" w:eastAsia="Arial" w:hAnsi="Arial"/>
          <w:sz w:val="14"/>
          <w:szCs w:val="14"/>
          <w:color w:val="000000"/>
        </w:rPr>
        <w:t>®</w:t>
      </w:r>
      <w:r>
        <w:rPr>
          <w:rFonts w:ascii="Arial" w:cs="Arial" w:eastAsia="Arial" w:hAnsi="Arial"/>
          <w:sz w:val="17"/>
          <w:szCs w:val="17"/>
          <w:color w:val="231F20"/>
        </w:rPr>
        <w:t xml:space="preserve"> or ARTAS</w:t>
      </w:r>
      <w:r>
        <w:rPr>
          <w:rFonts w:ascii="Arial" w:cs="Arial" w:eastAsia="Arial" w:hAnsi="Arial"/>
          <w:sz w:val="14"/>
          <w:szCs w:val="14"/>
          <w:color w:val="000000"/>
        </w:rPr>
        <w:t>®</w:t>
      </w:r>
      <w:r>
        <w:rPr>
          <w:rFonts w:ascii="Arial" w:cs="Arial" w:eastAsia="Arial" w:hAnsi="Arial"/>
          <w:sz w:val="17"/>
          <w:szCs w:val="17"/>
          <w:color w:val="231F20"/>
        </w:rPr>
        <w:t xml:space="preserve"> iX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If these efforts are successful, we anticipate that the growth in procedure-based fees will increase and that quarterly fluctuations in the number of total procedures performed will be reduced.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from Markets Outside the U.S.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231F20"/>
        </w:rPr>
        <w:t>Since launching the ARTAS</w:t>
      </w:r>
      <w:r>
        <w:rPr>
          <w:rFonts w:ascii="Arial" w:cs="Arial" w:eastAsia="Arial" w:hAnsi="Arial"/>
          <w:sz w:val="13"/>
          <w:szCs w:val="13"/>
          <w:color w:val="000000"/>
        </w:rPr>
        <w:t>®</w:t>
      </w:r>
      <w:r>
        <w:rPr>
          <w:rFonts w:ascii="Arial" w:cs="Arial" w:eastAsia="Arial" w:hAnsi="Arial"/>
          <w:sz w:val="16"/>
          <w:szCs w:val="16"/>
          <w:color w:val="231F20"/>
        </w:rPr>
        <w:t xml:space="preserve">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Arial" w:cs="Arial" w:eastAsia="Arial" w:hAnsi="Arial"/>
          <w:sz w:val="16"/>
          <w:szCs w:val="16"/>
          <w:color w:val="000000"/>
        </w:rPr>
        <w:t>Portugal, the Netherlands</w:t>
      </w:r>
      <w:r>
        <w:rPr>
          <w:rFonts w:ascii="Arial" w:cs="Arial" w:eastAsia="Arial" w:hAnsi="Arial"/>
          <w:sz w:val="16"/>
          <w:szCs w:val="16"/>
          <w:color w:val="231F20"/>
        </w:rPr>
        <w:t xml:space="preserve"> and through distributors in the other countries. We obtained clearance to sell in China in September 2016. However, we have not obtained any regulatory approvals or clearances outside of the U.S. and Europe for our implantation functionality.</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Revenue from markets outside of the U.S accounted for 41% of our total revenue in the first three months of 2019, compared to 55% from the same period in 2018. Although we will continue to invest resources outside of the U.S., we anticipate that the strategic shift in our sales strategy towards the U.S. market will impact the revenue mix between the U.S. and non-U.S. markets. In particular, in connection with our newly launched ARTAS</w:t>
      </w:r>
      <w:r>
        <w:rPr>
          <w:rFonts w:ascii="Arial" w:cs="Arial" w:eastAsia="Arial" w:hAnsi="Arial"/>
          <w:sz w:val="15"/>
          <w:szCs w:val="15"/>
          <w:color w:val="000000"/>
        </w:rPr>
        <w:t>®</w:t>
      </w:r>
      <w:r>
        <w:rPr>
          <w:rFonts w:ascii="Arial" w:cs="Arial" w:eastAsia="Arial" w:hAnsi="Arial"/>
          <w:sz w:val="18"/>
          <w:szCs w:val="18"/>
          <w:color w:val="231F20"/>
        </w:rPr>
        <w:t xml:space="preserve"> iX System, which is only cleared for sale in the U.S., our marketing efforts are highly focused on the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Internationally, both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 System unit sales and procedure-based fees decreased in the first three months of 2019 relative to the first three months of 2018. We believe the decline in system sales in the Asia Pacific region was due in part to potential customers delaying their purchase until the ARTAS® iX System is approved or cleared for use in their region.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While we believe our newly launched ARTAS</w:t>
      </w:r>
      <w:r>
        <w:rPr>
          <w:rFonts w:ascii="Arial" w:cs="Arial" w:eastAsia="Arial" w:hAnsi="Arial"/>
          <w:sz w:val="15"/>
          <w:szCs w:val="15"/>
          <w:color w:val="auto"/>
        </w:rPr>
        <w:t>®</w:t>
      </w:r>
      <w:r>
        <w:rPr>
          <w:rFonts w:ascii="Arial" w:cs="Arial" w:eastAsia="Arial" w:hAnsi="Arial"/>
          <w:sz w:val="18"/>
          <w:szCs w:val="18"/>
          <w:color w:val="auto"/>
        </w:rPr>
        <w:t xml:space="preserve"> iX System, which incorporates a robotic implantation functionality, could have a positive effect on system sales in the U.S., it may have a negative effect on system sales outside the U.S. as the robotic implantation functionality is only approved in the U.S. and potential non-U.S. customers of the ARTAS</w:t>
      </w:r>
      <w:r>
        <w:rPr>
          <w:rFonts w:ascii="Arial" w:cs="Arial" w:eastAsia="Arial" w:hAnsi="Arial"/>
          <w:sz w:val="15"/>
          <w:szCs w:val="15"/>
          <w:color w:val="auto"/>
        </w:rPr>
        <w:t>®</w:t>
      </w:r>
      <w:r>
        <w:rPr>
          <w:rFonts w:ascii="Arial" w:cs="Arial" w:eastAsia="Arial" w:hAnsi="Arial"/>
          <w:sz w:val="18"/>
          <w:szCs w:val="18"/>
          <w:color w:val="auto"/>
        </w:rPr>
        <w:t xml:space="preserve"> iX System may delay purchases of ARTAS</w:t>
      </w:r>
      <w:r>
        <w:rPr>
          <w:rFonts w:ascii="Arial" w:cs="Arial" w:eastAsia="Arial" w:hAnsi="Arial"/>
          <w:sz w:val="15"/>
          <w:szCs w:val="15"/>
          <w:color w:val="auto"/>
        </w:rPr>
        <w:t>®</w:t>
      </w:r>
      <w:r>
        <w:rPr>
          <w:rFonts w:ascii="Arial" w:cs="Arial" w:eastAsia="Arial" w:hAnsi="Arial"/>
          <w:sz w:val="18"/>
          <w:szCs w:val="18"/>
          <w:color w:val="auto"/>
        </w:rPr>
        <w:t xml:space="preserve"> systems until the implantation functionality is available in their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231F20"/>
        </w:rPr>
        <w:t>We expect our operating expenses to increase because of increased sales and marketing activity to promote penetration in markets outside the U.S. where we already sell the ARTAS</w:t>
      </w:r>
      <w:r>
        <w:rPr>
          <w:rFonts w:ascii="Arial" w:cs="Arial" w:eastAsia="Arial" w:hAnsi="Arial"/>
          <w:sz w:val="15"/>
          <w:szCs w:val="15"/>
          <w:color w:val="000000"/>
        </w:rPr>
        <w:t>®</w:t>
      </w:r>
      <w:r>
        <w:rPr>
          <w:rFonts w:ascii="Arial" w:cs="Arial" w:eastAsia="Arial" w:hAnsi="Arial"/>
          <w:sz w:val="18"/>
          <w:szCs w:val="18"/>
          <w:color w:val="231F20"/>
        </w:rPr>
        <w:t xml:space="preserve"> System and geographic expansion into new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the launch of our implantation functionality and the ARTAS</w:t>
      </w:r>
      <w:r>
        <w:rPr>
          <w:rFonts w:ascii="Arial" w:cs="Arial" w:eastAsia="Arial" w:hAnsi="Arial"/>
          <w:sz w:val="15"/>
          <w:szCs w:val="15"/>
          <w:color w:val="000000"/>
        </w:rPr>
        <w:t>®</w:t>
      </w:r>
      <w:r>
        <w:rPr>
          <w:rFonts w:ascii="Arial" w:cs="Arial" w:eastAsia="Arial" w:hAnsi="Arial"/>
          <w:sz w:val="18"/>
          <w:szCs w:val="18"/>
          <w:color w:val="231F20"/>
        </w:rPr>
        <w:t xml:space="preserve"> iX System, and unanticipated interruptions and expenses related to our operations and the proposed merger with Venus. In addition, due to the long lead time to finalize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iX-Systems unit sales with our physician customers, and the significant impact each unit sale has on a period’s revenue due to the price of each unit, our quarterly revenue may not be comparable from one period to another.</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and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3"/>
          </w:tcPr>
          <w:p>
            <w:pPr>
              <w:jc w:val="right"/>
              <w:ind w:right="387"/>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727"/>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i w:val="1"/>
                <w:iCs w:val="1"/>
                <w:color w:val="auto"/>
                <w:w w:val="92"/>
              </w:rPr>
              <w:t>(dollars in thousands)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Cost of revenue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2,457</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3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4,570</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4,384</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1,992</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2,351</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related expenses</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9,551</w:t>
            </w:r>
          </w:p>
        </w:tc>
        <w:tc>
          <w:tcPr>
            <w:tcW w:w="36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3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(6,614)</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(7,040)</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expense, net:</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(766)</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(358)</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(7,426)</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(7,418)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(7,440)</w:t>
            </w:r>
          </w:p>
        </w:tc>
        <w:tc>
          <w:tcPr>
            <w:tcW w:w="36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(7,431)</w:t>
            </w:r>
          </w:p>
        </w:tc>
        <w:tc>
          <w:tcPr>
            <w:tcW w:w="36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4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8% for the three months ended March 31, 2019, compared to the same period in 2018. The change in revenue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increased average selling price of our system sales for the three months ended March 31, 2019, as compared to the same period in 2018 due to the launch of ARTAS iX System in the third quarter of 2018, which have a higher average sales price. We sold 14 systems in the three months ended March 31, 2019, as compared to eight systems in the three months ended March 31, 2018. For the three months ended March 31, 2019, the revenue increase was partially offset by a decrease of $1.1 million from procedures-based fees, as compared to same period in 2018. The fluctuations in procedures-based fees was due to a significant number of ARTAS procedures being purchased prior to January 1, 2019 and being performed after that date, which we believe resulted in fewer procedures being purchased in the three months ended March 31, 2019.</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typically fluctuates with product mix, selling prices, material costs and revenue level. Gross margin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increased by 18 percentage points compared to the same period in 2018. The increase for the three months ended March 31, 2019 was primarily driven by certain cost efficiencies from manufacturing of our ARTAS iX System.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4%, for the three months ended March 31, 2019, compared to the same period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was </w:t>
      </w:r>
      <w:r>
        <w:rPr>
          <w:rFonts w:ascii="Arial" w:cs="Arial" w:eastAsia="Arial" w:hAnsi="Arial"/>
          <w:sz w:val="18"/>
          <w:szCs w:val="18"/>
          <w:color w:val="231F20"/>
        </w:rPr>
        <w:t>primarily</w:t>
      </w:r>
      <w:r>
        <w:rPr>
          <w:rFonts w:ascii="Arial" w:cs="Arial" w:eastAsia="Arial" w:hAnsi="Arial"/>
          <w:sz w:val="18"/>
          <w:szCs w:val="18"/>
          <w:color w:val="auto"/>
        </w:rPr>
        <w:t xml:space="preserve"> due to the ongoing commercialization efforts for the ARTAS</w:t>
      </w:r>
      <w:r>
        <w:rPr>
          <w:rFonts w:ascii="Arial" w:cs="Arial" w:eastAsia="Arial" w:hAnsi="Arial"/>
          <w:sz w:val="15"/>
          <w:szCs w:val="15"/>
          <w:color w:val="auto"/>
        </w:rPr>
        <w:t>®</w:t>
      </w:r>
      <w:r>
        <w:rPr>
          <w:rFonts w:ascii="Arial" w:cs="Arial" w:eastAsia="Arial" w:hAnsi="Arial"/>
          <w:sz w:val="18"/>
          <w:szCs w:val="18"/>
          <w:color w:val="auto"/>
        </w:rPr>
        <w:t xml:space="preserve"> iX System.</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30%, for the three months ended March 31,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decrease was primarily due to lower outside services and consulting costs associated with the development of the ARTAS</w:t>
      </w:r>
      <w:r>
        <w:rPr>
          <w:rFonts w:ascii="Arial" w:cs="Arial" w:eastAsia="Arial" w:hAnsi="Arial"/>
          <w:sz w:val="15"/>
          <w:szCs w:val="15"/>
          <w:color w:val="auto"/>
        </w:rPr>
        <w:t>®</w:t>
      </w:r>
      <w:r>
        <w:rPr>
          <w:rFonts w:ascii="Arial" w:cs="Arial" w:eastAsia="Arial" w:hAnsi="Arial"/>
          <w:sz w:val="18"/>
          <w:szCs w:val="18"/>
          <w:color w:val="auto"/>
        </w:rPr>
        <w:t xml:space="preserve"> iX System, which was commercially launched in July 2018.</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15%, for the three months ended March 31, 2019,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The decrease was primarily the result of reduced professional service costs, consisting of accounting, consulting, legal and other professional fees incurred in connection with our first year as a public company in 2018.</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Merger related expenses. </w:t>
      </w:r>
      <w:r>
        <w:rPr>
          <w:rFonts w:ascii="Arial" w:cs="Arial" w:eastAsia="Arial" w:hAnsi="Arial"/>
          <w:sz w:val="18"/>
          <w:szCs w:val="18"/>
          <w:color w:val="auto"/>
        </w:rPr>
        <w:t>Merger expenses increased 100% due to the pending merger transaction between our Company and Venus as further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overview section of Item 2. “</w:t>
      </w:r>
      <w:r>
        <w:rPr>
          <w:rFonts w:ascii="Arial" w:cs="Arial" w:eastAsia="Arial" w:hAnsi="Arial"/>
          <w:sz w:val="18"/>
          <w:szCs w:val="18"/>
          <w:i w:val="1"/>
          <w:iCs w:val="1"/>
          <w:color w:val="auto"/>
        </w:rPr>
        <w:t>Management’s Discussion and Analysis of Financial Condition and Results of Operations.”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114% for the three months ended March 31, 2019, compared to the same period in 2018. The increase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between the three-month periods was related to a higher average principal balance of our outstanding long-term-debt obligations as we refinanced our debt obligations with Solar in May 2018, which had a higher outstanding balance than the loan with our previous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change was not significant.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Provision for income tax: </w:t>
      </w:r>
      <w:r>
        <w:rPr>
          <w:rFonts w:ascii="Arial" w:cs="Arial" w:eastAsia="Arial" w:hAnsi="Arial"/>
          <w:sz w:val="18"/>
          <w:szCs w:val="18"/>
          <w:color w:val="auto"/>
        </w:rPr>
        <w:t>Our effective tax rate is (0.19%) for income tax for the three months ended March 31, 2019, and we expect that our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the full year 2019 will be (0.17%). Based on available evidence, including cumulative losses since inception and expected future losses, we have determined that it is more likely than not that our U.S. federal, U.S. state and Korea deferred tax assets will not be realized and therefore a valuation allowance has been provided on the U.S. federal, U.S. state and Korea net deferred tax assets.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general, if we experience a greater than 50% aggregate change in ownership over a three-year period, utilization of our pre-change net operating loss, or NOL, and credit carryforwards are subject to an annual limitation under Sections 382 and 383 of the U.S. Internal Revenue Code, or the Code. Generally, U.S. states maintain similar laws or regulations as Sections 382 and 383 of the Code. The annual limitation generally is determined by multiplying the value of our stock at the time of such ownership change (subject to certain adjustments) by the applicable long-term tax-exempt rate. Such limitations may result in expiration of a portion of the NOL or tax credit carryforwards before utilization.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file tax returns for U.S. federal and state taxes along with tax returns in the United Kingdom, Hong Kong, Spain and South Korea. We are not currently subject to any income tax examinations. Since our inception, we have incurred losses from our U.S. operations, which generally allows all tax years to remain open.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recognize the financial statement effects of a tax position when it becomes more likely than not, based upon the technical merits, that the position will be sustained upon examination. We do not expect any material changes in the next 12 months in unrecognized tax benefits.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We currently have no interest and penalties related to uncertain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$7.4 million for each of the three months ended March 31, 2019 and 2018. As of March 31, 2019, we had an accumulated deficit of $200.7 million. As of March 31, 2019, and December 31, 2018, we had cash and cash equivalents of $15.0 million and $16.1 million, respectively. As of the filing date of this Quarterly Report, we believe our current cash and cash equivalents will not be sufficient to fund our operations for the next twelve months. These factors raise substantial doubt about our ability to continue as a going concern.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May 10, 2018, we entered into a Loan and Security Agreement, as amended (the Solar Agreement) with Solar Capital Ltd. (Solar) and certain other lenders thereunder (together with Solar, the Lenders). Pursuant to the terms of the Solar Agreement, we borrowed $20.0 million with an interest rate at U.S. Dollar LIBOR plus 7.95% per annum (the Borrowings). All amounts borrowed under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t>Solar Agreement are secured by liens over all personal property of the Company. Monthly payments on any amounts drawn shall consist of the interest only payments for the first 18 months, followed by payments of principal and accrued interest monthly thereafter until the four-year anniversary of the date of the Solar Agreement. In connection with the Solar Agreement, we granted the Lenders warrants to purchase an aggregate of 161,725 shares of our common stock exercisable at a price of $3.71 per share. On November 2, 2018, the Solar Agreement was amended to modify the compliance requirement for certain revenue and liquidity threshold. As part of this amendment, we paid a fee of $50,000 to the Lenders and cancelled 161,725 Warrants (originally issued in May 2018, as mentioned above) and issued 161,725 new warrants of the Company’s common stock, $0.0001 par value per share, at an exercise price of $1.76 per share. All other terms of the Warrants were unchanged. On February 13, 2019, the Solar Agreement was amended to modify the compliance requirement for certain liquidity thresholds. As part of this amendment, the Final Fee (as defined in the Solar Agreement) that is payable to the Lenders upon prepayment, default and maturity of the Solar Agreement, was amended and increased to $960,000. In addition, the Solar Agreement was amended to include new covenants covering certain operational milestones. As of March 31, 2019, we were in compliance with all required covenants under the Solar Agreement, as amended.</w:t>
      </w:r>
    </w:p>
    <w:p>
      <w:pPr>
        <w:spacing w:after="0" w:line="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28, 2019, we raised $5.0 million through the issuance of Notes to Frederic Moll, M.D., one of our directors, and Interwest Partners IX, LP, one of our stockholders affiliated with Gil Kliman, M.D., one of our directors. The maturity date of the Notes is August 28, 2020. The Notes bear interest on the unpaid principal amount at a rate of eight percent (8.0%) per annum from the date of issuance. The Notes are unsecured and subordinate in priority to our existing obligations under the Solar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financed our operations principally through the issuance and sale of our common stock in our IPO, private placements of our capital stock, and to a lesser extent, secured debt financing and payments from customers. We believe that our existing cash and cash equivalents and cash expected to be generated from sales of our products will not be sufficient to fund our planned operations through the next 12 months. However, we will need additional capital to fund our future operations and we intend to obtain such capital through the sale of additional shares of capital stock or related securities.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Further, there can be no assurance that we will be able to raise additional funds on favorable terms, or at all. Our failure to raise additional capital would have a negative impact on our financial condition and our ability to execute our business plan.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the ongoing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System, we are unable to estimate the exact amount of our operating capital requirements. Our future funding requirements will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degree and rate of market acceptance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the ARTAS procedure;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the research and development activities we intend to undertake in order to expand the approved indications of use for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40" w:lineRule="exact"/>
        <w:rPr>
          <w:rFonts w:ascii="Arial" w:cs="Arial" w:eastAsia="Arial" w:hAnsi="Arial"/>
          <w:sz w:val="16"/>
          <w:szCs w:val="16"/>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associated with maintaining subsidiaries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(5,839)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(1,804)</w:t>
            </w: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w w:val="90"/>
              </w:rPr>
              <w:t>Effect of exchange rate changes on cash, cash equivalents and restricted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20"/>
                <w:szCs w:val="20"/>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three months ended March 31, 2019, cash used in operating activities of $5.8 million was attributable to a net loss of $7.4 million, partially offset by $0.9 million in non-cash charges and an increase from operating assets and liabilities of $0.7 million. The non-cash charges consisted primarily of stock-based compensation of $0.3 million, depreciation and amortization of $0.2 million, amortization of debt discounts and issuance costs of $0.2 million and provision for bad debt of $0.2 million. The net change in operating assets and liabilities was primarily attributable to an increase in accounts payable and accrued other liabilities of $0.7 million and an increase in inventory of $0.3 million primarily due to an increase in raw materials for ARTAS</w:t>
      </w:r>
      <w:r>
        <w:rPr>
          <w:rFonts w:ascii="Arial" w:cs="Arial" w:eastAsia="Arial" w:hAnsi="Arial"/>
          <w:sz w:val="13"/>
          <w:szCs w:val="13"/>
          <w:color w:val="auto"/>
        </w:rPr>
        <w:t>®</w:t>
      </w:r>
      <w:r>
        <w:rPr>
          <w:rFonts w:ascii="Arial" w:cs="Arial" w:eastAsia="Arial" w:hAnsi="Arial"/>
          <w:sz w:val="16"/>
          <w:szCs w:val="16"/>
          <w:color w:val="auto"/>
        </w:rPr>
        <w:t xml:space="preserve"> iX System, which was offset by a decrease in accounts receivable of $0.3 million due to the timing of collections from customers in the first quarter of 2019.</w:t>
      </w:r>
    </w:p>
    <w:p>
      <w:pPr>
        <w:spacing w:after="0" w:line="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three months ended March 31, 2018, cash used in operating activities of $5.0 million was attributable to a net loss of $7.4 million, partially offset by $0.6 million in non-cash charges and an increase from operating assets and liabilities of $1.9 million. The non-cash charges consisted primarily of provision for bad debt of $0.3 million, depreciation and amortization of $0.1 million, amortization of debt discounts and issuance costs of $0.1 million, stock-based compensation of $0.1 million. The net change in operating assets and liabilities was primarily attributable to an increase in accounts payable and accrued other liabilities of $1.4 million, an increase in deferred revenue of $0.6 million due to ARTAS System service contracts added in the first quarter of 2018 and the deferral of one ARTAS System sold, and an increase in inventory of $0.6 million as well as an increase in prepaid and other assets of $0.2 million, which was offset by a decrease in accounts receivable of $0.9 million due to the timing of collections from customers in the first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and 2018, cash used in investing activities related to purchases of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the three months ended March 31, 2019, cash provided by financing activities was $5.0 million, consisting of net proceeds from our Convertible Promissory Notes of $5.0 million.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months ended March 31, 2018, cash used in financing activities was $1.8 million, consisting of the $2.0 million payment of principal on our long-term debt, partially offset by $0.2 million of stock option exercises.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our contractual obligations as of March 31, 2019, which represent material expected or contractually committed future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6"/>
                <w:szCs w:val="16"/>
                <w:color w:val="auto"/>
              </w:rPr>
              <w:t>(1)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24,770</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40" w:hanging="512"/>
        <w:spacing w:after="0" w:line="276" w:lineRule="auto"/>
        <w:tabs>
          <w:tab w:leader="none" w:pos="52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Represents our loan with Solar as well as our Convertible Promissory Notes and our anticipated repayment schedule for the loans. Pursuant to our loan agreement with Solar, the loan will mature in May 2022. The loan with Solar accrues interest at prime plus 7.95% per annum. The outstanding principal balance on the Solar loan was $20.9 million as of March 31, 2019, which includes a final payment of $0.9 million to Solar on the maturity of the loan. The Convertible Promissory Notes accrues interest at 8.0% per annum. The outstanding principal balance plus accrued interest matures on August 28, 2020, unless converted into common stock of the Company prior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1209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the contractual obligations listed in the table above, in March 2018, we received U.S. FDA 510(k) clearance to expand the ARTAS</w:t>
      </w:r>
      <w:r>
        <w:rPr>
          <w:rFonts w:ascii="Arial" w:cs="Arial" w:eastAsia="Arial" w:hAnsi="Arial"/>
          <w:sz w:val="14"/>
          <w:szCs w:val="14"/>
          <w:color w:val="auto"/>
        </w:rPr>
        <w:t>®</w:t>
      </w:r>
      <w:r>
        <w:rPr>
          <w:rFonts w:ascii="Arial" w:cs="Arial" w:eastAsia="Arial" w:hAnsi="Arial"/>
          <w:sz w:val="17"/>
          <w:szCs w:val="17"/>
          <w:color w:val="auto"/>
        </w:rPr>
        <w:t xml:space="preserve"> System technology to include an implantation functionality. Based on manufacturing changes associated with the ARTAS</w:t>
      </w:r>
      <w:r>
        <w:rPr>
          <w:rFonts w:ascii="Arial" w:cs="Arial" w:eastAsia="Arial" w:hAnsi="Arial"/>
          <w:sz w:val="14"/>
          <w:szCs w:val="14"/>
          <w:color w:val="auto"/>
        </w:rPr>
        <w:t>®</w:t>
      </w:r>
      <w:r>
        <w:rPr>
          <w:rFonts w:ascii="Arial" w:cs="Arial" w:eastAsia="Arial" w:hAnsi="Arial"/>
          <w:sz w:val="17"/>
          <w:szCs w:val="17"/>
          <w:color w:val="auto"/>
        </w:rPr>
        <w:t xml:space="preserve"> System, we determined that certain components procured or expected to be procured by Evolve Manufacturing Technologies, Inc., our single third-party manufacturer, who assemble the ARTAS</w:t>
      </w:r>
      <w:r>
        <w:rPr>
          <w:rFonts w:ascii="Arial" w:cs="Arial" w:eastAsia="Arial" w:hAnsi="Arial"/>
          <w:sz w:val="14"/>
          <w:szCs w:val="14"/>
          <w:color w:val="auto"/>
        </w:rPr>
        <w:t>®</w:t>
      </w:r>
      <w:r>
        <w:rPr>
          <w:rFonts w:ascii="Arial" w:cs="Arial" w:eastAsia="Arial" w:hAnsi="Arial"/>
          <w:sz w:val="17"/>
          <w:szCs w:val="17"/>
          <w:color w:val="auto"/>
        </w:rPr>
        <w:t xml:space="preserve"> Systems, will be in excess of expected demand or usage. Additionally, in the fourth quarter of 2018, the Company recorded a charge related to other excess purchase commitments from another vendor based on cost reduction changes in 2019. As a result, we recorded a loss contingency accrual of $0.5 million and included in “Other accrued liabilities” on the condensed consolidated balance sheets as of March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GAAP.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2018 Annual Report on Form 10-K for the year ended December 31, 2018, in the Notes to the Consolidated Financial Statements (Note 1) and the Critical Accounting Policies and Estimates section in Management’s Discussion and Analysis of Financial Condition and Results of Operations. Except for the change in our revenue accounting policy, as discussed in Note 2, there have been no changes in these significant accounting policies during the three months ended March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and currency exchange rate fluctuations.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because of changes in interest rates. Declines in interest rates, however, would reduce our future interest income.</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are exposed to interest rate risk related to our debt obligations which are subject to variable interest rates. As of March 31, 2019, a 100-basis point increase in interest rates on our debt subject to variable interest rate fluctuations would increase our interest expense $0.2 million annually.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Chief Executive Officer and Chief Financial Officer did not identify any changes in our internal control over financial reporting in connection with the evaluation required by Rule 13a-15(d) and 15d-15(d) of the Exchange Act during the quarter ended March 31, 2019,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us as defendants, and certain of our current and former executive officers and directors, certain of our venture capital investors and the underwriters in our IPO. The Yzeiraj complaint names us as defendants and certain of our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 xml:space="preserve">On August 8, 2018, we, along with certain of our current and former executive officers and directors, filed a motion to dismiss the Wong complaint based on the forum selection clause designating the federal district courts as the exclusive forum for claims arising under the Securities Act contained in our Amended and Restated Certificate of Incorporation, and which asked the court in the alternative to stay the Wong action. Also, on August 8, 2018, the venture capital investor and underwriters’ defendants in the Wong action filed demurrers to the Wong complaint, and we, along with certain of our current and former executive officers and directors, joined in the venture capital investor defendants’ demurrer. A hearing on our motion to dismiss and the demurrers to the Wong complaint was held on October 24, 2018. </w:t>
      </w:r>
      <w:r>
        <w:rPr>
          <w:rFonts w:ascii="Arial" w:cs="Arial" w:eastAsia="Arial" w:hAnsi="Arial"/>
          <w:sz w:val="17"/>
          <w:szCs w:val="17"/>
          <w:color w:val="000000"/>
        </w:rPr>
        <w:t>On October 25, 2018, the Court ordered the defendants’ demurrers to the complaint sustained with leave to</w:t>
      </w:r>
      <w:r>
        <w:rPr>
          <w:rFonts w:ascii="Arial" w:cs="Arial" w:eastAsia="Arial" w:hAnsi="Arial"/>
          <w:sz w:val="17"/>
          <w:szCs w:val="17"/>
          <w:color w:val="231F20"/>
        </w:rPr>
        <w:t xml:space="preserve"> </w:t>
      </w:r>
      <w:r>
        <w:rPr>
          <w:rFonts w:ascii="Arial" w:cs="Arial" w:eastAsia="Arial" w:hAnsi="Arial"/>
          <w:sz w:val="17"/>
          <w:szCs w:val="17"/>
          <w:color w:val="000000"/>
        </w:rPr>
        <w:t>amend and granted an extension of time for plaintiff to serve a First Amended Complaint until further order of the Court. On January 31, 2019, the Court stayed the case and stayed any decision on the Company’s motion to dismiss on forum selection grounds pending resolution of an appeal of Sciabacucchi v. Salzberg, a case addressing similar issues in Delaware.</w:t>
      </w:r>
    </w:p>
    <w:p>
      <w:pPr>
        <w:spacing w:after="0" w:line="18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 xml:space="preserve">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w:t>
      </w:r>
      <w:r>
        <w:rPr>
          <w:rFonts w:ascii="Arial" w:cs="Arial" w:eastAsia="Arial" w:hAnsi="Arial"/>
          <w:sz w:val="16"/>
          <w:szCs w:val="16"/>
          <w:color w:val="000000"/>
        </w:rPr>
        <w:t>On November 30, 2018, Lead Plaintiff Edgardo Guerrini filed a Consolidated Amended Complaint for</w:t>
      </w:r>
      <w:r>
        <w:rPr>
          <w:rFonts w:ascii="Arial" w:cs="Arial" w:eastAsia="Arial" w:hAnsi="Arial"/>
          <w:sz w:val="16"/>
          <w:szCs w:val="16"/>
          <w:color w:val="231F20"/>
        </w:rPr>
        <w:t xml:space="preserve"> </w:t>
      </w:r>
      <w:r>
        <w:rPr>
          <w:rFonts w:ascii="Arial" w:cs="Arial" w:eastAsia="Arial" w:hAnsi="Arial"/>
          <w:sz w:val="16"/>
          <w:szCs w:val="16"/>
          <w:color w:val="000000"/>
        </w:rPr>
        <w:t>violations of federal securities laws asserting the same claims, against the same defendants, as his original complaint but adding certain allegations in support of those claims. On January 29, 2019, the Company, along with certain of its current and former executive officers and directors, filed a motion to dismiss the Consolidated Amended Complaint for failure to state a claim under Federal Rule of Civil Procedure 12(b)(6). The venture capital defendants and underwriter defendants filed joinders to the Company’s motion to dismiss on the same day. A hearing on the Company’s motion to dismiss is scheduled for July 11, 2019. The Company is unable to predict the date on which the District Court will issue any decision on the motion to dismiss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231F20"/>
        </w:rPr>
        <w:t>We believe that these lawsuits are without merit and we intend to vigorously defend against these claims.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including our unaudited condensed consolidated financial statements and the related notes thereto, and “Management’s Discussion and Analysis of Financial Condition and Results of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the Proposed Merger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On March 15, 2019, we entered into the Merger Agreement with Venus and Merger Sub, pursuant to which, among other things, the Merger will occur. In connection with the proposed Merger, we are subject to certain risks including, but not limited to, those set forth below. The description of each of the Merger Agreement and the Merger herein is qualified in its entirety by reference to the full text of the Merger Agreement which was filed as an exhibit to our Annual Report on Form 10-K filed on March 20, 2019.</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may fail to consummate the Merger, and uncertainties related to the consummation of the Merger may have a material adverse effect on our business, results of operations and financial condition and negatively impact the price of our common stock.</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On March 15, 2019, we entered into the Merger Agreement with Venus and Merger Sub. Pursuant to the Merger Agreement, Merger Sub will merge with and into Restoration Robotics, Inc., with Venus surviving the Merger as a wholly owned subsidiary of Restoration Robotics, Inc. The Merger is subject to the satisfaction of a number of conditions beyond our control, including receiving stockholder approval and other customary closing conditions. Failure to satisfy the conditions to the Merger could prevent or delay the completion of the Merger. Further, regulators may impose conditions, obligations or restrictions on the Merger that may have the effect of delaying or preventing its completion.</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The efforts and costs to satisfy the closing conditions of the Merger, may place a significant burden on management and internal resources, and the Merger and related transactions, whether or not consummated, may result in a diversion of management’s attention from day-to-day operations. Any significant diversion of management’s attention away from ongoing business and difficulties encountered in the Merger process could have a material adverse effect on our business, results of operations and financial condition.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There also is no assurance that the Merger and the other transactions contemplated by the Merger Agreement will occur on the terms and timeline currently contemplated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231F20"/>
        </w:rPr>
        <w:t>The Merger Agreement also contains certain customary termination rights, including the right of each of the Company and Venus to terminate the Merger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Agreement if the Merger is not consummated by October 31, 2019, subject to one (1) sixty-day extension in the event that the registration statement on Form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S-4 that will contain a proxy statement/prospectus to register our common stock to be issued pursuant to the Merger Agreement (the “S-4”) is still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review by the SEC, or if we have not received stockholder approval of the Merger within seventy (70) days of the date of the effectiveness of the S-4.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Merger Agreement is terminated under certain circumstances, including termination by us to enter into a superior alternative transaction or termination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Venus upon a change of the Board’s recommendation to the Company’s stockholders, we will be obligated to pay to Venus a termination fee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$1,115,000 in cash. In addition, if the Merger Agreement is terminated under other circumstances, including termination as a result of our failure to obtain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required approvals of our stockholders or a material breach of the Merger Agreement by us, we will be obligated to reimburse Venus for its reasonable out-of-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pocket fees and expenses, up to a maximum of $200,000 in cash.</w:t>
      </w:r>
    </w:p>
    <w:p>
      <w:pPr>
        <w:spacing w:after="0" w:line="10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231F20"/>
        </w:rPr>
        <w:t>If the proposed Merger is not completed or the Merger Agreement is terminated, the price of our common stock may decline, including to the extent that the current market price of our common stock reflects an assumption that the Merger and the other transactions contemplated by the Revised Merger Agreement will be consummated without further delays, which could have a material adverse effect on our business, results of operations and financial condition.</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If the Merger Agreement is terminated and we determine to seek another business combination, we may not be able to negotiate a transaction with another party on terms comparable to, or better than, the terms of the Merger.</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We are subject to various uncertainties and restrictions on the conduct of our business while the Merger is pending, which could have a material adverse effect on our business, results of operations and financial condition.</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Uncertainty about the pendency of the Merger and the effect of the Merger on employees, customers, vendors, communities and other third parties who deal with us may have a material adverse effect on our business, results of operations and financial condition. These uncertainties may impair our ability to attract, retain and motivate key personnel pending the consummation of the Merger, as such personnel may experience uncertainty about their future roles following the consummation of the Merger. Additionally, these uncertainties could cause customers, distributors, vendors and other third parties who deal with us to seek to change existing business relationships with us or fail to extend an existing relationship with us, including, but not limited to direct customers and distributors delaying their purchases and/or payments of the ARTAS</w:t>
      </w:r>
      <w:r>
        <w:rPr>
          <w:rFonts w:ascii="Arial" w:cs="Arial" w:eastAsia="Arial" w:hAnsi="Arial"/>
          <w:sz w:val="13"/>
          <w:szCs w:val="13"/>
          <w:color w:val="231F2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all of which could have a material adverse effect on our business, results of operations, financial condition and market price of our common stock. In addition, the Merger Agreement restricts us from taking certain actions without Venus’ consent while the Merger is pending. These restrictions may, among other matters, prevent us from pursuing otherwise attractive business opportunities, buying or selling assets, making certain capital expenditures, refinancing or incurring additional indebtedness, entering into transactions, or making other changes to our business prior to consummation of the Merger or termination of the Merger Agreement. These restrictions and uncertainties could have a material adverse effect on our business, results of operations and financial condition.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231F20"/>
        </w:rPr>
        <w:t>We and our directors and officers may be subject to lawsuits relating to the Merger.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Litigation is very common in connection with the sale of public companies, regardless of whether the claims have any merit. One of the conditions to consummating the Merger is that no order preventing or otherwise prohibiting the consummation of the Merger shall have been issued by any court. Consequently, if any lawsuit challenging the Merger is successful in obtaining an order preventing the consummation of the Merger, that order may delay or prevent the Merger from being completed. While we will evaluate and defend against any lawsuits, the time and costs of defending against litigation relating to the Merger may adversely affect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continue to incur substantial transaction-related costs in connection with the Merger.</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231F20"/>
        </w:rPr>
        <w:t>We have incurred significant legal, advisory and financial services fees in connection with Merger. We have incurred, and expect to continue to incur, additional costs in connection with the satisfaction of the various conditions to closing of the Merger, including seeking approval from our stockholders and from applicable regulatory agencies. If there is any delay in the consummation of the Merger, these costs could increase significantly.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have a limited commercial history and have focused primarily on research and development, product design and engineering, establishing supply and manufacturing relationships, seeking regulatory clearances and approvals to market the ARTAS® and ARTAS® iX System, and selling and marketing. We have incurred losses in each year since our inception in 2002. Our net losses were approximately $7.4 million for the three months ended March 31, 2019 and $28.7 million for the year ended December 31, 2018. As of March 31, 2019, we had an accumulated deficit of $200.7 million. We will continue to incur significant expenses for the foreseeable future as we expand our sales and marketing, research and development, and clinical and regulatory activities. We may never generate enough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Our operating expenses may fluctuate significantly in the future because of a variety of factors, many of which are outside of our control. These factors include:</w:t>
      </w:r>
    </w:p>
    <w:p>
      <w:pPr>
        <w:spacing w:after="0" w:line="6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costs of manufacturing and maintaining enough inventories of our products to meet anticipated demand and inventory write-offs related to obsolete products or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costs of enhancing the existing functionality and development of new functionalities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231F20"/>
        </w:rPr>
      </w:pPr>
    </w:p>
    <w:p>
      <w:pPr>
        <w:ind w:left="1040" w:right="320" w:hanging="519"/>
        <w:spacing w:after="0" w:line="277" w:lineRule="auto"/>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62"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any product liability or other lawsuits and the costs associated with defending them or the results of such lawsuits;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customers in jurisdictions where the </w:t>
      </w:r>
      <w:r>
        <w:rPr>
          <w:rFonts w:ascii="Arial" w:cs="Arial" w:eastAsia="Arial" w:hAnsi="Arial"/>
          <w:sz w:val="18"/>
          <w:szCs w:val="18"/>
          <w:color w:val="231F20"/>
        </w:rPr>
        <w:t>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iX System is not approved delaying their purchase, and not purchasing an 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System,</w:t>
      </w:r>
      <w:r>
        <w:rPr>
          <w:rFonts w:ascii="Arial" w:cs="Arial" w:eastAsia="Arial" w:hAnsi="Arial"/>
          <w:sz w:val="18"/>
          <w:szCs w:val="18"/>
          <w:color w:val="auto"/>
        </w:rPr>
        <w:t xml:space="preserve"> </w:t>
      </w:r>
      <w:r>
        <w:rPr>
          <w:rFonts w:ascii="Arial" w:cs="Arial" w:eastAsia="Arial" w:hAnsi="Arial"/>
          <w:sz w:val="18"/>
          <w:szCs w:val="18"/>
          <w:color w:val="231F20"/>
        </w:rPr>
        <w:t>until 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5" w:name="page36"/>
    <w:bookmarkEnd w:id="35"/>
    <w:p>
      <w:pPr>
        <w:ind w:right="260"/>
        <w:spacing w:after="0" w:line="259"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w:t>
      </w:r>
      <w:r>
        <w:rPr>
          <w:rFonts w:ascii="Arial" w:cs="Arial" w:eastAsia="Arial" w:hAnsi="Arial"/>
          <w:sz w:val="15"/>
          <w:szCs w:val="15"/>
          <w:color w:val="000000"/>
        </w:rPr>
        <w:t>®</w:t>
      </w:r>
      <w:r>
        <w:rPr>
          <w:rFonts w:ascii="Arial" w:cs="Arial" w:eastAsia="Arial" w:hAnsi="Arial"/>
          <w:sz w:val="18"/>
          <w:szCs w:val="18"/>
          <w:color w:val="231F20"/>
        </w:rPr>
        <w:t xml:space="preserve"> Systems sales, servicing and procedure-based fees. We may be unable to reduce our expenditures in a timely manner to compensate for any unexpected shortfalls in revenue. Accordingly, a significant shortfall in market acceptance or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procedures could have an immediate and material adverse impact on our business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38"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physician demand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procedure usage may vary from quarter to quarter;</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customers in jurisdictions where the </w:t>
      </w:r>
      <w:r>
        <w:rPr>
          <w:rFonts w:ascii="Arial" w:cs="Arial" w:eastAsia="Arial" w:hAnsi="Arial"/>
          <w:sz w:val="18"/>
          <w:szCs w:val="18"/>
          <w:color w:val="231F20"/>
        </w:rPr>
        <w:t>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iX System is not approved delaying their purchase, and not purchasing an 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System,</w:t>
      </w:r>
      <w:r>
        <w:rPr>
          <w:rFonts w:ascii="Arial" w:cs="Arial" w:eastAsia="Arial" w:hAnsi="Arial"/>
          <w:sz w:val="18"/>
          <w:szCs w:val="18"/>
          <w:color w:val="auto"/>
        </w:rPr>
        <w:t xml:space="preserve"> </w:t>
      </w:r>
      <w:r>
        <w:rPr>
          <w:rFonts w:ascii="Arial" w:cs="Arial" w:eastAsia="Arial" w:hAnsi="Arial"/>
          <w:sz w:val="18"/>
          <w:szCs w:val="18"/>
          <w:color w:val="231F20"/>
        </w:rPr>
        <w:t>until 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the inability of physicians to obtain the necessary financing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 or the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the length of our sales process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 of new functionalities and system updates, such as the robotic implantation functionality in the new ARTAS</w:t>
      </w:r>
      <w:r>
        <w:rPr>
          <w:rFonts w:ascii="Arial" w:cs="Arial" w:eastAsia="Arial" w:hAnsi="Arial"/>
          <w:sz w:val="14"/>
          <w:szCs w:val="14"/>
          <w:color w:val="auto"/>
        </w:rPr>
        <w:t>®</w:t>
      </w:r>
      <w:r>
        <w:rPr>
          <w:rFonts w:ascii="Arial" w:cs="Arial" w:eastAsia="Arial" w:hAnsi="Arial"/>
          <w:sz w:val="17"/>
          <w:szCs w:val="17"/>
          <w:color w:val="auto"/>
        </w:rPr>
        <w:t xml:space="preserve"> iX System;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positive or negative media coverage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the procedures or products of our competitors, or our industry generally;</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our ability to maintain our current, or obtain further, regulatory clearances or approvals such as the regulatory clearances and approvals necessary to market the ARTAS</w:t>
      </w:r>
      <w:r>
        <w:rPr>
          <w:rFonts w:ascii="Arial" w:cs="Arial" w:eastAsia="Arial" w:hAnsi="Arial"/>
          <w:sz w:val="15"/>
          <w:szCs w:val="15"/>
          <w:color w:val="000000"/>
        </w:rPr>
        <w:t>®</w:t>
      </w:r>
      <w:r>
        <w:rPr>
          <w:rFonts w:ascii="Arial" w:cs="Arial" w:eastAsia="Arial" w:hAnsi="Arial"/>
          <w:sz w:val="18"/>
          <w:szCs w:val="18"/>
          <w:color w:val="231F20"/>
        </w:rPr>
        <w:t xml:space="preserve"> iX System outside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introduction of new aesthetic procedures or products that compete with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adverse changes in the economy that reduce patient demand for elective aesthetic procedures.</w:t>
      </w:r>
    </w:p>
    <w:p>
      <w:pPr>
        <w:spacing w:after="0" w:line="33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sell a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at a relatively high price, with each sale of an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typically involving a significant amount of time. Because of the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we expect to sell in any period, each sale of a system could represent a significant percentage of our revenue for a period. Furthermore, due to the significant amount of time it can take to finalize the sale of a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period as an indication of future performance. If we do not sell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anticipated, our operating results will vary significantly from our expectations. In addition, selling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requires significant marketing effort and expenditure in advance of the receipt of revenue and our efforts may not result in a sale.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 xml:space="preserve">Our independent registered public accounting firm included an explanatory paragraph in its report on our consolidated financial statements as of, and for the year ended, December 31, 2018 that our recurring losses from operations and negative cash flows raise substantial doubt about our ability to continue as a going concern. </w:t>
      </w:r>
      <w:r>
        <w:rPr>
          <w:rFonts w:ascii="Arial" w:cs="Arial" w:eastAsia="Arial" w:hAnsi="Arial"/>
          <w:sz w:val="18"/>
          <w:szCs w:val="18"/>
          <w:color w:val="000000"/>
        </w:rPr>
        <w:t>As of the filing date of this Quarterly Report, we believe our current cash and cash equivalents will not be sufficient to fund our operations for</w:t>
      </w:r>
      <w:r>
        <w:rPr>
          <w:rFonts w:ascii="Arial" w:cs="Arial" w:eastAsia="Arial" w:hAnsi="Arial"/>
          <w:sz w:val="18"/>
          <w:szCs w:val="18"/>
          <w:color w:val="231F20"/>
        </w:rPr>
        <w:t xml:space="preserve"> </w:t>
      </w:r>
      <w:r>
        <w:rPr>
          <w:rFonts w:ascii="Arial" w:cs="Arial" w:eastAsia="Arial" w:hAnsi="Arial"/>
          <w:sz w:val="18"/>
          <w:szCs w:val="18"/>
          <w:color w:val="000000"/>
        </w:rPr>
        <w:t xml:space="preserve">the next twelve months. </w:t>
      </w:r>
      <w:r>
        <w:rPr>
          <w:rFonts w:ascii="Arial" w:cs="Arial" w:eastAsia="Arial" w:hAnsi="Arial"/>
          <w:sz w:val="18"/>
          <w:szCs w:val="18"/>
          <w:color w:val="231F20"/>
        </w:rPr>
        <w:t>Our ability to continue as a going concern will require us to obtain additional financing to fund our operations. The perception of our</w:t>
      </w:r>
      <w:r>
        <w:rPr>
          <w:rFonts w:ascii="Arial" w:cs="Arial" w:eastAsia="Arial" w:hAnsi="Arial"/>
          <w:sz w:val="18"/>
          <w:szCs w:val="18"/>
          <w:color w:val="000000"/>
        </w:rPr>
        <w:t xml:space="preserve"> </w:t>
      </w:r>
      <w:r>
        <w:rPr>
          <w:rFonts w:ascii="Arial" w:cs="Arial" w:eastAsia="Arial" w:hAnsi="Arial"/>
          <w:sz w:val="18"/>
          <w:szCs w:val="18"/>
          <w:color w:val="231F20"/>
        </w:rPr>
        <w:t>ability to continue as a going concern may make it more difficult for us to obtain financing for the continuation of our operations and could result in the loss of confidence by investors, suppliers and employees.</w:t>
      </w:r>
    </w:p>
    <w:p>
      <w:pPr>
        <w:spacing w:after="0" w:line="30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seeking regulatory clearances and approvals to market future products will require substantial funds to complete. As of March 31, 2019, we had capital resources consisting of cash and cash equivalents of $15.0 million. We believe that we will continue to expend substantial resources for the foreseeable future in connection with the ongoing commercializing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increasing our sales and marketing efforts, and continuing research and development and product enhancements activities.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believe our existing cash and cash equivalents and cash expected to be generated from the sale of our products will not be enough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enough funds for our current or future operating plans.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040" w:right="5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including any clinical trials that may be required to market such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7" w:name="page38"/>
    <w:bookmarkEnd w:id="37"/>
    <w:p>
      <w:pPr>
        <w:jc w:val="both"/>
        <w:ind w:right="140"/>
        <w:spacing w:after="0" w:line="264" w:lineRule="auto"/>
        <w:rPr>
          <w:sz w:val="20"/>
          <w:szCs w:val="20"/>
          <w:color w:val="auto"/>
        </w:rPr>
      </w:pPr>
      <w:r>
        <w:rPr>
          <w:rFonts w:ascii="Arial" w:cs="Arial" w:eastAsia="Arial" w:hAnsi="Arial"/>
          <w:sz w:val="18"/>
          <w:szCs w:val="18"/>
          <w:b w:val="1"/>
          <w:bCs w:val="1"/>
          <w:i w:val="1"/>
          <w:iCs w:val="1"/>
          <w:color w:val="231F20"/>
        </w:rPr>
        <w:t>We are dependent upon the success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 which has a limited commercial history. If we are unsuccessful in developing the market for robotic hair restoration or the market acceptance for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 fails to grow significantly, our business and future prospects will be harmed.</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We commenced commercial sales of the ARTAS</w:t>
      </w:r>
      <w:r>
        <w:rPr>
          <w:rFonts w:ascii="Arial" w:cs="Arial" w:eastAsia="Arial" w:hAnsi="Arial"/>
          <w:sz w:val="14"/>
          <w:szCs w:val="14"/>
          <w:color w:val="000000"/>
        </w:rPr>
        <w:t>®</w:t>
      </w:r>
      <w:r>
        <w:rPr>
          <w:rFonts w:ascii="Arial" w:cs="Arial" w:eastAsia="Arial" w:hAnsi="Arial"/>
          <w:sz w:val="17"/>
          <w:szCs w:val="17"/>
          <w:color w:val="231F20"/>
        </w:rPr>
        <w:t xml:space="preserve"> System for hair follicle dissection in the U.S. in 2011 and expect that the revenue we generate from both system sales and servicing as well as recurring procedure-based fees will account for all our revenue for the foreseeable future. Accordingly, our success depends on the acceptance among physicians and patients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the preferred system for performing hair restoration surgery.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is significantly dependent on our ability to convince physicians of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and patients is unproven. We believe that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will depend on many factors, including:</w:t>
      </w:r>
    </w:p>
    <w:p>
      <w:pPr>
        <w:spacing w:after="0" w:line="71" w:lineRule="exact"/>
        <w:rPr>
          <w:sz w:val="20"/>
          <w:szCs w:val="20"/>
          <w:color w:val="auto"/>
        </w:rPr>
      </w:pPr>
    </w:p>
    <w:p>
      <w:pPr>
        <w:ind w:left="1040" w:right="7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perceived advantages or disadvantages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compared to other hair restoration products and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safety and efficacy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price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effectiveness of our marketing, advertising, and commercialization initiatives;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success in adding new functionalities to the ARTAS</w:t>
      </w:r>
      <w:r>
        <w:rPr>
          <w:rFonts w:ascii="Arial" w:cs="Arial" w:eastAsia="Arial" w:hAnsi="Arial"/>
          <w:sz w:val="15"/>
          <w:szCs w:val="15"/>
          <w:b w:val="1"/>
          <w:bCs w:val="1"/>
          <w:i w:val="1"/>
          <w:iCs w:val="1"/>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enhancing existing functions;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231F20"/>
        </w:rPr>
        <w:t>our ability to obtain regulatory clearance to market the ARTAS</w:t>
      </w:r>
      <w:r>
        <w:rPr>
          <w:rFonts w:ascii="Arial" w:cs="Arial" w:eastAsia="Arial" w:hAnsi="Arial"/>
          <w:sz w:val="14"/>
          <w:szCs w:val="14"/>
          <w:b w:val="1"/>
          <w:bCs w:val="1"/>
          <w:i w:val="1"/>
          <w:iCs w:val="1"/>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for additional treatment indications in the U.S.</w:t>
      </w: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Further, the ARTAS</w:t>
      </w:r>
      <w:r>
        <w:rPr>
          <w:rFonts w:ascii="Arial" w:cs="Arial" w:eastAsia="Arial" w:hAnsi="Arial"/>
          <w:sz w:val="13"/>
          <w:szCs w:val="13"/>
          <w:color w:val="000000"/>
        </w:rPr>
        <w:t>®</w:t>
      </w:r>
      <w:r>
        <w:rPr>
          <w:rFonts w:ascii="Arial" w:cs="Arial" w:eastAsia="Arial" w:hAnsi="Arial"/>
          <w:sz w:val="16"/>
          <w:szCs w:val="16"/>
          <w:color w:val="231F20"/>
        </w:rPr>
        <w:t xml:space="preserve"> iX System, which was launched in June 2018, includes our recently approved robotic implantation functionality. As this functionality is new, it is possible that it could include defaults, “bugs” or present other technical issues which could prompt potential physician customers to delay their purchase of the ARTAS</w:t>
      </w:r>
      <w:r>
        <w:rPr>
          <w:rFonts w:ascii="Arial" w:cs="Arial" w:eastAsia="Arial" w:hAnsi="Arial"/>
          <w:sz w:val="13"/>
          <w:szCs w:val="13"/>
          <w:color w:val="000000"/>
        </w:rPr>
        <w:t>®</w:t>
      </w:r>
      <w:r>
        <w:rPr>
          <w:rFonts w:ascii="Arial" w:cs="Arial" w:eastAsia="Arial" w:hAnsi="Arial"/>
          <w:sz w:val="16"/>
          <w:szCs w:val="16"/>
          <w:color w:val="231F20"/>
        </w:rPr>
        <w:t xml:space="preserve"> iX System or could prompt physicians that have purchased the ARTAS</w:t>
      </w:r>
      <w:r>
        <w:rPr>
          <w:rFonts w:ascii="Arial" w:cs="Arial" w:eastAsia="Arial" w:hAnsi="Arial"/>
          <w:sz w:val="13"/>
          <w:szCs w:val="13"/>
          <w:color w:val="000000"/>
        </w:rPr>
        <w:t>®</w:t>
      </w:r>
      <w:r>
        <w:rPr>
          <w:rFonts w:ascii="Arial" w:cs="Arial" w:eastAsia="Arial" w:hAnsi="Arial"/>
          <w:sz w:val="16"/>
          <w:szCs w:val="16"/>
          <w:color w:val="231F20"/>
        </w:rPr>
        <w:t xml:space="preserve"> iX System to either return or not utilize the system.</w:t>
      </w:r>
    </w:p>
    <w:p>
      <w:pPr>
        <w:spacing w:after="0" w:line="14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231F20"/>
        </w:rPr>
        <w:t>We cannot assure you that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will achieve broad market acceptance among physicians and patients. Because we expect to derive substantially all our revenue for the foreseeable future from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sales, servicing and procedure-based fees, any failure of this product to satisfy physician or patient demand or to achieve meaningful market acceptance will harm our business and future prospects.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extent to which our physician customers recommend the ARTAS procedures to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ability to properly train our physician customers in the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so that their patients do not experience excessive discomfort during treatment or adverse side effects;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 safety, and effectiveness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versus other aesthetic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231F20"/>
        </w:rPr>
        <w:t>consumer sentiment about the benefits and risks of aesthetic procedures generally and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in particular;</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general consumer confidence, which may be impacted by economic and political conditions outside of our control.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31F20"/>
        </w:rPr>
        <w:t>In order to generate repeat and referral business, patients must be satisfied with the effectiveness of the ARTAS</w:t>
      </w:r>
      <w:r>
        <w:rPr>
          <w:rFonts w:ascii="Arial" w:cs="Arial" w:eastAsia="Arial" w:hAnsi="Arial"/>
          <w:sz w:val="14"/>
          <w:szCs w:val="14"/>
          <w:color w:val="000000"/>
        </w:rPr>
        <w:t>®</w:t>
      </w:r>
      <w:r>
        <w:rPr>
          <w:rFonts w:ascii="Arial" w:cs="Arial" w:eastAsia="Arial" w:hAnsi="Arial"/>
          <w:sz w:val="17"/>
          <w:szCs w:val="17"/>
          <w:color w:val="231F20"/>
        </w:rPr>
        <w:t xml:space="preserve"> Systems. If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procedure is not done correctly, and or the patient suffers from complications and other adverse effects, the patient may not be satisfied with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Furthermore, if the transplanted hair follicles do not grow or survive the transplant, the patient will likely not view the procedure as having a satisfactory outcome. If patients are not satisfied with the aesthetic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ARTAS</w:t>
      </w:r>
      <w:r>
        <w:rPr>
          <w:rFonts w:ascii="Arial" w:cs="Arial" w:eastAsia="Arial" w:hAnsi="Arial"/>
          <w:sz w:val="14"/>
          <w:szCs w:val="14"/>
          <w:color w:val="231F20"/>
        </w:rPr>
        <w:t>®</w:t>
      </w:r>
      <w:r>
        <w:rPr>
          <w:rFonts w:ascii="Arial" w:cs="Arial" w:eastAsia="Arial" w:hAnsi="Arial"/>
          <w:sz w:val="17"/>
          <w:szCs w:val="17"/>
          <w:color w:val="231F20"/>
        </w:rPr>
        <w:t xml:space="preserve"> iX System or feel that it is too expensive for the results obtained, our reputation and future sales will suffer.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Our ability to increase the number of physicians willing to make a significant capital expenditure to purchase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and make it a significant part of their practices, depends on the success of our sales and marketing programs. We must be able to demonstrate that the cost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but these programs require physician commitment and involvement to succeed. If we are unable to increase physician adoption and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our financial performance will be adversely affected.</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The medical technology and aesthetic product markets are highly competitive and dynamic and are characterized by rapid and substantial technological development and product innovations. We designed the ARTAS</w:t>
      </w:r>
      <w:r>
        <w:rPr>
          <w:rFonts w:ascii="Arial" w:cs="Arial" w:eastAsia="Arial" w:hAnsi="Arial"/>
          <w:sz w:val="15"/>
          <w:szCs w:val="15"/>
          <w:color w:val="000000"/>
        </w:rPr>
        <w:t>®</w:t>
      </w:r>
      <w:r>
        <w:rPr>
          <w:rFonts w:ascii="Arial" w:cs="Arial" w:eastAsia="Arial" w:hAnsi="Arial"/>
          <w:sz w:val="18"/>
          <w:szCs w:val="18"/>
          <w:color w:val="231F20"/>
        </w:rPr>
        <w:t xml:space="preserve"> System to assist physicians in performing follicular unit extraction surgery.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 could be limited by other products and technologies. Competition to address hair loss comes from various sources, including:</w:t>
      </w:r>
    </w:p>
    <w:p>
      <w:pPr>
        <w:spacing w:after="0" w:line="79" w:lineRule="exact"/>
        <w:rPr>
          <w:sz w:val="20"/>
          <w:szCs w:val="20"/>
          <w:color w:val="auto"/>
        </w:rPr>
      </w:pPr>
    </w:p>
    <w:p>
      <w:pPr>
        <w:ind w:left="1040" w:right="2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Surgical alternatives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231F20"/>
        </w:rPr>
        <w:t>Many options may be able to provide satisfactory results for male hair loss, generally at a lower cost to the patient than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 result, if patients choose these competitive alternatives, our results of operation could be adversely affected.</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our results of operation could be adversely affected.</w:t>
      </w:r>
    </w:p>
    <w:p>
      <w:pPr>
        <w:spacing w:after="0" w:line="14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9" w:name="page40"/>
    <w:bookmarkEnd w:id="39"/>
    <w:p>
      <w:pPr>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establish or strengthen our brand.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Systems,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ARTAS</w:t>
      </w:r>
      <w:r>
        <w:rPr>
          <w:rFonts w:ascii="Arial" w:cs="Arial" w:eastAsia="Arial" w:hAnsi="Arial"/>
          <w:sz w:val="14"/>
          <w:szCs w:val="14"/>
          <w:color w:val="000000"/>
        </w:rPr>
        <w:t>®</w:t>
      </w:r>
      <w:r>
        <w:rPr>
          <w:rFonts w:ascii="Arial" w:cs="Arial" w:eastAsia="Arial" w:hAnsi="Arial"/>
          <w:sz w:val="17"/>
          <w:szCs w:val="17"/>
          <w:color w:val="231F20"/>
        </w:rPr>
        <w:t xml:space="preserve"> Systems may not be accepted by physicians, which would adversely affect our business, results of operations and financial condition.</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231F20"/>
        </w:rPr>
        <w:t>We rely on a direct sales force to sell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6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hire qualified individuals as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provide adequate training for the effective sale and marketing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effectively oversee geographically dispersed sales and marketing teams.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which would cause our revenue to be lower than expected and harm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To market and sell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and/or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iX System in certain markets outside of the U.S., we depend on third-party distributors.</w:t>
      </w:r>
    </w:p>
    <w:p>
      <w:pPr>
        <w:spacing w:after="0" w:line="1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31F20"/>
        </w:rPr>
        <w:t>We depend on third-party distributors to sell, market, and service the ARTAS</w:t>
      </w:r>
      <w:r>
        <w:rPr>
          <w:rFonts w:ascii="Arial" w:cs="Arial" w:eastAsia="Arial" w:hAnsi="Arial"/>
          <w:sz w:val="13"/>
          <w:szCs w:val="13"/>
          <w:color w:val="000000"/>
        </w:rPr>
        <w:t>®</w:t>
      </w:r>
      <w:r>
        <w:rPr>
          <w:rFonts w:ascii="Arial" w:cs="Arial" w:eastAsia="Arial" w:hAnsi="Arial"/>
          <w:sz w:val="16"/>
          <w:szCs w:val="16"/>
          <w:color w:val="231F20"/>
        </w:rPr>
        <w:t xml:space="preserve">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39"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third-party distributors may not be as selective as we would be in choosing physicians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 or as effective in training physicians in marketing and patient selection;</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6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iX System in markets outside of the U.S., we must address many international business risks with which we have limited experience.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Sales in markets outside of the U.S. accounted for approximately 40% of our revenue for the year ended December 31, 2018 and 41% and 54% of our revenue for the three months ended March 31, 2019 and 2018, respectively. We believe that a significant percentage of our business will continue to come from sales in markets outside of the U.S. through increased penetration in countries where we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or ARTAS</w:t>
      </w:r>
      <w:r>
        <w:rPr>
          <w:rFonts w:ascii="Arial" w:cs="Arial" w:eastAsia="Arial" w:hAnsi="Arial"/>
          <w:sz w:val="15"/>
          <w:szCs w:val="15"/>
          <w:color w:val="000000"/>
        </w:rPr>
        <w:t>®</w:t>
      </w:r>
      <w:r>
        <w:rPr>
          <w:rFonts w:ascii="Arial" w:cs="Arial" w:eastAsia="Arial" w:hAnsi="Arial"/>
          <w:sz w:val="18"/>
          <w:szCs w:val="18"/>
          <w:color w:val="231F20"/>
        </w:rPr>
        <w:t xml:space="preserve"> iX System. However, international sales are subject to a number of risks, including:</w:t>
      </w:r>
    </w:p>
    <w:p>
      <w:pPr>
        <w:spacing w:after="0" w:line="7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reduced or varied protection for intellectual property rights in some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foreign certification and regulatory clearance or approval requirements, including receiving regulatory approval and clearance for the robotic implantation functionality included in our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customs clearance and shipping delays;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increased financial accounting and reporting burdens and complexities.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We expect that our revenue from international markets may decrease in the near term as we have received regulatory approval or clearance for the implantation function outside of the U.S., which may result in purchasing delays in international markets as customers await the availability of that function. In addition, the number of ARTAS</w:t>
      </w:r>
      <w:r>
        <w:rPr>
          <w:rFonts w:ascii="Arial" w:cs="Arial" w:eastAsia="Arial" w:hAnsi="Arial"/>
          <w:sz w:val="14"/>
          <w:szCs w:val="14"/>
          <w:color w:val="000000"/>
        </w:rPr>
        <w:t>®</w:t>
      </w:r>
      <w:r>
        <w:rPr>
          <w:rFonts w:ascii="Arial" w:cs="Arial" w:eastAsia="Arial" w:hAnsi="Arial"/>
          <w:sz w:val="17"/>
          <w:szCs w:val="17"/>
          <w:color w:val="231F20"/>
        </w:rPr>
        <w:t xml:space="preserve"> Systems previously sold to distributors that have not yet been placed with an end user has increased in recent periods, which, in combination with the launch of ARTAS</w:t>
      </w:r>
      <w:r>
        <w:rPr>
          <w:rFonts w:ascii="Arial" w:cs="Arial" w:eastAsia="Arial" w:hAnsi="Arial"/>
          <w:sz w:val="14"/>
          <w:szCs w:val="14"/>
          <w:color w:val="000000"/>
        </w:rPr>
        <w:t>®</w:t>
      </w:r>
      <w:r>
        <w:rPr>
          <w:rFonts w:ascii="Arial" w:cs="Arial" w:eastAsia="Arial" w:hAnsi="Arial"/>
          <w:sz w:val="17"/>
          <w:szCs w:val="17"/>
          <w:color w:val="231F20"/>
        </w:rPr>
        <w:t xml:space="preserve"> iX, System may further exaggerate delays in international system sales.</w:t>
      </w:r>
    </w:p>
    <w:p>
      <w:pPr>
        <w:spacing w:after="0" w:line="28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has only been commercially available since 2011. As a result, we have a limited track record compared to traditional hair transplantation surgery and the safety and efficacy of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is not yet supported by long-term clinical data, which could limit sales, and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could prove to be less safe or effective than initially thought.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spacing w:after="0" w:line="272" w:lineRule="auto"/>
        <w:rPr>
          <w:sz w:val="20"/>
          <w:szCs w:val="20"/>
          <w:color w:val="auto"/>
        </w:rPr>
      </w:pPr>
      <w:r>
        <w:rPr>
          <w:rFonts w:ascii="Arial" w:cs="Arial" w:eastAsia="Arial" w:hAnsi="Arial"/>
          <w:sz w:val="17"/>
          <w:szCs w:val="17"/>
          <w:color w:val="231F20"/>
        </w:rPr>
        <w:t>Hair transplantation surgery has been a treatment option for hair restoration for many years, while we only began commercializing the ARTAS</w:t>
      </w:r>
      <w:r>
        <w:rPr>
          <w:rFonts w:ascii="Arial" w:cs="Arial" w:eastAsia="Arial" w:hAnsi="Arial"/>
          <w:sz w:val="14"/>
          <w:szCs w:val="14"/>
          <w:color w:val="000000"/>
        </w:rPr>
        <w:t>®</w:t>
      </w:r>
      <w:r>
        <w:rPr>
          <w:rFonts w:ascii="Arial" w:cs="Arial" w:eastAsia="Arial" w:hAnsi="Arial"/>
          <w:sz w:val="17"/>
          <w:szCs w:val="17"/>
          <w:color w:val="231F20"/>
        </w:rPr>
        <w:t xml:space="preserve"> System in 2011. Consequently, we lack the breadth of published long-term clinical data supporting the safety and efficacy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the benefits it offers that might have been generated in connection with other hair restoration techniques. As a result, physicians may be slow to adopt the ARTAS</w:t>
      </w:r>
      <w:r>
        <w:rPr>
          <w:rFonts w:ascii="Arial" w:cs="Arial" w:eastAsia="Arial" w:hAnsi="Arial"/>
          <w:sz w:val="14"/>
          <w:szCs w:val="14"/>
          <w:color w:val="000000"/>
        </w:rPr>
        <w:t>®</w:t>
      </w:r>
      <w:r>
        <w:rPr>
          <w:rFonts w:ascii="Arial" w:cs="Arial" w:eastAsia="Arial" w:hAnsi="Arial"/>
          <w:sz w:val="17"/>
          <w:szCs w:val="17"/>
          <w:color w:val="231F20"/>
        </w:rPr>
        <w:t xml:space="preserve"> System, we may not have comparative data that our competitors have or are generating, and we may be subject to greater regulatory and product liability risks. Furthermore, future patient studies or clinical experience may indicate that treatment with the ARTAS</w:t>
      </w:r>
      <w:r>
        <w:rPr>
          <w:rFonts w:ascii="Arial" w:cs="Arial" w:eastAsia="Arial" w:hAnsi="Arial"/>
          <w:sz w:val="14"/>
          <w:szCs w:val="14"/>
          <w:color w:val="000000"/>
        </w:rPr>
        <w:t>®</w:t>
      </w:r>
      <w:r>
        <w:rPr>
          <w:rFonts w:ascii="Arial" w:cs="Arial" w:eastAsia="Arial" w:hAnsi="Arial"/>
          <w:sz w:val="17"/>
          <w:szCs w:val="17"/>
          <w:color w:val="231F20"/>
        </w:rPr>
        <w:t xml:space="preserve"> System does not improve patient outcomes compared to other hair restoration techniques. Such results would slow the adoption of the ARTAS</w:t>
      </w:r>
      <w:r>
        <w:rPr>
          <w:rFonts w:ascii="Arial" w:cs="Arial" w:eastAsia="Arial" w:hAnsi="Arial"/>
          <w:sz w:val="14"/>
          <w:szCs w:val="14"/>
          <w:color w:val="000000"/>
        </w:rPr>
        <w:t>®</w:t>
      </w:r>
      <w:r>
        <w:rPr>
          <w:rFonts w:ascii="Arial" w:cs="Arial" w:eastAsia="Arial" w:hAnsi="Arial"/>
          <w:sz w:val="17"/>
          <w:szCs w:val="17"/>
          <w:color w:val="231F20"/>
        </w:rPr>
        <w:t xml:space="preserve"> System by physicians, would significantly reduce our ability to achieve expected sales and could prevent us from achieving and maintaining profitability.</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w:t>
      </w:r>
      <w:r>
        <w:rPr>
          <w:rFonts w:ascii="Arial" w:cs="Arial" w:eastAsia="Arial" w:hAnsi="Arial"/>
          <w:sz w:val="13"/>
          <w:szCs w:val="13"/>
          <w:color w:val="000000"/>
        </w:rPr>
        <w:t>®</w:t>
      </w:r>
      <w:r>
        <w:rPr>
          <w:rFonts w:ascii="Arial" w:cs="Arial" w:eastAsia="Arial" w:hAnsi="Arial"/>
          <w:sz w:val="16"/>
          <w:szCs w:val="16"/>
          <w:color w:val="231F20"/>
        </w:rPr>
        <w:t xml:space="preserve"> System. If future patient studies or clinical testing do not support our belief that our system offers a more advantageous treatment for hair restoration,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Arial" w:cs="Arial" w:eastAsia="Arial" w:hAnsi="Arial"/>
          <w:sz w:val="13"/>
          <w:szCs w:val="13"/>
          <w:color w:val="000000"/>
        </w:rPr>
        <w:t>®</w:t>
      </w:r>
      <w:r>
        <w:rPr>
          <w:rFonts w:ascii="Arial" w:cs="Arial" w:eastAsia="Arial" w:hAnsi="Arial"/>
          <w:sz w:val="16"/>
          <w:szCs w:val="16"/>
          <w:color w:val="231F20"/>
        </w:rPr>
        <w:t xml:space="preserve"> System may be adversely affected, even if such effects are not applicable to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by physicians, significantly reduce our ability to achieve expected revenue and prevent us from becoming profitable.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were the subject of purported class action lawsuits, and additional litigation may be brought against us in the future.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In May and June 2018, a number of purported stockholder class action complaints were filed against us, the members of our board of directors (and affiliated venture funds), as well as certain of our current and former officers and the underwriters in our IPO.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money damages, other equitable relief and attorneys’ fees and costs. 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reusable procedure kits, disposable procedure kits and spare procedures kits used with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NPI Solutions, Inc., or NPI, produces reusable procedure kits, disposable procedure kits and spare kits used with the ARTAS</w:t>
      </w:r>
      <w:r>
        <w:rPr>
          <w:rFonts w:ascii="Arial" w:cs="Arial" w:eastAsia="Arial" w:hAnsi="Arial"/>
          <w:sz w:val="15"/>
          <w:szCs w:val="15"/>
          <w:color w:val="231F2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If the operations of NPI are interrupted or if it is unable or unwilling to meet our delivery requirements due to capacity limitations or other constraints, we may be limited in our ability to fulfill new customer kit orders required for use with existing ARTAS</w:t>
      </w:r>
      <w:r>
        <w:rPr>
          <w:rFonts w:ascii="Arial" w:cs="Arial" w:eastAsia="Arial" w:hAnsi="Arial"/>
          <w:sz w:val="15"/>
          <w:szCs w:val="15"/>
          <w:color w:val="231F2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231F20"/>
        </w:rPr>
        <w:t>We have a manufacturing agreement for consumables with NPI for the supply of consumable products, including reusable procedure kits, disposable procedure kits and spare procedure kits used with the ARTAS</w:t>
      </w:r>
      <w:r>
        <w:rPr>
          <w:rFonts w:ascii="Arial" w:cs="Arial" w:eastAsia="Arial" w:hAnsi="Arial"/>
          <w:sz w:val="13"/>
          <w:szCs w:val="13"/>
          <w:color w:val="231F20"/>
        </w:rPr>
        <w:t>®</w:t>
      </w:r>
      <w:r>
        <w:rPr>
          <w:rFonts w:ascii="Arial" w:cs="Arial" w:eastAsia="Arial" w:hAnsi="Arial"/>
          <w:sz w:val="16"/>
          <w:szCs w:val="16"/>
          <w:color w:val="231F20"/>
        </w:rPr>
        <w:t xml:space="preserve"> System and ARTAS</w:t>
      </w:r>
      <w:r>
        <w:rPr>
          <w:rFonts w:ascii="Arial" w:cs="Arial" w:eastAsia="Arial" w:hAnsi="Arial"/>
          <w:sz w:val="13"/>
          <w:szCs w:val="13"/>
          <w:color w:val="231F20"/>
        </w:rPr>
        <w:t>®</w:t>
      </w:r>
      <w:r>
        <w:rPr>
          <w:rFonts w:ascii="Arial" w:cs="Arial" w:eastAsia="Arial" w:hAnsi="Arial"/>
          <w:sz w:val="16"/>
          <w:szCs w:val="16"/>
          <w:color w:val="231F20"/>
        </w:rPr>
        <w:t xml:space="preserve"> iX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In addition, our reliance on NPI involves a number of other risks, including, among other things, that:</w:t>
      </w:r>
    </w:p>
    <w:p>
      <w:pPr>
        <w:spacing w:after="0" w:line="117" w:lineRule="exact"/>
        <w:rPr>
          <w:sz w:val="20"/>
          <w:szCs w:val="20"/>
          <w:color w:val="auto"/>
        </w:rPr>
      </w:pPr>
    </w:p>
    <w:p>
      <w:pPr>
        <w:ind w:left="1520" w:right="340" w:hanging="378"/>
        <w:spacing w:after="0" w:line="259" w:lineRule="auto"/>
        <w:tabs>
          <w:tab w:leader="none" w:pos="152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w:t>
      </w:r>
    </w:p>
    <w:p>
      <w:pPr>
        <w:spacing w:after="0" w:line="78" w:lineRule="exact"/>
        <w:rPr>
          <w:rFonts w:ascii="Arial" w:cs="Arial" w:eastAsia="Arial" w:hAnsi="Arial"/>
          <w:sz w:val="18"/>
          <w:szCs w:val="18"/>
          <w:color w:val="231F20"/>
        </w:rPr>
      </w:pPr>
    </w:p>
    <w:p>
      <w:pPr>
        <w:ind w:left="1520" w:right="260" w:hanging="378"/>
        <w:spacing w:after="0" w:line="277" w:lineRule="auto"/>
        <w:tabs>
          <w:tab w:leader="none" w:pos="152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left="1520" w:hanging="378"/>
        <w:spacing w:after="0"/>
        <w:tabs>
          <w:tab w:leader="none" w:pos="15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8"/>
          <w:szCs w:val="18"/>
          <w:color w:val="231F20"/>
        </w:rPr>
      </w:pPr>
    </w:p>
    <w:p>
      <w:pPr>
        <w:ind w:left="1520" w:hanging="378"/>
        <w:spacing w:after="0"/>
        <w:tabs>
          <w:tab w:leader="none" w:pos="15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NPI may wish to discontinue manufacturing and supplying products to us for risk management reasons; and</w:t>
      </w:r>
    </w:p>
    <w:p>
      <w:pPr>
        <w:spacing w:after="0" w:line="117" w:lineRule="exact"/>
        <w:rPr>
          <w:rFonts w:ascii="Arial" w:cs="Arial" w:eastAsia="Arial" w:hAnsi="Arial"/>
          <w:sz w:val="18"/>
          <w:szCs w:val="18"/>
          <w:color w:val="231F20"/>
        </w:rPr>
      </w:pPr>
    </w:p>
    <w:p>
      <w:pPr>
        <w:ind w:left="1520" w:right="100" w:hanging="378"/>
        <w:spacing w:after="0" w:line="277" w:lineRule="auto"/>
        <w:tabs>
          <w:tab w:leader="none" w:pos="15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NPI may encounter financial or other hardships unrelated to our demand for products, which could inhibit its ability to fulfill our orders and meet our requirements.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8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Arial" w:cs="Arial" w:eastAsia="Arial" w:hAnsi="Arial"/>
          <w:sz w:val="15"/>
          <w:szCs w:val="15"/>
          <w:color w:val="231F2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including the related consumables, our reputation, business, financial condition and results of operations could be negatively impacted.</w:t>
      </w:r>
    </w:p>
    <w:p>
      <w:pPr>
        <w:spacing w:after="0" w:line="29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231F20"/>
        </w:rPr>
        <w:t>If NPI is unable to manufacture the reusable procedure kits, disposable procedure kits and spare procedures kits used with the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System and the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iX System in high-quality commercial quantities successfully and consistently to meet demand, our growth will be limited.</w:t>
      </w:r>
    </w:p>
    <w:p>
      <w:pPr>
        <w:spacing w:after="0" w:line="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To manufacture our reusable procedure kits, disposable procedure kits and spare procedure kits in the quantities that we believe will be required to meet anticipated market demand, NPI will need to increase manufacturing capacity, which will involve significant challenges. In addition, the development of commercial-scale manufacturing capabilities will require us and NPI to invest substantial additional funds and hire and retain the technical personnel who have the necessary manufacturing experience. Neither we nor NPI may successfully complete any required increase to existing manufacturing processes in a timely manner, or at all.</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NPI is unable to produce the reusable procedure kits, disposable procedure kits and spare kits in sufficient quantities to meet anticipated customer demand, our revenue, business, and financial prospects would be harmed. The limited experience NPI has in producing larger quantities of the procedure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5"/>
          <w:szCs w:val="15"/>
          <w:color w:val="231F20"/>
        </w:rPr>
        <w:t>®</w:t>
      </w:r>
      <w:r>
        <w:rPr>
          <w:rFonts w:ascii="Arial" w:cs="Arial" w:eastAsia="Arial" w:hAnsi="Arial"/>
          <w:sz w:val="18"/>
          <w:szCs w:val="18"/>
          <w:color w:val="231F20"/>
        </w:rPr>
        <w:t xml:space="preserve"> System and the ARTAS</w:t>
      </w:r>
      <w:r>
        <w:rPr>
          <w:rFonts w:ascii="Arial" w:cs="Arial" w:eastAsia="Arial" w:hAnsi="Arial"/>
          <w:sz w:val="15"/>
          <w:szCs w:val="15"/>
          <w:color w:val="231F20"/>
        </w:rPr>
        <w:t>®</w:t>
      </w:r>
      <w:r>
        <w:rPr>
          <w:rFonts w:ascii="Arial" w:cs="Arial" w:eastAsia="Arial" w:hAnsi="Arial"/>
          <w:sz w:val="18"/>
          <w:szCs w:val="18"/>
          <w:color w:val="231F20"/>
        </w:rPr>
        <w:t xml:space="preserve"> iX System and procedures and further affect our results of operations.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If we are unable to manufacture our next generation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called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iX System in high-quality commercial quantities successfully and consistently to meet demand, our growth will be limited, and our reputation could be harmed.</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To manufacture our ARTAS</w:t>
      </w:r>
      <w:r>
        <w:rPr>
          <w:rFonts w:ascii="Arial" w:cs="Arial" w:eastAsia="Arial" w:hAnsi="Arial"/>
          <w:sz w:val="14"/>
          <w:szCs w:val="14"/>
          <w:color w:val="231F20"/>
        </w:rPr>
        <w:t>®</w:t>
      </w:r>
      <w:r>
        <w:rPr>
          <w:rFonts w:ascii="Arial" w:cs="Arial" w:eastAsia="Arial" w:hAnsi="Arial"/>
          <w:sz w:val="17"/>
          <w:szCs w:val="17"/>
          <w:color w:val="231F20"/>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products (e.g. ARTAS</w:t>
      </w:r>
      <w:r>
        <w:rPr>
          <w:rFonts w:ascii="Arial" w:cs="Arial" w:eastAsia="Arial" w:hAnsi="Arial"/>
          <w:sz w:val="14"/>
          <w:szCs w:val="14"/>
          <w:color w:val="231F20"/>
        </w:rPr>
        <w:t>®</w:t>
      </w:r>
      <w:r>
        <w:rPr>
          <w:rFonts w:ascii="Arial" w:cs="Arial" w:eastAsia="Arial" w:hAnsi="Arial"/>
          <w:sz w:val="17"/>
          <w:szCs w:val="17"/>
          <w:color w:val="231F20"/>
        </w:rPr>
        <w:t xml:space="preserve"> System) in-house or without the contract manufacturer involvement. Over the next 12 months, we will manufacture the ARTAS</w:t>
      </w:r>
      <w:r>
        <w:rPr>
          <w:rFonts w:ascii="Arial" w:cs="Arial" w:eastAsia="Arial" w:hAnsi="Arial"/>
          <w:sz w:val="14"/>
          <w:szCs w:val="14"/>
          <w:color w:val="231F20"/>
        </w:rPr>
        <w:t>®</w:t>
      </w:r>
      <w:r>
        <w:rPr>
          <w:rFonts w:ascii="Arial" w:cs="Arial" w:eastAsia="Arial" w:hAnsi="Arial"/>
          <w:sz w:val="17"/>
          <w:szCs w:val="17"/>
          <w:color w:val="231F20"/>
        </w:rPr>
        <w:t xml:space="preserve"> iX System without a third-party contract manufacturer’s involvement. The development of commercial-scale manufacturing capabilities will require us (or our contract manufacturer for ARTAS</w:t>
      </w:r>
      <w:r>
        <w:rPr>
          <w:rFonts w:ascii="Arial" w:cs="Arial" w:eastAsia="Arial" w:hAnsi="Arial"/>
          <w:sz w:val="14"/>
          <w:szCs w:val="14"/>
          <w:color w:val="231F20"/>
        </w:rPr>
        <w:t>®</w:t>
      </w:r>
      <w:r>
        <w:rPr>
          <w:rFonts w:ascii="Arial" w:cs="Arial" w:eastAsia="Arial" w:hAnsi="Arial"/>
          <w:sz w:val="17"/>
          <w:szCs w:val="17"/>
          <w:color w:val="231F20"/>
        </w:rPr>
        <w:t xml:space="preserve"> iX System, if we decide to utilize one on a long-term basis) to invest substantial additional funds and hire and retain the technical personnel who have the necessary manufacturing experience. Neither we nor a third-party manufacturer, if one is utilized, may successfully complete any required increase to existing manufacturing processes in a timely manner, or at all.</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231F20"/>
        </w:rPr>
        <w:t>If we or a contract manufacturer, if one is utilized, are unable to produce the ARTAS</w:t>
      </w:r>
      <w:r>
        <w:rPr>
          <w:rFonts w:ascii="Arial" w:cs="Arial" w:eastAsia="Arial" w:hAnsi="Arial"/>
          <w:sz w:val="14"/>
          <w:szCs w:val="14"/>
          <w:color w:val="231F20"/>
        </w:rPr>
        <w:t>®</w:t>
      </w:r>
      <w:r>
        <w:rPr>
          <w:rFonts w:ascii="Arial" w:cs="Arial" w:eastAsia="Arial" w:hAnsi="Arial"/>
          <w:sz w:val="17"/>
          <w:szCs w:val="17"/>
          <w:color w:val="231F20"/>
        </w:rPr>
        <w:t xml:space="preserve"> iX System in sufficient quantities to meet anticipated customer demand, our revenue, business, financial prospects, and reputation would be harmed. The limited experience we or a third-party manufacturer, if one is utilized, in producing the ARTAS</w:t>
      </w:r>
      <w:r>
        <w:rPr>
          <w:rFonts w:ascii="Arial" w:cs="Arial" w:eastAsia="Arial" w:hAnsi="Arial"/>
          <w:sz w:val="14"/>
          <w:szCs w:val="14"/>
          <w:color w:val="231F20"/>
        </w:rPr>
        <w:t>®</w:t>
      </w:r>
      <w:r>
        <w:rPr>
          <w:rFonts w:ascii="Arial" w:cs="Arial" w:eastAsia="Arial" w:hAnsi="Arial"/>
          <w:sz w:val="17"/>
          <w:szCs w:val="17"/>
          <w:color w:val="231F20"/>
        </w:rPr>
        <w:t xml:space="preserve">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4"/>
          <w:szCs w:val="14"/>
          <w:color w:val="231F20"/>
        </w:rPr>
        <w:t>®</w:t>
      </w:r>
      <w:r>
        <w:rPr>
          <w:rFonts w:ascii="Arial" w:cs="Arial" w:eastAsia="Arial" w:hAnsi="Arial"/>
          <w:sz w:val="17"/>
          <w:szCs w:val="17"/>
          <w:color w:val="231F20"/>
        </w:rPr>
        <w:t xml:space="preserve"> iX System and procedures and further affect our results of operations.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ind w:right="360"/>
        <w:spacing w:after="0" w:line="264" w:lineRule="auto"/>
        <w:rPr>
          <w:sz w:val="20"/>
          <w:szCs w:val="20"/>
          <w:color w:val="auto"/>
        </w:rPr>
      </w:pPr>
      <w:r>
        <w:rPr>
          <w:rFonts w:ascii="Arial" w:cs="Arial" w:eastAsia="Arial" w:hAnsi="Arial"/>
          <w:sz w:val="18"/>
          <w:szCs w:val="18"/>
          <w:b w:val="1"/>
          <w:bCs w:val="1"/>
          <w:i w:val="1"/>
          <w:iCs w:val="1"/>
          <w:color w:val="231F20"/>
        </w:rPr>
        <w:t xml:space="preserve">Both our manufacturing of the ARTAX </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NPI’s manufacturing of the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and NPI, as the case may be, rely on several sole source suppliers, including Kuka Robotics, Inc., FLIR Integrated Imaging Solutions Inc. and 3D-CAM International Corporation, for certain components of the ARTAS</w:t>
      </w:r>
      <w:r>
        <w:rPr>
          <w:rFonts w:ascii="Arial" w:cs="Arial" w:eastAsia="Arial" w:hAnsi="Arial"/>
          <w:sz w:val="14"/>
          <w:szCs w:val="14"/>
          <w:color w:val="231F20"/>
        </w:rPr>
        <w:t>®</w:t>
      </w:r>
      <w:r>
        <w:rPr>
          <w:rFonts w:ascii="Arial" w:cs="Arial" w:eastAsia="Arial" w:hAnsi="Arial"/>
          <w:sz w:val="17"/>
          <w:szCs w:val="17"/>
          <w:color w:val="231F20"/>
        </w:rPr>
        <w:t xml:space="preserve"> iX System, reusable procedure kits, disposable procedure kits and spare procedure kits. These sole suppliers, and any of our other suppliers, may be unwilling or unable to supply components of these systems to us or NPI reliably and at the levels we anticipate or are required by the market.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If we are required to transition to new third-party suppliers for certain components of the ARTAS</w:t>
      </w:r>
      <w:r>
        <w:rPr>
          <w:rFonts w:ascii="Arial" w:cs="Arial" w:eastAsia="Arial" w:hAnsi="Arial"/>
          <w:sz w:val="14"/>
          <w:szCs w:val="14"/>
          <w:color w:val="231F20"/>
        </w:rPr>
        <w:t>®</w:t>
      </w:r>
      <w:r>
        <w:rPr>
          <w:rFonts w:ascii="Arial" w:cs="Arial" w:eastAsia="Arial" w:hAnsi="Arial"/>
          <w:sz w:val="17"/>
          <w:szCs w:val="17"/>
          <w:color w:val="231F20"/>
        </w:rPr>
        <w:t xml:space="preserve"> iX System or our procedure kits, we believe that there are only a few such suppliers that can supply the necessary components. A supply interruption, price fluctuation or an increase in demand beyond our current suppliers’ capabilities could harm our ability to manufacture the ARTAS</w:t>
      </w:r>
      <w:r>
        <w:rPr>
          <w:rFonts w:ascii="Arial" w:cs="Arial" w:eastAsia="Arial" w:hAnsi="Arial"/>
          <w:sz w:val="14"/>
          <w:szCs w:val="14"/>
          <w:color w:val="231F20"/>
        </w:rPr>
        <w:t>®</w:t>
      </w:r>
      <w:r>
        <w:rPr>
          <w:rFonts w:ascii="Arial" w:cs="Arial" w:eastAsia="Arial" w:hAnsi="Arial"/>
          <w:sz w:val="17"/>
          <w:szCs w:val="17"/>
          <w:color w:val="231F20"/>
        </w:rPr>
        <w:t xml:space="preserve"> iX System and NPI’s ability to manufacture our procedure kits until new sources of supply are identified and qualified. In addition, the use of components or materials furnished by these alternative suppliers could require us to alter our operations.</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delay in delivery due to our suppliers prioritizing other customer orders over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fluctuation in delivery by our suppliers due to changes in demand from us or their other customers.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 in a timely manner, our ability to generate revenue would be impaired and market acceptance of our products could be adversely affected.</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231F20"/>
        </w:rPr>
        <w:t>We forecast sales to determine requirements for components and materials used in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 reusable procedure kits, disposable procedure kits, upgrade kits and spare kits and if our forecasts are incorrect, we may experience delays in shipments or increased inventory costs.</w:t>
      </w:r>
    </w:p>
    <w:p>
      <w:pPr>
        <w:spacing w:after="0" w:line="7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231F20"/>
        </w:rPr>
        <w:t>We keep limited finished products on hand. To manage our operations, we forecast anticipated product orders and material requirements to predict our inventory needs and enter into purchase orders on the basis of these requirements. Several components of the ARTAS</w:t>
      </w:r>
      <w:r>
        <w:rPr>
          <w:rFonts w:ascii="Arial" w:cs="Arial" w:eastAsia="Arial" w:hAnsi="Arial"/>
          <w:sz w:val="13"/>
          <w:szCs w:val="13"/>
          <w:color w:val="231F2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w:t>
      </w:r>
      <w:r>
        <w:rPr>
          <w:rFonts w:ascii="Arial" w:cs="Arial" w:eastAsia="Arial" w:hAnsi="Arial"/>
          <w:sz w:val="13"/>
          <w:szCs w:val="13"/>
          <w:color w:val="231F20"/>
        </w:rPr>
        <w:t>®</w:t>
      </w:r>
      <w:r>
        <w:rPr>
          <w:rFonts w:ascii="Arial" w:cs="Arial" w:eastAsia="Arial" w:hAnsi="Arial"/>
          <w:sz w:val="16"/>
          <w:szCs w:val="16"/>
          <w:color w:val="231F20"/>
        </w:rPr>
        <w:t xml:space="preserve"> System or the ARTAS</w:t>
      </w:r>
      <w:r>
        <w:rPr>
          <w:rFonts w:ascii="Arial" w:cs="Arial" w:eastAsia="Arial" w:hAnsi="Arial"/>
          <w:sz w:val="13"/>
          <w:szCs w:val="13"/>
          <w:color w:val="231F20"/>
        </w:rPr>
        <w:t>®</w:t>
      </w:r>
      <w:r>
        <w:rPr>
          <w:rFonts w:ascii="Arial" w:cs="Arial" w:eastAsia="Arial" w:hAnsi="Arial"/>
          <w:sz w:val="16"/>
          <w:szCs w:val="16"/>
          <w:color w:val="231F20"/>
        </w:rPr>
        <w:t xml:space="preserve"> iX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right="180"/>
        <w:spacing w:after="0" w:line="342" w:lineRule="auto"/>
        <w:rPr>
          <w:sz w:val="20"/>
          <w:szCs w:val="20"/>
          <w:color w:val="auto"/>
        </w:rPr>
      </w:pPr>
      <w:r>
        <w:rPr>
          <w:rFonts w:ascii="Arial" w:cs="Arial" w:eastAsia="Arial" w:hAnsi="Arial"/>
          <w:sz w:val="16"/>
          <w:szCs w:val="16"/>
          <w:b w:val="1"/>
          <w:bCs w:val="1"/>
          <w:i w:val="1"/>
          <w:iCs w:val="1"/>
          <w:color w:val="231F20"/>
        </w:rPr>
        <w:t>Even though the ARTAS</w:t>
      </w:r>
      <w:r>
        <w:rPr>
          <w:rFonts w:ascii="Arial" w:cs="Arial" w:eastAsia="Arial" w:hAnsi="Arial"/>
          <w:sz w:val="13"/>
          <w:szCs w:val="13"/>
          <w:b w:val="1"/>
          <w:bCs w:val="1"/>
          <w:i w:val="1"/>
          <w:iCs w:val="1"/>
          <w:color w:val="000000"/>
        </w:rPr>
        <w:t>®</w:t>
      </w:r>
      <w:r>
        <w:rPr>
          <w:rFonts w:ascii="Arial" w:cs="Arial" w:eastAsia="Arial" w:hAnsi="Arial"/>
          <w:sz w:val="16"/>
          <w:szCs w:val="16"/>
          <w:b w:val="1"/>
          <w:bCs w:val="1"/>
          <w:i w:val="1"/>
          <w:iCs w:val="1"/>
          <w:color w:val="231F20"/>
        </w:rPr>
        <w:t xml:space="preserve"> System and ARTAS® iX System are marketed to physicians, there exists a potential for misuse by the operator of the systems by physicians, non-physicians or individuals who are not sufficiently trained, which could harm our reputation and our business.</w:t>
      </w:r>
    </w:p>
    <w:p>
      <w:pPr>
        <w:spacing w:after="0" w:line="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We and our independent distributors market and sell the ARTAS</w:t>
      </w:r>
      <w:r>
        <w:rPr>
          <w:rFonts w:ascii="Arial" w:cs="Arial" w:eastAsia="Arial" w:hAnsi="Arial"/>
          <w:sz w:val="14"/>
          <w:szCs w:val="14"/>
          <w:color w:val="231F2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w:t>
      </w:r>
      <w:r>
        <w:rPr>
          <w:rFonts w:ascii="Arial" w:cs="Arial" w:eastAsia="Arial" w:hAnsi="Arial"/>
          <w:sz w:val="14"/>
          <w:szCs w:val="14"/>
          <w:color w:val="231F2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we do not supervise the procedures performed with the ARTAS</w:t>
      </w:r>
      <w:r>
        <w:rPr>
          <w:rFonts w:ascii="Arial" w:cs="Arial" w:eastAsia="Arial" w:hAnsi="Arial"/>
          <w:sz w:val="14"/>
          <w:szCs w:val="14"/>
          <w:color w:val="231F2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nor can we be assured that direct physician supervision of procedures occurs according to our recommendations. The potential misuse of the ARTAS</w:t>
      </w:r>
      <w:r>
        <w:rPr>
          <w:rFonts w:ascii="Arial" w:cs="Arial" w:eastAsia="Arial" w:hAnsi="Arial"/>
          <w:sz w:val="14"/>
          <w:szCs w:val="14"/>
          <w:color w:val="231F2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by physicians and non-physicians may result in adverse treatment outcomes, which could harm our reputation and expose us to costly product liability litigation.</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ARTAS® iX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If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 iX System are defectively designed, manufactured, or labeled, contains defective components, or is misused, we may become subject to substantial and costly litigation by our physician customers or their patients. Misuse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or failure to adhere to operating guidelines can cause skin damage and underlying tissue damage and, if our operating guidelines are found to be 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decreased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or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inability to commercialize any future products.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Our inability to obtain and maintain sufficient product liability insurance at an acceptable cost and scope of coverage to protect against potential product liability claims could inhibit commercialization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of March 31, 2019,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5" w:name="page46"/>
    <w:bookmarkEnd w:id="45"/>
    <w:p>
      <w:pPr>
        <w:ind w:right="38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In order to obtain 510(k) clearance for the ARTAS</w:t>
      </w:r>
      <w:r>
        <w:rPr>
          <w:rFonts w:ascii="Arial" w:cs="Arial" w:eastAsia="Arial" w:hAnsi="Arial"/>
          <w:sz w:val="14"/>
          <w:szCs w:val="14"/>
          <w:color w:val="000000"/>
        </w:rPr>
        <w:t>®</w:t>
      </w:r>
      <w:r>
        <w:rPr>
          <w:rFonts w:ascii="Arial" w:cs="Arial" w:eastAsia="Arial" w:hAnsi="Arial"/>
          <w:sz w:val="17"/>
          <w:szCs w:val="17"/>
          <w:color w:val="231F20"/>
        </w:rPr>
        <w:t xml:space="preserve">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8"/>
          <w:szCs w:val="18"/>
          <w:color w:val="231F20"/>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recruiting and enrolling patients and maintaining their participation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adding a sufficient number of clinical trial sites.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right="20"/>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3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 or successfully pursue the development, regulatory clearance or approval and commercialization of future products.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 for hair follicle dissection, which has been cleared for use in the U.S. only for dissecting hair follicles from the scalp in men diagnosed with AGA who have black or brown straight hair, recipient site making for the follicle transplantation sites and, in our ARTAS</w:t>
      </w:r>
      <w:r>
        <w:rPr>
          <w:rFonts w:ascii="Arial" w:cs="Arial" w:eastAsia="Arial" w:hAnsi="Arial"/>
          <w:sz w:val="15"/>
          <w:szCs w:val="15"/>
          <w:color w:val="231F20"/>
        </w:rPr>
        <w:t>®</w:t>
      </w:r>
      <w:r>
        <w:rPr>
          <w:rFonts w:ascii="Arial" w:cs="Arial" w:eastAsia="Arial" w:hAnsi="Arial"/>
          <w:sz w:val="18"/>
          <w:szCs w:val="18"/>
          <w:color w:val="231F20"/>
        </w:rPr>
        <w:t xml:space="preserve"> iX System, robotic implantation in which hair follicles are robotically transplanted, which recently has been approved for commercial marketing in the U.S., are our only products. Our business could be adversely affected if we are unable to extend the cleared uses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81"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231F20"/>
        </w:rPr>
        <w:t>the prevalence, duration and severity of potential side effects or other safety issues experienced with our future approved products, if any;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timely receipt of necessary marketing approvals or clearances from the FDA and foreign regulatory authorities;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left="1040" w:right="560" w:hanging="519"/>
        <w:spacing w:after="0" w:line="34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Solar Agreement contains restrictions that limit our flexibility in operating our business.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In May 2018, we entered into the Solar Agreement with Solar and other lenders, which was subsequently amended in June 2018, November 2018, January 2019 and in February 2019. We borrowed $20.0 million under the Solar Agreement. The Solar Agreement also contains various covenants that limit our ability to engage in specified types of transactions. Subject to limited exceptions, these covenants limit our ability, without Solar’s consent, to, among other things:</w:t>
      </w:r>
    </w:p>
    <w:p>
      <w:pPr>
        <w:spacing w:after="0" w:line="7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create, incur, assume or permit to exist additional indebtedness or liens, which may limit our ability to raise additional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pay any cash dividend or make any other cash distribution or payment in respect of our capital stock more than $150,000 in aggregate per calendar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make changes to certain key personnel including our President and Chief Executive Officer;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enter into certain transactions with our affiliates.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the Solar Agreement contains certain covenants that require us to achieve certain revenue and liquidity thresholds. These covenants under the agreement require us to meet certain minimum liquidity and minimum revenue covenants, which, if we fail to maintain or achieve, will result in a default and require us to repay all outstanding principal amounts and accrued interest repay all amounts outstanding. In the event of a default, if we are unable to repay all outstanding amounts Solar may foreclose on the collateral granted to it to collateralize such indebtedness and will significantly affect our ability to operate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231F20"/>
        </w:rPr>
        <w:t>As of March 31, 2019, we had 99 employees, with 37 employees in sales and marketing, 26 employees in customer support, 19 employees in research and development, including clinical, regulatory and certain quality control functions, five employees in manufacturing operations and 12 employees in general management and administration. We will need to continue to expand our sales, marketing, managerial, operational, finance and administrative resources for the ongoing commercialization of the ARTAS</w:t>
      </w:r>
      <w:r>
        <w:rPr>
          <w:rFonts w:ascii="Arial" w:cs="Arial" w:eastAsia="Arial" w:hAnsi="Arial"/>
          <w:sz w:val="13"/>
          <w:szCs w:val="13"/>
          <w:color w:val="000000"/>
        </w:rPr>
        <w:t>®</w:t>
      </w:r>
      <w:r>
        <w:rPr>
          <w:rFonts w:ascii="Arial" w:cs="Arial" w:eastAsia="Arial" w:hAnsi="Arial"/>
          <w:sz w:val="16"/>
          <w:szCs w:val="16"/>
          <w:color w:val="231F20"/>
        </w:rPr>
        <w:t xml:space="preserve"> System and ARTAS</w:t>
      </w:r>
      <w:r>
        <w:rPr>
          <w:rFonts w:ascii="Arial" w:cs="Arial" w:eastAsia="Arial" w:hAnsi="Arial"/>
          <w:sz w:val="13"/>
          <w:szCs w:val="13"/>
          <w:color w:val="231F20"/>
        </w:rPr>
        <w:t>®</w:t>
      </w:r>
      <w:r>
        <w:rPr>
          <w:rFonts w:ascii="Arial" w:cs="Arial" w:eastAsia="Arial" w:hAnsi="Arial"/>
          <w:sz w:val="16"/>
          <w:szCs w:val="16"/>
          <w:color w:val="231F20"/>
        </w:rPr>
        <w:t xml:space="preserve"> iX System and continue our development activities of any future products.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continue to improve our operational, financial and management controls, reports systems and procedures.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the expansion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to new indications, or the development of any future products. Although we have entered into employment agreements with our senior management team, these agreements do not provide for a fixed term of service.</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after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2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We incur significant legal, accounting and other expenses as a public company, including costs resulting from public company reporting obligations under the Securities Exchange Act of 1934, as amended, and regulations 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costlier.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31F20"/>
        </w:rPr>
        <w:t>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9" w:name="page50"/>
    <w:bookmarkEnd w:id="49"/>
    <w:p>
      <w:pPr>
        <w:spacing w:after="0" w:line="290" w:lineRule="auto"/>
        <w:rPr>
          <w:sz w:val="20"/>
          <w:szCs w:val="20"/>
          <w:color w:val="auto"/>
        </w:rPr>
      </w:pPr>
      <w:r>
        <w:rPr>
          <w:rFonts w:ascii="Arial" w:cs="Arial" w:eastAsia="Arial" w:hAnsi="Arial"/>
          <w:sz w:val="16"/>
          <w:szCs w:val="16"/>
          <w:color w:val="231F20"/>
        </w:rPr>
        <w:t>Further,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(a)following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of the ways in which the economic climate and financial market conditions could adversely impact our business.</w:t>
      </w:r>
    </w:p>
    <w:p>
      <w:pPr>
        <w:spacing w:after="0" w:line="2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231F20"/>
        </w:rPr>
        <w:t>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right="40"/>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redesign those products or processes that infringe any third-party intellectual property, which could be costly, disruptive, and/or infeasible.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right="80"/>
        <w:spacing w:after="0" w:line="255" w:lineRule="auto"/>
        <w:rPr>
          <w:sz w:val="20"/>
          <w:szCs w:val="20"/>
          <w:color w:val="auto"/>
        </w:rPr>
      </w:pPr>
      <w:r>
        <w:rPr>
          <w:rFonts w:ascii="Arial" w:cs="Arial" w:eastAsia="Arial" w:hAnsi="Arial"/>
          <w:sz w:val="18"/>
          <w:szCs w:val="18"/>
          <w:color w:val="231F20"/>
        </w:rPr>
        <w:t>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Recent patent reform legislation could increase the uncertainties and costs surrounding the prosecution of our patent applications and the enforcement or defense of our issued patents. On September 16, 2011, the Leahy- 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7"/>
          <w:szCs w:val="17"/>
          <w:i w:val="1"/>
          <w:iCs w:val="1"/>
          <w:color w:val="231F20"/>
        </w:rPr>
        <w:t>Association for Molecular Pathology v. Myriad Genetics, Inc.</w:t>
      </w:r>
      <w:r>
        <w:rPr>
          <w:rFonts w:ascii="Arial" w:cs="Arial" w:eastAsia="Arial" w:hAnsi="Arial"/>
          <w:sz w:val="17"/>
          <w:szCs w:val="17"/>
          <w:color w:val="231F20"/>
        </w:rPr>
        <w:t xml:space="preserve"> (Myriad I), </w:t>
      </w:r>
      <w:r>
        <w:rPr>
          <w:rFonts w:ascii="Arial" w:cs="Arial" w:eastAsia="Arial" w:hAnsi="Arial"/>
          <w:sz w:val="17"/>
          <w:szCs w:val="17"/>
          <w:i w:val="1"/>
          <w:iCs w:val="1"/>
          <w:color w:val="231F20"/>
        </w:rPr>
        <w:t>Mayo Collaborative Services v. Prometheus Laboratories,</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Inc.,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Alice Corporation Pty. Ltd. v. CLS Bank International, </w:t>
      </w:r>
      <w:r>
        <w:rPr>
          <w:rFonts w:ascii="Arial" w:cs="Arial" w:eastAsia="Arial" w:hAnsi="Arial"/>
          <w:sz w:val="17"/>
          <w:szCs w:val="17"/>
          <w:color w:val="231F20"/>
        </w:rPr>
        <w:t>either narrowing the scope of patent protection available in certain circumstances or weakening</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9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22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28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18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product safety;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premarket clearance and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record keeping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advertising and promotion;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product import and export.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Modifications to products that are approved through a PMA application generally require FDA approval. Similarly, certain modifications made to products cleared through a 510(k) may require a new 510(k) clearance. Both the PMA approval and the 510(k)-clearance process can be expensive, lengthy and uncertain. The FDA’s 510(k) clearance process usually takes from three to 12 months but can last longer. The process of obtaining a PMA is much costlier and more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In the U.S., we have obtained 510(k) premarket clearance from the FDA to market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for harvesting hair follicles from the scalp in men diagnosed with AGA who have black or brown straight hair. An element of our strategy is to continue to add new functionalities and enhance existing functionalities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We expect that certain modifications we may make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1040" w:right="6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manufacturing process or facilities we use may not meet applicable requirements.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6" w:name="page57"/>
    <w:bookmarkEnd w:id="56"/>
    <w:p>
      <w:pPr>
        <w:spacing w:after="0" w:line="285" w:lineRule="auto"/>
        <w:rPr>
          <w:sz w:val="20"/>
          <w:szCs w:val="20"/>
          <w:color w:val="auto"/>
        </w:rPr>
      </w:pPr>
      <w:r>
        <w:rPr>
          <w:rFonts w:ascii="Arial" w:cs="Arial" w:eastAsia="Arial" w:hAnsi="Arial"/>
          <w:sz w:val="16"/>
          <w:szCs w:val="16"/>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231F20"/>
        </w:rPr>
        <w:t>Even after we have obtained the proper regulatory clearance or approval to market a product, we have ongoing responsibilities under FDA regulations. The failure to comply with applicable regulations could jeopardize our ability to sell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result in enforcement actions such as:</w:t>
      </w:r>
    </w:p>
    <w:p>
      <w:pPr>
        <w:spacing w:after="0" w:line="73"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termination of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in the introduction of products into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refusal to grant future clearances or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 the most serious cases, criminal penalties.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In the European Economic Area or EEA, manufacturers of medical devices need to comply with the Essential Requirements laid down in Annex II to the EU Medical Devices Directive (Council Directive 93/42/EEC).</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spacing w:after="0" w:line="302" w:lineRule="auto"/>
        <w:rPr>
          <w:sz w:val="20"/>
          <w:szCs w:val="20"/>
          <w:color w:val="auto"/>
        </w:rPr>
      </w:pPr>
      <w:r>
        <w:rPr>
          <w:rFonts w:ascii="Arial" w:cs="Arial" w:eastAsia="Arial" w:hAnsi="Arial"/>
          <w:sz w:val="16"/>
          <w:szCs w:val="16"/>
          <w:color w:val="231F20"/>
        </w:rPr>
        <w:t>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are subject to governmental regulation and other legal obligations, particularly related to privacy, data protection and information security. Our actual or perceived failure to comply with such obligations could harm our business.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the federal Health Insurance Portability and Accountability Act of 1996, or HIPAA, and, in the European Union (EU) and shortly in the European Economic Area (EEA), Regulation 2016/679, known as the General Data Protection Regulation, or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right="20"/>
        <w:spacing w:after="0" w:line="254" w:lineRule="auto"/>
        <w:rPr>
          <w:sz w:val="20"/>
          <w:szCs w:val="20"/>
          <w:color w:val="auto"/>
        </w:rPr>
      </w:pPr>
      <w:r>
        <w:rPr>
          <w:rFonts w:ascii="Arial" w:cs="Arial" w:eastAsia="Arial" w:hAnsi="Arial"/>
          <w:sz w:val="18"/>
          <w:szCs w:val="18"/>
          <w:color w:val="auto"/>
        </w:rPr>
        <w:t>Furthermore, these rules are constantly changing; for example, the GDPR came into effect in May this year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op-in for electronic marketing and the penalties for contravention have significantly increased with fining powers to the same levels as GDPR (i.e. the greater of 20,000,000 Euros or 4% of total global annual revenue).</w:t>
      </w: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Modifications to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ARTAS® iX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ARTAS</w:t>
      </w:r>
      <w:r>
        <w:rPr>
          <w:rFonts w:ascii="Arial" w:cs="Arial" w:eastAsia="Arial" w:hAnsi="Arial"/>
          <w:sz w:val="14"/>
          <w:szCs w:val="14"/>
          <w:color w:val="000000"/>
        </w:rPr>
        <w:t>®</w:t>
      </w:r>
      <w:r>
        <w:rPr>
          <w:rFonts w:ascii="Arial" w:cs="Arial" w:eastAsia="Arial" w:hAnsi="Arial"/>
          <w:sz w:val="17"/>
          <w:szCs w:val="17"/>
          <w:color w:val="231F20"/>
        </w:rPr>
        <w:t xml:space="preserve"> and ARTAS® iX Systems have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29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231F20"/>
        </w:rPr>
        <w:t>We are subject to restrictions on the indications for which we are permitted to market our products, and any violation of those restrictions, or marketing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for off-label uses, could subject us to regulatory enforcement action.</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FDA’s 510(k) clearance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specifies the cleared indication for use of the product is dissecting hair follicles from the scalp in men diagnosed with AGA who have black or brown straight hair.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intended to assist physicians in identifying and extracting hair follicular units from the scalp during hair transplantation.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spacing w:after="0" w:line="255" w:lineRule="auto"/>
        <w:rPr>
          <w:sz w:val="20"/>
          <w:szCs w:val="20"/>
          <w:color w:val="auto"/>
        </w:rPr>
      </w:pPr>
      <w:r>
        <w:rPr>
          <w:rFonts w:ascii="Arial" w:cs="Arial" w:eastAsia="Arial" w:hAnsi="Arial"/>
          <w:sz w:val="18"/>
          <w:szCs w:val="18"/>
          <w:color w:val="231F20"/>
        </w:rPr>
        <w:t>We train our marketing and direct sales force to not promote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 iX System for uses outside of the FDA-cleared indications for use, known as “off-label uses.” We cannot, however, prevent a physician from using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when, in the physician’s independent professional medical judgment, he or she deems it appropriate. There may be increased risk of injury to patients if physicians attempt to use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Furthermore,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for indications other than those cleared by the FDA or approved by any foreign regulatory body may not effectively treat such conditions, which could harm our reputation in the marketplace among physicians and patients.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8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231F20"/>
        </w:rPr>
        <w:t>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or a recall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either voluntarily or at the direction of the FDA or another governmental authority, could have a negative impact on us.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ARTAS</w:t>
      </w:r>
      <w:r>
        <w:rPr>
          <w:rFonts w:ascii="Arial" w:cs="Arial" w:eastAsia="Arial" w:hAnsi="Arial"/>
          <w:sz w:val="14"/>
          <w:szCs w:val="14"/>
          <w:color w:val="231F20"/>
        </w:rPr>
        <w:t>®</w:t>
      </w:r>
      <w:r>
        <w:rPr>
          <w:rFonts w:ascii="Arial" w:cs="Arial" w:eastAsia="Arial" w:hAnsi="Arial"/>
          <w:sz w:val="17"/>
          <w:szCs w:val="17"/>
          <w:color w:val="231F20"/>
        </w:rPr>
        <w:t xml:space="preserve"> iX System, as the case may be.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could be particularly harmful to our business, financial condition and results of operations because it is our only product.</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our ability to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outside of the U.S. will be diminished.</w:t>
      </w:r>
    </w:p>
    <w:p>
      <w:pPr>
        <w:spacing w:after="0" w:line="6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231F20"/>
        </w:rPr>
        <w:t>Sale of the ARTAS</w:t>
      </w:r>
      <w:r>
        <w:rPr>
          <w:rFonts w:ascii="Arial" w:cs="Arial" w:eastAsia="Arial" w:hAnsi="Arial"/>
          <w:sz w:val="13"/>
          <w:szCs w:val="13"/>
          <w:color w:val="000000"/>
        </w:rPr>
        <w:t>®</w:t>
      </w:r>
      <w:r>
        <w:rPr>
          <w:rFonts w:ascii="Arial" w:cs="Arial" w:eastAsia="Arial" w:hAnsi="Arial"/>
          <w:sz w:val="16"/>
          <w:szCs w:val="16"/>
          <w:color w:val="231F20"/>
        </w:rPr>
        <w:t xml:space="preserve"> System outside the U.S. are subject to foreign regulatory requirements that vary widely from country to country. In addition, the FDA regulates exports of medical devices from the U.S. While the regulations of some countries may not impose barriers to marketing and selling the ARTAS</w:t>
      </w:r>
      <w:r>
        <w:rPr>
          <w:rFonts w:ascii="Arial" w:cs="Arial" w:eastAsia="Arial" w:hAnsi="Arial"/>
          <w:sz w:val="13"/>
          <w:szCs w:val="13"/>
          <w:color w:val="000000"/>
        </w:rPr>
        <w:t>®</w:t>
      </w:r>
      <w:r>
        <w:rPr>
          <w:rFonts w:ascii="Arial" w:cs="Arial" w:eastAsia="Arial" w:hAnsi="Arial"/>
          <w:sz w:val="16"/>
          <w:szCs w:val="16"/>
          <w:color w:val="231F20"/>
        </w:rPr>
        <w:t xml:space="preserve">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w:t>
      </w:r>
      <w:r>
        <w:rPr>
          <w:rFonts w:ascii="Arial" w:cs="Arial" w:eastAsia="Arial" w:hAnsi="Arial"/>
          <w:sz w:val="13"/>
          <w:szCs w:val="13"/>
          <w:color w:val="000000"/>
        </w:rPr>
        <w:t>®</w:t>
      </w:r>
      <w:r>
        <w:rPr>
          <w:rFonts w:ascii="Arial" w:cs="Arial" w:eastAsia="Arial" w:hAnsi="Arial"/>
          <w:sz w:val="16"/>
          <w:szCs w:val="16"/>
          <w:color w:val="231F20"/>
        </w:rPr>
        <w:t xml:space="preserve">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231F20"/>
        </w:rPr>
        <w:t>ARTAS</w:t>
      </w:r>
      <w:r>
        <w:rPr>
          <w:rFonts w:ascii="Arial" w:cs="Arial" w:eastAsia="Arial" w:hAnsi="Arial"/>
          <w:sz w:val="15"/>
          <w:szCs w:val="15"/>
          <w:color w:val="000000"/>
        </w:rPr>
        <w:t>®</w:t>
      </w:r>
      <w:r>
        <w:rPr>
          <w:rFonts w:ascii="Arial" w:cs="Arial" w:eastAsia="Arial" w:hAnsi="Arial"/>
          <w:sz w:val="18"/>
          <w:szCs w:val="18"/>
          <w:color w:val="231F20"/>
        </w:rPr>
        <w:t xml:space="preserve">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231F20"/>
        </w:rPr>
        <w:t>The methods used in, and the facilities used for, the manufacture of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w:t>
      </w:r>
    </w:p>
    <w:p>
      <w:pPr>
        <w:spacing w:after="0" w:line="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31F20"/>
        </w:rPr>
        <w:t>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also subject to similar state regulations and various laws and regulations of foreign countries governing manufacturing.</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231F20"/>
        </w:rPr>
        <w:t>We cannot guarantee that we or any subcontractors will take the necessary steps to comply with applicable regulations, which could cause delays in the delivery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addition, failure to comply with applicable FDA requirements or later discovery of previously unknown problems with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manufacturing processes could result in, among other things:</w:t>
      </w:r>
    </w:p>
    <w:p>
      <w:pPr>
        <w:spacing w:after="0" w:line="5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total or partial suspension of production or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criminal prosecution to us or our employees.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While procedures utilizing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w:t>
      </w:r>
    </w:p>
    <w:p>
      <w:pPr>
        <w:spacing w:after="0" w:line="8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231F20"/>
        </w:rPr>
        <w:t>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the U.S. and some non-U.S. jurisdictions, there have been, and we expect there will continue to be, a number of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2019, and, absent further legislative action, will be reinstated starting January 1, 2020.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may be volatile, and you may not be able to resell shares of our common stock at or above the price you paid.</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any delays in the consummation of the Merger, or the Merger failing to occur;</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continued growth in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timing or likelihood of regulatory filings and approvals for the ARTAS</w:t>
      </w:r>
      <w:r>
        <w:rPr>
          <w:rFonts w:ascii="Arial" w:cs="Arial" w:eastAsia="Arial" w:hAnsi="Arial"/>
          <w:sz w:val="15"/>
          <w:szCs w:val="15"/>
          <w:color w:val="000000"/>
        </w:rPr>
        <w:t>®</w:t>
      </w:r>
      <w:r>
        <w:rPr>
          <w:rFonts w:ascii="Arial" w:cs="Arial" w:eastAsia="Arial" w:hAnsi="Arial"/>
          <w:sz w:val="18"/>
          <w:szCs w:val="18"/>
          <w:color w:val="231F20"/>
        </w:rPr>
        <w:t xml:space="preserve"> Systems for expanded indications and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expectations regarding the potential market size and the size of the patient populations for the ARTAS</w:t>
      </w:r>
      <w:r>
        <w:rPr>
          <w:rFonts w:ascii="Arial" w:cs="Arial" w:eastAsia="Arial" w:hAnsi="Arial"/>
          <w:sz w:val="15"/>
          <w:szCs w:val="15"/>
          <w:color w:val="000000"/>
        </w:rPr>
        <w:t>®</w:t>
      </w:r>
      <w:r>
        <w:rPr>
          <w:rFonts w:ascii="Arial" w:cs="Arial" w:eastAsia="Arial" w:hAnsi="Arial"/>
          <w:sz w:val="18"/>
          <w:szCs w:val="18"/>
          <w:color w:val="231F20"/>
        </w:rPr>
        <w:t xml:space="preserve">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effective pricing of the ARTAS</w:t>
      </w:r>
      <w:r>
        <w:rPr>
          <w:rFonts w:ascii="Arial" w:cs="Arial" w:eastAsia="Arial" w:hAnsi="Arial"/>
          <w:sz w:val="15"/>
          <w:szCs w:val="15"/>
          <w:color w:val="000000"/>
        </w:rPr>
        <w:t>®</w:t>
      </w:r>
      <w:r>
        <w:rPr>
          <w:rFonts w:ascii="Arial" w:cs="Arial" w:eastAsia="Arial" w:hAnsi="Arial"/>
          <w:sz w:val="18"/>
          <w:szCs w:val="18"/>
          <w:color w:val="231F20"/>
        </w:rPr>
        <w:t xml:space="preserve"> Systems, services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scope of protection we can establish and maintain for intellectual property rights covering the ARTAS</w:t>
      </w:r>
      <w:r>
        <w:rPr>
          <w:rFonts w:ascii="Arial" w:cs="Arial" w:eastAsia="Arial" w:hAnsi="Arial"/>
          <w:sz w:val="15"/>
          <w:szCs w:val="15"/>
          <w:color w:val="000000"/>
        </w:rPr>
        <w:t>®</w:t>
      </w:r>
      <w:r>
        <w:rPr>
          <w:rFonts w:ascii="Arial" w:cs="Arial" w:eastAsia="Arial" w:hAnsi="Arial"/>
          <w:sz w:val="18"/>
          <w:szCs w:val="18"/>
          <w:color w:val="231F20"/>
        </w:rPr>
        <w:t xml:space="preserve"> Systems, along with any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financial performance;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ind w:right="40"/>
        <w:spacing w:after="0" w:line="289" w:lineRule="auto"/>
        <w:rPr>
          <w:sz w:val="20"/>
          <w:szCs w:val="20"/>
          <w:color w:val="auto"/>
        </w:rPr>
      </w:pPr>
      <w:r>
        <w:rPr>
          <w:rFonts w:ascii="Arial" w:cs="Arial" w:eastAsia="Arial" w:hAnsi="Arial"/>
          <w:sz w:val="16"/>
          <w:szCs w:val="16"/>
          <w:color w:val="231F20"/>
        </w:rPr>
        <w:t xml:space="preserve">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w:t>
      </w:r>
      <w:r>
        <w:rPr>
          <w:rFonts w:ascii="Arial" w:cs="Arial" w:eastAsia="Arial" w:hAnsi="Arial"/>
          <w:sz w:val="16"/>
          <w:szCs w:val="16"/>
          <w:color w:val="000000"/>
        </w:rPr>
        <w:t>Recently, several securities class action complaints have been filed against us, certain of our current and former executive officers and</w:t>
      </w:r>
      <w:r>
        <w:rPr>
          <w:rFonts w:ascii="Arial" w:cs="Arial" w:eastAsia="Arial" w:hAnsi="Arial"/>
          <w:sz w:val="16"/>
          <w:szCs w:val="16"/>
          <w:color w:val="231F20"/>
        </w:rPr>
        <w:t xml:space="preserve"> </w:t>
      </w:r>
      <w:r>
        <w:rPr>
          <w:rFonts w:ascii="Arial" w:cs="Arial" w:eastAsia="Arial" w:hAnsi="Arial"/>
          <w:sz w:val="16"/>
          <w:szCs w:val="16"/>
          <w:color w:val="000000"/>
        </w:rPr>
        <w:t>directors, certain of our investors and certain underwriters in our IPO. These complaints allege violations of Sections 11, 12(a)(2) and 15 of the Securities Act due to allegedly false and misleading statements made in connection with our IPO.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Prior to our IPO,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If we fail to adhere to the listing requirements of the Nasdaq Global Market, including maintaining a minimum market value our listed securities of $50.0 million, our common stock could be delisted.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Our common stock is listed on the Nasdaq Global Market and as such is subject to various requirements for continued listing under the rules of the Nasdaq Global Stock Market (Listing Rules). On January 18, 2019, we received a letter indicating that for 30 consecutive business days we did not maintain a minimum market value of listed securities, (MVLS) of $50.0 million as required by the Listing Rules. In accordance with the Listing Rules, we have 180 calendar days, or until July 17, 2019, to regain compliance with the minimum MVLS rule. Additionally, on March 14, 2019, we received a letter indicating that for 30 consecutive business days we did not maintain a minimum closing bid price of $1.00 per share as required by the Listing Rules. In accordance with the Listing Rules, we have 180 calendar days, or until September 10, 2019, to regain compliance with the minimum bid price rule. Further, on March 15, 2019, we received a letter indicating that for 30 consecutive business days we did not maintain a minimum market value of publicly held shares (MVPHS) of $15.0 million. In accordance with the Listing Rules, we have 180 calendar days, or until September 11, 2019, to regain compliance with the MVPHS rule.</w:t>
      </w:r>
    </w:p>
    <w:p>
      <w:pPr>
        <w:spacing w:after="0" w:line="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31F20"/>
        </w:rPr>
        <w:t>In accordance with the applicable Listing Rules, if we are unable to regain compliance with any of the above prior to the expiration of the applicable grace period, we will be required to transfer to the Nasdaq Capital Market, subject to our ability to meet the listing standards of the Nasdaq Capital Market. If we are unable to meet the listing standards of the Nasdaq Capital Market, our common stock will be delisted. If our common stock is delisted from Nasdaq, we could be required to list on the over-the-counter, or OTC, market, which may adversely affect the price and trading liquidity of our common stock. Delisting from the Nasdaq may have other negative results, including the potential loss of confidence in us by suppliers, customers and employees, the loss of institutional investor interest, fewer business development opportunities and greater difficulty in obtaining financing on favorable terms or at all.</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820"/>
        <w:spacing w:after="0" w:line="235"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54" w:lineRule="exact"/>
        <w:rPr>
          <w:sz w:val="20"/>
          <w:szCs w:val="20"/>
          <w:color w:val="auto"/>
        </w:rPr>
      </w:pPr>
    </w:p>
    <w:p>
      <w:pPr>
        <w:spacing w:after="0" w:line="221" w:lineRule="auto"/>
        <w:rPr>
          <w:sz w:val="20"/>
          <w:szCs w:val="20"/>
          <w:color w:val="auto"/>
        </w:rPr>
      </w:pPr>
      <w:r>
        <w:rPr>
          <w:rFonts w:ascii="Arial" w:cs="Arial" w:eastAsia="Arial" w:hAnsi="Arial"/>
          <w:sz w:val="17"/>
          <w:szCs w:val="17"/>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11" w:lineRule="exact"/>
        <w:rPr>
          <w:sz w:val="20"/>
          <w:szCs w:val="20"/>
          <w:color w:val="auto"/>
        </w:rPr>
      </w:pPr>
    </w:p>
    <w:p>
      <w:pPr>
        <w:spacing w:after="0" w:line="216"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7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231F20"/>
        </w:rPr>
        <w:t>Based on the number of shares outstanding as of March 31, 2019, our executive officers, directors, holders of 5% or more of our capital stock and their respective affiliates beneficially owned approximately 40.0%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64" w:name="page65"/>
    <w:bookmarkEnd w:id="64"/>
    <w:p>
      <w:pPr>
        <w:ind w:right="38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1040" w:right="4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40" w:hanging="519"/>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40" w:right="26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6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73"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40" w:right="26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jc w:val="both"/>
        <w:ind w:left="1040" w:right="340" w:hanging="519"/>
        <w:spacing w:after="0" w:line="34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ind w:left="1040" w:hanging="519"/>
        <w:spacing w:after="0" w:line="264"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27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231F20"/>
        </w:rPr>
        <w:t>We do not intend to pay any cash dividends on our common stock for the foreseeable future. We intend to invest our future earnings, if any, to fund our growth. Furthermore, pursuant to the loan and the security agreement between us and Solar, we are not permitted to pay cash dividends more than $150,000 in aggregate per fiscal year without its prior written consent.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There were no unregistered securities issued and sold during the quarter ended March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231F20"/>
        </w:rPr>
        <w:t>ITEM 5. OTHER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10, 2019, Gabe Zingaretti notified us of his decision to resign as our Chief Operations Officer, effective on May 24, 2019. Mr. Zingaretti’s resignation is as a result of his decision to pursue other professional opportunities and is not due to any disagreement with us on any matter relating to our operations, policies or practices.</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661" w:right="5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231F20"/>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3700" w:type="dxa"/>
            <w:vAlign w:val="bottom"/>
            <w:tcBorders>
              <w:bottom w:val="single" w:sz="8" w:color="0000EE"/>
            </w:tcBorders>
            <w:gridSpan w:val="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Amended and Restated Certificate of Incorporation</w:t>
              </w:r>
            </w:hyperlink>
          </w:p>
        </w:tc>
        <w:tc>
          <w:tcPr>
            <w:tcW w:w="1580" w:type="dxa"/>
            <w:vAlign w:val="bottom"/>
            <w:gridSpan w:val="7"/>
          </w:tcPr>
          <w:p>
            <w:pPr>
              <w:spacing w:after="0"/>
              <w:rPr>
                <w:sz w:val="17"/>
                <w:szCs w:val="17"/>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4"/>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Amended and Restated Bylaws</w:t>
              </w:r>
            </w:hyperlink>
          </w:p>
        </w:tc>
        <w:tc>
          <w:tcPr>
            <w:tcW w:w="3020" w:type="dxa"/>
            <w:vAlign w:val="bottom"/>
            <w:gridSpan w:val="12"/>
          </w:tcPr>
          <w:p>
            <w:pPr>
              <w:spacing w:after="0"/>
              <w:rPr>
                <w:sz w:val="18"/>
                <w:szCs w:val="18"/>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528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8">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89">
              <w:r>
                <w:rPr>
                  <w:rFonts w:ascii="Arial" w:cs="Arial" w:eastAsia="Arial" w:hAnsi="Arial"/>
                  <w:sz w:val="18"/>
                  <w:szCs w:val="18"/>
                  <w:color w:val="0000EE"/>
                </w:rPr>
                <w:t>3.2</w:t>
              </w:r>
            </w:hyperlink>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5280" w:type="dxa"/>
            <w:vAlign w:val="bottom"/>
            <w:gridSpan w:val="16"/>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Common Stock Certificate</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5280" w:type="dxa"/>
            <w:vAlign w:val="bottom"/>
            <w:gridSpan w:val="16"/>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Principal Executive Officer Pursuant to Rules 13a-14(a)</w:t>
              </w:r>
            </w:hyperlink>
          </w:p>
        </w:tc>
      </w:tr>
      <w:tr>
        <w:trPr>
          <w:trHeight w:val="196"/>
        </w:trPr>
        <w:tc>
          <w:tcPr>
            <w:tcW w:w="10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Principal Financial Officer Pursuant to Rules 13a-14(a)</w:t>
              </w:r>
            </w:hyperlink>
          </w:p>
        </w:tc>
        <w:tc>
          <w:tcPr>
            <w:tcW w:w="14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and 15d-14(a) under the Securities Exchange Act of 1934, as Adopted</w:t>
              </w:r>
            </w:hyperlink>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528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Certification of Principal Executive Officer Pursuant to 18 U.S.C.</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Section 1350, as Adopted Pursuant to Section 906 of the Sarbanes-Oxley</w:t>
              </w:r>
            </w:hyperlink>
          </w:p>
        </w:tc>
      </w:tr>
      <w:tr>
        <w:trPr>
          <w:trHeight w:val="196"/>
        </w:trPr>
        <w:tc>
          <w:tcPr>
            <w:tcW w:w="1060" w:type="dxa"/>
            <w:vAlign w:val="bottom"/>
          </w:tcPr>
          <w:p>
            <w:pPr>
              <w:spacing w:after="0"/>
              <w:rPr>
                <w:sz w:val="17"/>
                <w:szCs w:val="17"/>
                <w:color w:val="auto"/>
              </w:rPr>
            </w:pPr>
          </w:p>
        </w:tc>
        <w:tc>
          <w:tcPr>
            <w:tcW w:w="5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52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Certification of Principal Financial Officer Pursuant to 18 U.S.C. Section</w:t>
              </w:r>
            </w:hyperlink>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1350, as Adopted Pursuant to Section 906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3">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9-18-17</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0" w:lineRule="exact"/>
        <w:rPr>
          <w:sz w:val="20"/>
          <w:szCs w:val="20"/>
          <w:color w:val="auto"/>
        </w:rPr>
      </w:pPr>
    </w:p>
    <w:p>
      <w:pPr>
        <w:sectPr>
          <w:pgSz w:w="11900" w:h="16838" w:orient="portrait"/>
          <w:cols w:equalWidth="0" w:num="3">
            <w:col w:w="6340" w:space="580"/>
            <w:col w:w="2860" w:space="620"/>
            <w:col w:w="1020"/>
          </w:cols>
          <w:pgMar w:left="240" w:top="337" w:right="239" w:bottom="1440" w:gutter="0" w:footer="0" w:header="0"/>
          <w:type w:val="continuous"/>
        </w:sectPr>
      </w:pPr>
    </w:p>
    <w:p>
      <w:pPr>
        <w:ind w:left="520" w:right="20" w:hanging="512"/>
        <w:spacing w:after="0" w:line="25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 and is not to be incorporated by reference into any filing of Restoration Robotics,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8" w:name="page69"/>
    <w:bookmarkEnd w:id="6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6460" w:val="left"/>
          <w:tab w:leader="none" w:pos="838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Ryan Rhodes</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w:t>
      </w:r>
    </w:p>
    <w:p>
      <w:pPr>
        <w:spacing w:after="0" w:line="251" w:lineRule="exact"/>
        <w:rPr>
          <w:sz w:val="20"/>
          <w:szCs w:val="20"/>
          <w:color w:val="auto"/>
        </w:rPr>
      </w:pPr>
    </w:p>
    <w:p>
      <w:pPr>
        <w:spacing w:after="0"/>
        <w:tabs>
          <w:tab w:leader="none" w:pos="6460" w:val="left"/>
          <w:tab w:leader="none" w:pos="84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Mark L. Hair</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337"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Hair,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March 31, 2019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March 31, 2019,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Roman"/>
      <w:start w:val="2"/>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1."/>
      <w:numFmt w:val="decimal"/>
      <w:start w:val="7"/>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8" Type="http://schemas.openxmlformats.org/officeDocument/2006/relationships/hyperlink" Target="http://www.sec.gov/Archives/edgar/data/1409269/000119312517311810/d448597dex31.htm" TargetMode="External"/><Relationship Id="rId89" Type="http://schemas.openxmlformats.org/officeDocument/2006/relationships/hyperlink" Target="http://www.sec.gov/Archives/edgar/data/1409269/000119312517311810/d448597dex32.htm" TargetMode="External"/><Relationship Id="rId90" Type="http://schemas.openxmlformats.org/officeDocument/2006/relationships/hyperlink" Target="http://www.sec.gov/Archives/edgar/data/1409269/000119312517286792/d41293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2019-12-28T11:46:20Z</dcterms:created>
  <dcterms:modified xsi:type="dcterms:W3CDTF">2019-12-28T11:46:20Z</dcterms:modified>
</cp:coreProperties>
</file>