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ero20220331_10q.htm"/>
      <w:bookmarkStart w:id="1" w:name="ksvero20220331_10q"/>
      <w:bookmarkEnd w:id="0"/>
      <w:bookmarkEnd w:id="1"/>
      <w:r>
        <w:rPr/>
        <w:t xml:space="preserve">  </w:t>
      </w:r>
    </w:p>
    <w:p>
      <w:pPr>
        <w:pStyle w:val="TextBody"/>
        <w:spacing w:before="0" w:after="0"/>
        <w:ind w:left="0" w:right="0" w:hanging="0"/>
        <w:rPr/>
      </w:pPr>
      <w:hyperlink w:anchor="toc">
        <w:r>
          <w:rPr>
            <w:rStyle w:val="InternetLink"/>
            <w:rFonts w:ascii="Times New Roman;Times;serif" w:hAnsi="Times New Roman;Times;serif"/>
            <w:caps w:val="false"/>
            <w:smallCaps w:val="false"/>
            <w:sz w:val="20"/>
          </w:rPr>
          <w:t>Table of Contents</w:t>
        </w:r>
      </w:hyperlink>
    </w:p>
    <w:p>
      <w:pPr>
        <w:pStyle w:val="HorizontalLine"/>
        <w:rPr/>
      </w:pPr>
      <w:r>
        <w:rPr/>
      </w:r>
    </w:p>
    <w:p>
      <w:pPr>
        <w:pStyle w:val="HorizontalLine"/>
        <w:rPr/>
      </w:pPr>
      <w:r>
        <w:rPr/>
      </w:r>
    </w:p>
    <w:p>
      <w:pPr>
        <w:pStyle w:val="TextBody"/>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HorizontalLine"/>
        <w:rPr/>
      </w:pPr>
      <w:r>
        <w:rPr/>
      </w:r>
    </w:p>
    <w:p>
      <w:pPr>
        <w:pStyle w:val="TextBody"/>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HorizontalLine"/>
        <w:rPr/>
      </w:pPr>
      <w:r>
        <w:rPr/>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87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spacing w:before="0" w:after="0"/>
        <w:ind w:left="0" w:right="0" w:hanging="0"/>
        <w:rPr>
          <w:caps w:val="false"/>
          <w:smallCaps w:val="false"/>
        </w:rPr>
      </w:pPr>
      <w:r>
        <w:rPr>
          <w:caps w:val="false"/>
          <w:smallCaps w:val="false"/>
        </w:rPr>
        <w:t> </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86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____________ to ____________</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001-38238</w:t>
      </w:r>
    </w:p>
    <w:p>
      <w:pPr>
        <w:pStyle w:val="HorizontalLine"/>
        <w:rPr/>
      </w:pPr>
      <w:r>
        <w:rPr/>
      </w:r>
    </w:p>
    <w:p>
      <w:pPr>
        <w:pStyle w:val="TextBody"/>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Venus Concept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HorizontalLine"/>
        <w:rPr/>
      </w:pPr>
      <w:r>
        <w:rPr/>
      </w:r>
    </w:p>
    <w:tbl>
      <w:tblPr>
        <w:tblW w:w="8239" w:type="dxa"/>
        <w:jc w:val="left"/>
        <w:tblInd w:w="0" w:type="dxa"/>
        <w:tblCellMar>
          <w:top w:w="0" w:type="dxa"/>
          <w:left w:w="0" w:type="dxa"/>
          <w:bottom w:w="0" w:type="dxa"/>
          <w:right w:w="0" w:type="dxa"/>
        </w:tblCellMar>
      </w:tblPr>
      <w:tblGrid>
        <w:gridCol w:w="5159"/>
        <w:gridCol w:w="3080"/>
      </w:tblGrid>
      <w:tr>
        <w:trPr/>
        <w:tc>
          <w:tcPr>
            <w:tcW w:w="5159"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308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06-1681204</w:t>
            </w:r>
          </w:p>
        </w:tc>
      </w:tr>
      <w:tr>
        <w:trPr/>
        <w:tc>
          <w:tcPr>
            <w:tcW w:w="5159"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w:t>
            </w:r>
          </w:p>
          <w:p>
            <w:pPr>
              <w:pStyle w:val="TableContents"/>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incorporation or organization)</w:t>
            </w:r>
          </w:p>
        </w:tc>
        <w:tc>
          <w:tcPr>
            <w:tcW w:w="3080" w:type="dxa"/>
            <w:tcBorders/>
            <w:shd w:fill="auto" w:val="clear"/>
            <w:vAlign w:val="center"/>
          </w:tcPr>
          <w:p>
            <w:pPr>
              <w:pStyle w:val="TableContents"/>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(I.R.S. Employer</w:t>
            </w:r>
            <w:r>
              <w:rPr>
                <w:rFonts w:ascii="Times New Roman" w:hAnsi="Times New Roman"/>
                <w:caps w:val="false"/>
                <w:smallCaps w:val="false"/>
                <w:sz w:val="16"/>
              </w:rPr>
              <w:br/>
            </w:r>
            <w:r>
              <w:rPr>
                <w:rFonts w:ascii="Times New Roman" w:hAnsi="Times New Roman"/>
                <w:b/>
                <w:caps w:val="false"/>
                <w:smallCaps w:val="false"/>
                <w:sz w:val="16"/>
              </w:rPr>
              <w:t>Identification No.)</w:t>
            </w:r>
          </w:p>
        </w:tc>
      </w:tr>
      <w:tr>
        <w:trPr/>
        <w:tc>
          <w:tcPr>
            <w:tcW w:w="823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235 Yorkland Blvd., Suite 900</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Toronto, Ontario M2J 4Y8</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(877) 848-8430</w:t>
            </w:r>
          </w:p>
          <w:p>
            <w:pPr>
              <w:pStyle w:val="TableContents"/>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(Address including zip code, and telephone number including area code, of registrant</w:t>
            </w:r>
            <w:r>
              <w:rPr>
                <w:rFonts w:ascii="Times New Roman" w:hAnsi="Times New Roman"/>
                <w:caps w:val="false"/>
                <w:smallCaps w:val="false"/>
                <w:sz w:val="16"/>
              </w:rPr>
              <w:t>’</w:t>
            </w:r>
            <w:r>
              <w:rPr>
                <w:rFonts w:ascii="Times New Roman" w:hAnsi="Times New Roman"/>
                <w:b/>
                <w:caps w:val="false"/>
                <w:smallCaps w:val="false"/>
                <w:sz w:val="16"/>
              </w:rPr>
              <w:t>s principal executive offices)</w:t>
            </w:r>
          </w:p>
        </w:tc>
      </w:tr>
    </w:tbl>
    <w:p>
      <w:pPr>
        <w:pStyle w:val="TextBody"/>
        <w:spacing w:before="0" w:after="0"/>
        <w:ind w:left="0" w:right="0" w:hanging="0"/>
        <w:rPr>
          <w:caps w:val="false"/>
          <w:smallCaps w:val="false"/>
        </w:rPr>
      </w:pPr>
      <w:r>
        <w:rPr>
          <w:caps w:val="false"/>
          <w:smallCaps w:val="false"/>
        </w:rPr>
        <w:t> </w:t>
      </w:r>
    </w:p>
    <w:p>
      <w:pPr>
        <w:pStyle w:val="HorizontalLine"/>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center"/>
        <w:rPr>
          <w:rFonts w:ascii="Times New Roman" w:hAnsi="Times New Roman"/>
          <w:caps w:val="false"/>
          <w:smallCaps w:val="false"/>
          <w:sz w:val="18"/>
        </w:rPr>
      </w:pPr>
      <w:r>
        <w:rPr>
          <w:rFonts w:ascii="Times New Roman" w:hAnsi="Times New Roman"/>
          <w:b/>
          <w:caps w:val="false"/>
          <w:smallCaps w:val="false"/>
          <w:sz w:val="18"/>
        </w:rPr>
        <w:t>Securities registered pursuant to Section</w:t>
      </w:r>
      <w:r>
        <w:rPr>
          <w:rFonts w:ascii="Times New Roman" w:hAnsi="Times New Roman"/>
          <w:caps w:val="false"/>
          <w:smallCaps w:val="false"/>
          <w:sz w:val="18"/>
        </w:rPr>
        <w:t> </w:t>
      </w:r>
      <w:r>
        <w:rPr>
          <w:rFonts w:ascii="Times New Roman" w:hAnsi="Times New Roman"/>
          <w:b/>
          <w:caps w:val="false"/>
          <w:smallCaps w:val="false"/>
          <w:sz w:val="18"/>
        </w:rPr>
        <w:t>12(b) of the Act:</w:t>
      </w:r>
    </w:p>
    <w:p>
      <w:pPr>
        <w:pStyle w:val="TextBody"/>
        <w:spacing w:before="0" w:after="0"/>
        <w:ind w:left="0" w:right="0" w:hanging="0"/>
        <w:rPr>
          <w:caps w:val="false"/>
          <w:smallCaps w:val="false"/>
        </w:rPr>
      </w:pPr>
      <w:r>
        <w:rPr>
          <w:caps w:val="false"/>
          <w:smallCaps w:val="false"/>
        </w:rPr>
        <w:t> </w:t>
      </w:r>
    </w:p>
    <w:tbl>
      <w:tblPr>
        <w:tblW w:w="7935" w:type="dxa"/>
        <w:jc w:val="left"/>
        <w:tblInd w:w="0" w:type="dxa"/>
        <w:tblCellMar>
          <w:top w:w="0" w:type="dxa"/>
          <w:left w:w="0" w:type="dxa"/>
          <w:bottom w:w="28" w:type="dxa"/>
          <w:right w:w="0" w:type="dxa"/>
        </w:tblCellMar>
      </w:tblPr>
      <w:tblGrid>
        <w:gridCol w:w="3185"/>
        <w:gridCol w:w="60"/>
        <w:gridCol w:w="1280"/>
        <w:gridCol w:w="60"/>
        <w:gridCol w:w="3350"/>
      </w:tblGrid>
      <w:tr>
        <w:trPr/>
        <w:tc>
          <w:tcPr>
            <w:tcW w:w="318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shd w:fill="auto" w:val="clear"/>
            <w:tcMar>
              <w:bottom w:w="0" w:type="dxa"/>
            </w:tcMar>
            <w:vAlign w:val="center"/>
          </w:tcPr>
          <w:p>
            <w:pPr>
              <w:pStyle w:val="TableContents"/>
              <w:spacing w:before="0" w:after="283"/>
              <w:rPr/>
            </w:pPr>
            <w:r>
              <w:rPr/>
              <w:t> </w:t>
            </w:r>
          </w:p>
        </w:tc>
        <w:tc>
          <w:tcPr>
            <w:tcW w:w="128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w:t>
            </w:r>
          </w:p>
        </w:tc>
        <w:tc>
          <w:tcPr>
            <w:tcW w:w="60" w:type="dxa"/>
            <w:tcBorders/>
            <w:shd w:fill="auto" w:val="clear"/>
            <w:tcMar>
              <w:bottom w:w="0" w:type="dxa"/>
            </w:tcMar>
            <w:vAlign w:val="center"/>
          </w:tcPr>
          <w:p>
            <w:pPr>
              <w:pStyle w:val="TableContents"/>
              <w:spacing w:before="0" w:after="283"/>
              <w:rPr/>
            </w:pPr>
            <w:r>
              <w:rPr/>
              <w:t> </w:t>
            </w:r>
          </w:p>
        </w:tc>
        <w:tc>
          <w:tcPr>
            <w:tcW w:w="33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318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$0.0001 par value per share</w:t>
            </w:r>
          </w:p>
        </w:tc>
        <w:tc>
          <w:tcPr>
            <w:tcW w:w="60" w:type="dxa"/>
            <w:tcBorders/>
            <w:shd w:fill="auto" w:val="clear"/>
            <w:tcMar>
              <w:bottom w:w="0" w:type="dxa"/>
            </w:tcMar>
            <w:vAlign w:val="center"/>
          </w:tcPr>
          <w:p>
            <w:pPr>
              <w:pStyle w:val="TableContents"/>
              <w:spacing w:before="0" w:after="283"/>
              <w:rPr/>
            </w:pPr>
            <w:r>
              <w:rPr/>
              <w:t> </w:t>
            </w:r>
          </w:p>
        </w:tc>
        <w:tc>
          <w:tcPr>
            <w:tcW w:w="128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VERO</w:t>
            </w:r>
          </w:p>
        </w:tc>
        <w:tc>
          <w:tcPr>
            <w:tcW w:w="60" w:type="dxa"/>
            <w:tcBorders/>
            <w:shd w:fill="auto" w:val="clear"/>
            <w:tcMar>
              <w:bottom w:w="0" w:type="dxa"/>
            </w:tcMar>
            <w:vAlign w:val="center"/>
          </w:tcPr>
          <w:p>
            <w:pPr>
              <w:pStyle w:val="TableContents"/>
              <w:spacing w:before="0" w:after="283"/>
              <w:rPr/>
            </w:pPr>
            <w:r>
              <w:rPr/>
              <w:t> </w:t>
            </w:r>
          </w:p>
        </w:tc>
        <w:tc>
          <w:tcPr>
            <w:tcW w:w="335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Global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3980" w:type="dxa"/>
        <w:jc w:val="left"/>
        <w:tblInd w:w="0" w:type="dxa"/>
        <w:tblCellMar>
          <w:top w:w="0" w:type="dxa"/>
          <w:left w:w="0" w:type="dxa"/>
          <w:bottom w:w="0" w:type="dxa"/>
          <w:right w:w="0" w:type="dxa"/>
        </w:tblCellMar>
      </w:tblPr>
      <w:tblGrid>
        <w:gridCol w:w="1565"/>
        <w:gridCol w:w="230"/>
        <w:gridCol w:w="1955"/>
        <w:gridCol w:w="230"/>
      </w:tblGrid>
      <w:tr>
        <w:trPr/>
        <w:tc>
          <w:tcPr>
            <w:tcW w:w="156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95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156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95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15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18"/>
        </w:rPr>
      </w:pPr>
      <w:r>
        <w:rPr>
          <w:rFonts w:ascii="Times New Roman" w:hAnsi="Times New Roman"/>
          <w:caps w:val="false"/>
          <w:smallCaps w:val="false"/>
          <w:sz w:val="18"/>
        </w:rPr>
        <w:t>As of May 9, 2022 the registrant had 63,999,044</w:t>
      </w:r>
      <w:r>
        <w:rPr>
          <w:rFonts w:ascii="Times New Roman" w:hAnsi="Times New Roman"/>
          <w:caps w:val="false"/>
          <w:smallCaps w:val="false"/>
          <w:sz w:val="18"/>
          <w:highlight w:val="white"/>
        </w:rPr>
        <w:t> s</w:t>
      </w:r>
      <w:r>
        <w:rPr>
          <w:rFonts w:ascii="Times New Roman" w:hAnsi="Times New Roman"/>
          <w:caps w:val="false"/>
          <w:smallCaps w:val="false"/>
          <w:sz w:val="18"/>
        </w:rPr>
        <w:t>hares of common stock, $0.0001 par value per share, outstanding.</w:t>
      </w:r>
    </w:p>
    <w:p>
      <w:pPr>
        <w:pStyle w:val="HorizontalLine"/>
        <w:rPr/>
      </w:pPr>
      <w:r>
        <w:rPr/>
      </w:r>
    </w:p>
    <w:p>
      <w:pPr>
        <w:pStyle w:val="HorizontalLine"/>
        <w:rPr/>
      </w:pPr>
      <w:r>
        <w:rPr/>
      </w:r>
    </w:p>
    <w:p>
      <w:pPr>
        <w:pStyle w:val="TextBody"/>
        <w:spacing w:before="0" w:after="0"/>
        <w:ind w:left="0" w:right="0" w:hanging="0"/>
        <w:rPr/>
      </w:pPr>
      <w:r>
        <w:rPr/>
        <w:t> </w:t>
      </w:r>
    </w:p>
    <w:p>
      <w:pPr>
        <w:pStyle w:val="TextBody"/>
        <w:spacing w:before="0" w:after="0"/>
        <w:ind w:left="0" w:right="0" w:hanging="0"/>
        <w:jc w:val="center"/>
        <w:rPr/>
      </w:pPr>
      <w:r>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tbl>
      <w:tblPr>
        <w:tblW w:w="8700" w:type="dxa"/>
        <w:jc w:val="left"/>
        <w:tblInd w:w="0" w:type="dxa"/>
        <w:tblCellMar>
          <w:top w:w="0" w:type="dxa"/>
          <w:left w:w="0" w:type="dxa"/>
          <w:bottom w:w="0" w:type="dxa"/>
          <w:right w:w="0" w:type="dxa"/>
        </w:tblCellMar>
      </w:tblPr>
      <w:tblGrid>
        <w:gridCol w:w="785"/>
        <w:gridCol w:w="7475"/>
        <w:gridCol w:w="440"/>
      </w:tblGrid>
      <w:tr>
        <w:trPr/>
        <w:tc>
          <w:tcPr>
            <w:tcW w:w="785" w:type="dxa"/>
            <w:tcBorders/>
            <w:shd w:fill="auto" w:val="clear"/>
            <w:vAlign w:val="center"/>
          </w:tcPr>
          <w:p>
            <w:pPr>
              <w:pStyle w:val="TableContents"/>
              <w:spacing w:before="0" w:after="0"/>
              <w:ind w:left="140" w:right="0" w:hanging="0"/>
              <w:rPr>
                <w:caps w:val="false"/>
                <w:smallCaps w:val="false"/>
              </w:rPr>
            </w:pPr>
            <w:r>
              <w:rPr>
                <w:caps w:val="false"/>
                <w:smallCaps w:val="false"/>
              </w:rPr>
              <w:t> </w:t>
            </w:r>
          </w:p>
        </w:tc>
        <w:tc>
          <w:tcPr>
            <w:tcW w:w="747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4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Part I.</w:t>
            </w:r>
          </w:p>
        </w:tc>
        <w:tc>
          <w:tcPr>
            <w:tcW w:w="7475" w:type="dxa"/>
            <w:tcBorders/>
            <w:shd w:fill="auto" w:val="clear"/>
            <w:vAlign w:val="center"/>
          </w:tcPr>
          <w:p>
            <w:pPr>
              <w:pStyle w:val="TableContents"/>
              <w:spacing w:before="0" w:after="0"/>
              <w:ind w:left="0" w:right="0" w:hanging="0"/>
              <w:rPr/>
            </w:pPr>
            <w:hyperlink w:anchor="parti">
              <w:r>
                <w:rPr>
                  <w:rStyle w:val="InternetLink"/>
                  <w:rFonts w:ascii="Times New Roman" w:hAnsi="Times New Roman"/>
                  <w:b/>
                  <w:caps w:val="false"/>
                  <w:smallCaps w:val="false"/>
                  <w:sz w:val="20"/>
                </w:rPr>
                <w:t>Financial Information</w:t>
              </w:r>
            </w:hyperlink>
          </w:p>
        </w:tc>
        <w:tc>
          <w:tcPr>
            <w:tcW w:w="440" w:type="dxa"/>
            <w:tcBorders/>
            <w:shd w:fill="auto" w:val="clear"/>
            <w:vAlign w:val="center"/>
          </w:tcPr>
          <w:p>
            <w:pPr>
              <w:pStyle w:val="TableContents"/>
              <w:spacing w:before="0" w:after="0"/>
              <w:ind w:left="0" w:right="0" w:hanging="0"/>
              <w:jc w:val="right"/>
              <w:rPr/>
            </w:pPr>
            <w:hyperlink w:anchor="parti">
              <w:r>
                <w:rPr>
                  <w:rStyle w:val="InternetLink"/>
                  <w:rFonts w:ascii="Times New Roman" w:hAnsi="Times New Roman"/>
                  <w:caps w:val="false"/>
                  <w:smallCaps w:val="false"/>
                  <w:sz w:val="20"/>
                </w:rPr>
                <w:t>2</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w:t>
            </w:r>
          </w:p>
        </w:tc>
        <w:tc>
          <w:tcPr>
            <w:tcW w:w="7475" w:type="dxa"/>
            <w:tcBorders/>
            <w:shd w:fill="auto" w:val="clear"/>
            <w:vAlign w:val="center"/>
          </w:tcPr>
          <w:p>
            <w:pPr>
              <w:pStyle w:val="TableContents"/>
              <w:spacing w:before="0" w:after="0"/>
              <w:ind w:left="0" w:right="0" w:hanging="0"/>
              <w:rPr/>
            </w:pPr>
            <w:hyperlink w:anchor="item1">
              <w:r>
                <w:rPr>
                  <w:rStyle w:val="InternetLink"/>
                  <w:rFonts w:ascii="Times New Roman" w:hAnsi="Times New Roman"/>
                  <w:b/>
                  <w:caps w:val="false"/>
                  <w:smallCaps w:val="false"/>
                  <w:sz w:val="20"/>
                </w:rPr>
                <w:t>Condensed Consolidated Financial Statements (unaudited)</w:t>
              </w:r>
            </w:hyperlink>
          </w:p>
        </w:tc>
        <w:tc>
          <w:tcPr>
            <w:tcW w:w="440" w:type="dxa"/>
            <w:tcBorders/>
            <w:shd w:fill="auto" w:val="clear"/>
            <w:vAlign w:val="center"/>
          </w:tcPr>
          <w:p>
            <w:pPr>
              <w:pStyle w:val="TableContents"/>
              <w:spacing w:before="0" w:after="0"/>
              <w:ind w:left="0" w:right="0" w:hanging="0"/>
              <w:jc w:val="right"/>
              <w:rPr/>
            </w:pPr>
            <w:hyperlink w:anchor="item1">
              <w:r>
                <w:rPr>
                  <w:rStyle w:val="InternetLink"/>
                  <w:rFonts w:ascii="Times New Roman" w:hAnsi="Times New Roman"/>
                  <w:caps w:val="false"/>
                  <w:smallCaps w:val="false"/>
                  <w:sz w:val="20"/>
                </w:rPr>
                <w:t>2</w:t>
              </w:r>
            </w:hyperlink>
          </w:p>
        </w:tc>
      </w:tr>
      <w:tr>
        <w:trPr/>
        <w:tc>
          <w:tcPr>
            <w:tcW w:w="785" w:type="dxa"/>
            <w:tcBorders/>
            <w:shd w:fill="auto" w:val="clear"/>
            <w:vAlign w:val="center"/>
          </w:tcPr>
          <w:p>
            <w:pPr>
              <w:pStyle w:val="TableContents"/>
              <w:spacing w:before="0" w:after="0"/>
              <w:ind w:left="140" w:right="0" w:hanging="0"/>
              <w:rPr>
                <w:caps w:val="false"/>
                <w:smallCaps w:val="false"/>
              </w:rPr>
            </w:pPr>
            <w:r>
              <w:rPr>
                <w:caps w:val="false"/>
                <w:smallCaps w:val="false"/>
              </w:rPr>
              <w:t> </w:t>
            </w:r>
          </w:p>
        </w:tc>
        <w:tc>
          <w:tcPr>
            <w:tcW w:w="7475" w:type="dxa"/>
            <w:tcBorders/>
            <w:shd w:fill="auto" w:val="clear"/>
            <w:vAlign w:val="center"/>
          </w:tcPr>
          <w:p>
            <w:pPr>
              <w:pStyle w:val="TableContents"/>
              <w:spacing w:before="0" w:after="0"/>
              <w:ind w:left="0" w:right="0" w:hanging="0"/>
              <w:rPr/>
            </w:pPr>
            <w:hyperlink w:anchor="bs">
              <w:r>
                <w:rPr>
                  <w:rStyle w:val="InternetLink"/>
                  <w:rFonts w:ascii="Times New Roman" w:hAnsi="Times New Roman"/>
                  <w:caps w:val="false"/>
                  <w:smallCaps w:val="false"/>
                  <w:sz w:val="20"/>
                </w:rPr>
                <w:t>Condensed Consolidated Balance Sheets</w:t>
              </w:r>
            </w:hyperlink>
          </w:p>
        </w:tc>
        <w:tc>
          <w:tcPr>
            <w:tcW w:w="440" w:type="dxa"/>
            <w:tcBorders/>
            <w:shd w:fill="auto" w:val="clear"/>
            <w:vAlign w:val="center"/>
          </w:tcPr>
          <w:p>
            <w:pPr>
              <w:pStyle w:val="TableContents"/>
              <w:spacing w:before="0" w:after="0"/>
              <w:ind w:left="0" w:right="0" w:hanging="0"/>
              <w:jc w:val="right"/>
              <w:rPr/>
            </w:pPr>
            <w:hyperlink w:anchor="bs">
              <w:r>
                <w:rPr>
                  <w:rStyle w:val="InternetLink"/>
                  <w:rFonts w:ascii="Times New Roman" w:hAnsi="Times New Roman"/>
                  <w:caps w:val="false"/>
                  <w:smallCaps w:val="false"/>
                  <w:sz w:val="20"/>
                </w:rPr>
                <w:t>2</w:t>
              </w:r>
            </w:hyperlink>
          </w:p>
        </w:tc>
      </w:tr>
      <w:tr>
        <w:trPr/>
        <w:tc>
          <w:tcPr>
            <w:tcW w:w="785" w:type="dxa"/>
            <w:tcBorders/>
            <w:shd w:fill="auto" w:val="clear"/>
            <w:vAlign w:val="center"/>
          </w:tcPr>
          <w:p>
            <w:pPr>
              <w:pStyle w:val="TableContents"/>
              <w:spacing w:before="0" w:after="0"/>
              <w:ind w:left="140" w:right="0" w:hanging="0"/>
              <w:rPr>
                <w:caps w:val="false"/>
                <w:smallCaps w:val="false"/>
              </w:rPr>
            </w:pPr>
            <w:r>
              <w:rPr>
                <w:caps w:val="false"/>
                <w:smallCaps w:val="false"/>
              </w:rPr>
              <w:t> </w:t>
            </w:r>
          </w:p>
        </w:tc>
        <w:tc>
          <w:tcPr>
            <w:tcW w:w="7475" w:type="dxa"/>
            <w:tcBorders/>
            <w:shd w:fill="auto" w:val="clear"/>
            <w:vAlign w:val="center"/>
          </w:tcPr>
          <w:p>
            <w:pPr>
              <w:pStyle w:val="TableContents"/>
              <w:spacing w:before="0" w:after="0"/>
              <w:ind w:left="0" w:right="0" w:hanging="0"/>
              <w:rPr/>
            </w:pPr>
            <w:hyperlink w:anchor="ops">
              <w:r>
                <w:rPr>
                  <w:rStyle w:val="InternetLink"/>
                  <w:rFonts w:ascii="Times New Roman" w:hAnsi="Times New Roman"/>
                  <w:caps w:val="false"/>
                  <w:smallCaps w:val="false"/>
                  <w:sz w:val="20"/>
                </w:rPr>
                <w:t>Condensed Consolidated Statements of Operations</w:t>
              </w:r>
            </w:hyperlink>
          </w:p>
        </w:tc>
        <w:tc>
          <w:tcPr>
            <w:tcW w:w="440" w:type="dxa"/>
            <w:tcBorders/>
            <w:shd w:fill="auto" w:val="clear"/>
            <w:vAlign w:val="center"/>
          </w:tcPr>
          <w:p>
            <w:pPr>
              <w:pStyle w:val="TableContents"/>
              <w:spacing w:before="0" w:after="0"/>
              <w:ind w:left="0" w:right="0" w:hanging="0"/>
              <w:jc w:val="right"/>
              <w:rPr/>
            </w:pPr>
            <w:hyperlink w:anchor="ops">
              <w:r>
                <w:rPr>
                  <w:rStyle w:val="InternetLink"/>
                  <w:rFonts w:ascii="Times New Roman" w:hAnsi="Times New Roman"/>
                  <w:caps w:val="false"/>
                  <w:smallCaps w:val="false"/>
                  <w:sz w:val="20"/>
                </w:rPr>
                <w:t>3</w:t>
              </w:r>
            </w:hyperlink>
          </w:p>
        </w:tc>
      </w:tr>
      <w:tr>
        <w:trPr/>
        <w:tc>
          <w:tcPr>
            <w:tcW w:w="785"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ind w:left="0" w:right="0" w:hanging="0"/>
              <w:rPr/>
            </w:pPr>
            <w:hyperlink w:anchor="compincome">
              <w:r>
                <w:rPr>
                  <w:rStyle w:val="InternetLink"/>
                  <w:rFonts w:ascii="Times New Roman" w:hAnsi="Times New Roman"/>
                  <w:caps w:val="false"/>
                  <w:smallCaps w:val="false"/>
                  <w:sz w:val="20"/>
                </w:rPr>
                <w:t>Condensed Consolidated Statements of Comprehensive Loss</w:t>
              </w:r>
            </w:hyperlink>
          </w:p>
        </w:tc>
        <w:tc>
          <w:tcPr>
            <w:tcW w:w="440" w:type="dxa"/>
            <w:tcBorders/>
            <w:shd w:fill="auto" w:val="clear"/>
            <w:vAlign w:val="center"/>
          </w:tcPr>
          <w:p>
            <w:pPr>
              <w:pStyle w:val="TableContents"/>
              <w:spacing w:before="0" w:after="0"/>
              <w:ind w:left="0" w:right="0" w:hanging="0"/>
              <w:jc w:val="right"/>
              <w:rPr/>
            </w:pPr>
            <w:hyperlink w:anchor="compincome">
              <w:r>
                <w:rPr>
                  <w:rStyle w:val="InternetLink"/>
                  <w:rFonts w:ascii="Times New Roman" w:hAnsi="Times New Roman"/>
                  <w:caps w:val="false"/>
                  <w:smallCaps w:val="false"/>
                  <w:sz w:val="20"/>
                </w:rPr>
                <w:t>4</w:t>
              </w:r>
            </w:hyperlink>
          </w:p>
        </w:tc>
      </w:tr>
      <w:tr>
        <w:trPr/>
        <w:tc>
          <w:tcPr>
            <w:tcW w:w="785" w:type="dxa"/>
            <w:tcBorders/>
            <w:shd w:fill="auto" w:val="clear"/>
            <w:vAlign w:val="center"/>
          </w:tcPr>
          <w:p>
            <w:pPr>
              <w:pStyle w:val="TableContents"/>
              <w:spacing w:before="0" w:after="0"/>
              <w:ind w:left="140" w:right="0" w:hanging="0"/>
              <w:rPr>
                <w:caps w:val="false"/>
                <w:smallCaps w:val="false"/>
              </w:rPr>
            </w:pPr>
            <w:r>
              <w:rPr>
                <w:caps w:val="false"/>
                <w:smallCaps w:val="false"/>
              </w:rPr>
              <w:t> </w:t>
            </w:r>
          </w:p>
        </w:tc>
        <w:tc>
          <w:tcPr>
            <w:tcW w:w="7475" w:type="dxa"/>
            <w:tcBorders/>
            <w:shd w:fill="auto" w:val="clear"/>
            <w:vAlign w:val="center"/>
          </w:tcPr>
          <w:p>
            <w:pPr>
              <w:pStyle w:val="TableContents"/>
              <w:spacing w:before="0" w:after="0"/>
              <w:ind w:left="0" w:right="0" w:hanging="0"/>
              <w:jc w:val="both"/>
              <w:rPr/>
            </w:pPr>
            <w:hyperlink w:anchor="equity">
              <w:r>
                <w:rPr>
                  <w:rStyle w:val="InternetLink"/>
                  <w:rFonts w:ascii="Times New Roman" w:hAnsi="Times New Roman"/>
                  <w:caps w:val="false"/>
                  <w:smallCaps w:val="false"/>
                  <w:sz w:val="20"/>
                </w:rPr>
                <w:t>Condensed Consolidated Statements of Stockholders’ Equity</w:t>
              </w:r>
            </w:hyperlink>
          </w:p>
        </w:tc>
        <w:tc>
          <w:tcPr>
            <w:tcW w:w="440" w:type="dxa"/>
            <w:tcBorders/>
            <w:shd w:fill="auto" w:val="clear"/>
            <w:vAlign w:val="center"/>
          </w:tcPr>
          <w:p>
            <w:pPr>
              <w:pStyle w:val="TableContents"/>
              <w:spacing w:before="0" w:after="0"/>
              <w:ind w:left="0" w:right="0" w:hanging="0"/>
              <w:jc w:val="right"/>
              <w:rPr/>
            </w:pPr>
            <w:hyperlink w:anchor="equity">
              <w:r>
                <w:rPr>
                  <w:rStyle w:val="InternetLink"/>
                  <w:rFonts w:ascii="Times New Roman" w:hAnsi="Times New Roman"/>
                  <w:caps w:val="false"/>
                  <w:smallCaps w:val="false"/>
                  <w:sz w:val="20"/>
                </w:rPr>
                <w:t>5</w:t>
              </w:r>
            </w:hyperlink>
          </w:p>
        </w:tc>
      </w:tr>
      <w:tr>
        <w:trPr/>
        <w:tc>
          <w:tcPr>
            <w:tcW w:w="785" w:type="dxa"/>
            <w:tcBorders/>
            <w:shd w:fill="auto" w:val="clear"/>
            <w:vAlign w:val="center"/>
          </w:tcPr>
          <w:p>
            <w:pPr>
              <w:pStyle w:val="TableContents"/>
              <w:spacing w:before="0" w:after="0"/>
              <w:ind w:left="140" w:right="0" w:hanging="0"/>
              <w:rPr>
                <w:caps w:val="false"/>
                <w:smallCaps w:val="false"/>
              </w:rPr>
            </w:pPr>
            <w:r>
              <w:rPr>
                <w:caps w:val="false"/>
                <w:smallCaps w:val="false"/>
              </w:rPr>
              <w:t> </w:t>
            </w:r>
          </w:p>
        </w:tc>
        <w:tc>
          <w:tcPr>
            <w:tcW w:w="7475" w:type="dxa"/>
            <w:tcBorders/>
            <w:shd w:fill="auto" w:val="clear"/>
            <w:vAlign w:val="center"/>
          </w:tcPr>
          <w:p>
            <w:pPr>
              <w:pStyle w:val="TableContents"/>
              <w:spacing w:before="0" w:after="0"/>
              <w:ind w:left="0" w:right="0" w:hanging="0"/>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shd w:fill="auto" w:val="clear"/>
            <w:vAlign w:val="center"/>
          </w:tcPr>
          <w:p>
            <w:pPr>
              <w:pStyle w:val="TableContents"/>
              <w:spacing w:before="0" w:after="0"/>
              <w:ind w:left="0" w:right="0" w:hanging="0"/>
              <w:jc w:val="right"/>
              <w:rPr/>
            </w:pPr>
            <w:hyperlink w:anchor="cf">
              <w:r>
                <w:rPr>
                  <w:rStyle w:val="InternetLink"/>
                  <w:rFonts w:ascii="Times New Roman" w:hAnsi="Times New Roman"/>
                  <w:caps w:val="false"/>
                  <w:smallCaps w:val="false"/>
                  <w:sz w:val="20"/>
                </w:rPr>
                <w:t>6</w:t>
              </w:r>
            </w:hyperlink>
          </w:p>
        </w:tc>
      </w:tr>
      <w:tr>
        <w:trPr/>
        <w:tc>
          <w:tcPr>
            <w:tcW w:w="785" w:type="dxa"/>
            <w:tcBorders/>
            <w:shd w:fill="auto" w:val="clear"/>
            <w:vAlign w:val="center"/>
          </w:tcPr>
          <w:p>
            <w:pPr>
              <w:pStyle w:val="TableContents"/>
              <w:spacing w:before="0" w:after="0"/>
              <w:ind w:left="140" w:right="0" w:hanging="0"/>
              <w:rPr>
                <w:caps w:val="false"/>
                <w:smallCaps w:val="false"/>
              </w:rPr>
            </w:pPr>
            <w:r>
              <w:rPr>
                <w:caps w:val="false"/>
                <w:smallCaps w:val="false"/>
              </w:rPr>
              <w:t> </w:t>
            </w:r>
          </w:p>
        </w:tc>
        <w:tc>
          <w:tcPr>
            <w:tcW w:w="7475" w:type="dxa"/>
            <w:tcBorders/>
            <w:shd w:fill="auto" w:val="clear"/>
            <w:vAlign w:val="center"/>
          </w:tcPr>
          <w:p>
            <w:pPr>
              <w:pStyle w:val="TableContents"/>
              <w:spacing w:before="0" w:after="0"/>
              <w:ind w:left="0" w:right="0" w:hanging="0"/>
              <w:rPr/>
            </w:pPr>
            <w:hyperlink w:anchor="notes">
              <w:r>
                <w:rPr>
                  <w:rStyle w:val="InternetLink"/>
                  <w:rFonts w:ascii="Times New Roman" w:hAnsi="Times New Roman"/>
                  <w:caps w:val="false"/>
                  <w:smallCaps w:val="false"/>
                  <w:sz w:val="20"/>
                </w:rPr>
                <w:t>Notes to the Condensed Consolidated Financial Statements</w:t>
              </w:r>
            </w:hyperlink>
          </w:p>
        </w:tc>
        <w:tc>
          <w:tcPr>
            <w:tcW w:w="440" w:type="dxa"/>
            <w:tcBorders/>
            <w:shd w:fill="auto" w:val="clear"/>
            <w:vAlign w:val="center"/>
          </w:tcPr>
          <w:p>
            <w:pPr>
              <w:pStyle w:val="TableContents"/>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2.</w:t>
            </w:r>
          </w:p>
        </w:tc>
        <w:tc>
          <w:tcPr>
            <w:tcW w:w="7475" w:type="dxa"/>
            <w:tcBorders/>
            <w:shd w:fill="auto" w:val="clear"/>
            <w:vAlign w:val="center"/>
          </w:tcPr>
          <w:p>
            <w:pPr>
              <w:pStyle w:val="TableContents"/>
              <w:spacing w:before="0" w:after="0"/>
              <w:ind w:left="0" w:right="0" w:hanging="0"/>
              <w:rPr/>
            </w:pPr>
            <w:hyperlink w:anchor="item2">
              <w:r>
                <w:rPr>
                  <w:rStyle w:val="InternetLink"/>
                  <w:rFonts w:ascii="Times New Roman" w:hAnsi="Times New Roman"/>
                  <w:b/>
                  <w:caps w:val="false"/>
                  <w:smallCaps w:val="false"/>
                  <w:sz w:val="20"/>
                </w:rPr>
                <w:t>Management</w:t>
              </w:r>
            </w:hyperlink>
            <w:hyperlink w:anchor="item2">
              <w:r>
                <w:rPr>
                  <w:rStyle w:val="InternetLink"/>
                  <w:rFonts w:ascii="Times New Roman" w:hAnsi="Times New Roman"/>
                  <w:caps w:val="false"/>
                  <w:smallCaps w:val="false"/>
                  <w:sz w:val="20"/>
                </w:rPr>
                <w:t>’</w:t>
              </w:r>
            </w:hyperlink>
            <w:hyperlink w:anchor="item2">
              <w:r>
                <w:rPr>
                  <w:rStyle w:val="InternetLink"/>
                  <w:rFonts w:ascii="Times New Roman" w:hAnsi="Times New Roman"/>
                  <w:b/>
                  <w:caps w:val="false"/>
                  <w:smallCaps w:val="false"/>
                  <w:sz w:val="20"/>
                </w:rPr>
                <w:t>s Discussion and Analysis of Financial Condition and Results of Operations</w:t>
              </w:r>
            </w:hyperlink>
          </w:p>
        </w:tc>
        <w:tc>
          <w:tcPr>
            <w:tcW w:w="440" w:type="dxa"/>
            <w:tcBorders/>
            <w:shd w:fill="auto" w:val="clear"/>
            <w:vAlign w:val="center"/>
          </w:tcPr>
          <w:p>
            <w:pPr>
              <w:pStyle w:val="TableContents"/>
              <w:spacing w:before="0" w:after="0"/>
              <w:ind w:left="0" w:right="0" w:hanging="0"/>
              <w:jc w:val="right"/>
              <w:rPr/>
            </w:pPr>
            <w:hyperlink w:anchor="item2">
              <w:r>
                <w:rPr>
                  <w:rStyle w:val="InternetLink"/>
                  <w:rFonts w:ascii="Times New Roman" w:hAnsi="Times New Roman"/>
                  <w:caps w:val="false"/>
                  <w:smallCaps w:val="false"/>
                  <w:sz w:val="20"/>
                </w:rPr>
                <w:t>27</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3.</w:t>
            </w:r>
          </w:p>
        </w:tc>
        <w:tc>
          <w:tcPr>
            <w:tcW w:w="7475" w:type="dxa"/>
            <w:tcBorders/>
            <w:shd w:fill="auto" w:val="clear"/>
            <w:vAlign w:val="center"/>
          </w:tcPr>
          <w:p>
            <w:pPr>
              <w:pStyle w:val="TableContents"/>
              <w:spacing w:before="0" w:after="0"/>
              <w:ind w:left="0" w:right="0" w:hanging="0"/>
              <w:rPr/>
            </w:pPr>
            <w:hyperlink w:anchor="item3">
              <w:r>
                <w:rPr>
                  <w:rStyle w:val="InternetLink"/>
                  <w:rFonts w:ascii="Times New Roman" w:hAnsi="Times New Roman"/>
                  <w:b/>
                  <w:caps w:val="false"/>
                  <w:smallCaps w:val="false"/>
                  <w:sz w:val="20"/>
                </w:rPr>
                <w:t>Quantitative and Qualitative Disclosures About Market Risk</w:t>
              </w:r>
            </w:hyperlink>
          </w:p>
        </w:tc>
        <w:tc>
          <w:tcPr>
            <w:tcW w:w="440" w:type="dxa"/>
            <w:tcBorders/>
            <w:shd w:fill="auto" w:val="clear"/>
            <w:vAlign w:val="center"/>
          </w:tcPr>
          <w:p>
            <w:pPr>
              <w:pStyle w:val="TableContents"/>
              <w:spacing w:before="0" w:after="0"/>
              <w:ind w:left="0" w:right="0" w:hanging="0"/>
              <w:jc w:val="right"/>
              <w:rPr/>
            </w:pPr>
            <w:hyperlink w:anchor="item3">
              <w:r>
                <w:rPr>
                  <w:rStyle w:val="InternetLink"/>
                  <w:rFonts w:ascii="Times New Roman" w:hAnsi="Times New Roman"/>
                  <w:caps w:val="false"/>
                  <w:smallCaps w:val="false"/>
                  <w:sz w:val="20"/>
                </w:rPr>
                <w:t>43</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4.</w:t>
            </w:r>
          </w:p>
        </w:tc>
        <w:tc>
          <w:tcPr>
            <w:tcW w:w="7475" w:type="dxa"/>
            <w:tcBorders/>
            <w:shd w:fill="auto" w:val="clear"/>
            <w:vAlign w:val="center"/>
          </w:tcPr>
          <w:p>
            <w:pPr>
              <w:pStyle w:val="TableContents"/>
              <w:spacing w:before="0" w:after="0"/>
              <w:ind w:left="0" w:right="0" w:hanging="0"/>
              <w:rPr/>
            </w:pPr>
            <w:hyperlink w:anchor="item4">
              <w:r>
                <w:rPr>
                  <w:rStyle w:val="InternetLink"/>
                  <w:rFonts w:ascii="Times New Roman" w:hAnsi="Times New Roman"/>
                  <w:b/>
                  <w:caps w:val="false"/>
                  <w:smallCaps w:val="false"/>
                  <w:sz w:val="20"/>
                </w:rPr>
                <w:t>Controls and Procedures</w:t>
              </w:r>
            </w:hyperlink>
          </w:p>
        </w:tc>
        <w:tc>
          <w:tcPr>
            <w:tcW w:w="440" w:type="dxa"/>
            <w:tcBorders/>
            <w:shd w:fill="auto" w:val="clear"/>
            <w:vAlign w:val="center"/>
          </w:tcPr>
          <w:p>
            <w:pPr>
              <w:pStyle w:val="TableContents"/>
              <w:spacing w:before="0" w:after="0"/>
              <w:ind w:left="0" w:right="0" w:hanging="0"/>
              <w:jc w:val="right"/>
              <w:rPr/>
            </w:pPr>
            <w:hyperlink w:anchor="item4">
              <w:r>
                <w:rPr>
                  <w:rStyle w:val="InternetLink"/>
                  <w:rFonts w:ascii="Times New Roman" w:hAnsi="Times New Roman"/>
                  <w:caps w:val="false"/>
                  <w:smallCaps w:val="false"/>
                  <w:sz w:val="20"/>
                </w:rPr>
                <w:t>43</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PART II.</w:t>
            </w:r>
          </w:p>
        </w:tc>
        <w:tc>
          <w:tcPr>
            <w:tcW w:w="7475" w:type="dxa"/>
            <w:tcBorders/>
            <w:shd w:fill="auto" w:val="clear"/>
            <w:vAlign w:val="center"/>
          </w:tcPr>
          <w:p>
            <w:pPr>
              <w:pStyle w:val="TableContents"/>
              <w:spacing w:before="0" w:after="0"/>
              <w:ind w:left="0" w:right="0" w:hanging="0"/>
              <w:rPr/>
            </w:pPr>
            <w:hyperlink w:anchor="part2">
              <w:r>
                <w:rPr>
                  <w:rStyle w:val="InternetLink"/>
                  <w:rFonts w:ascii="Times New Roman" w:hAnsi="Times New Roman"/>
                  <w:b/>
                  <w:caps w:val="false"/>
                  <w:smallCaps w:val="false"/>
                  <w:sz w:val="20"/>
                </w:rPr>
                <w:t>Other Information</w:t>
              </w:r>
            </w:hyperlink>
          </w:p>
        </w:tc>
        <w:tc>
          <w:tcPr>
            <w:tcW w:w="440" w:type="dxa"/>
            <w:tcBorders/>
            <w:shd w:fill="auto" w:val="clear"/>
            <w:vAlign w:val="center"/>
          </w:tcPr>
          <w:p>
            <w:pPr>
              <w:pStyle w:val="TableContents"/>
              <w:spacing w:before="0" w:after="0"/>
              <w:ind w:left="0" w:right="0" w:hanging="0"/>
              <w:jc w:val="right"/>
              <w:rPr/>
            </w:pPr>
            <w:hyperlink w:anchor="part2">
              <w:r>
                <w:rPr>
                  <w:rStyle w:val="InternetLink"/>
                  <w:rFonts w:ascii="Times New Roman" w:hAnsi="Times New Roman"/>
                  <w:caps w:val="false"/>
                  <w:smallCaps w:val="false"/>
                  <w:sz w:val="20"/>
                </w:rPr>
                <w:t>44</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w:t>
            </w:r>
          </w:p>
        </w:tc>
        <w:tc>
          <w:tcPr>
            <w:tcW w:w="7475" w:type="dxa"/>
            <w:tcBorders/>
            <w:shd w:fill="auto" w:val="clear"/>
            <w:vAlign w:val="center"/>
          </w:tcPr>
          <w:p>
            <w:pPr>
              <w:pStyle w:val="TableContents"/>
              <w:spacing w:before="0" w:after="0"/>
              <w:ind w:left="0" w:right="0" w:hanging="0"/>
              <w:rPr/>
            </w:pPr>
            <w:hyperlink w:anchor="legal">
              <w:r>
                <w:rPr>
                  <w:rStyle w:val="InternetLink"/>
                  <w:rFonts w:ascii="Times New Roman" w:hAnsi="Times New Roman"/>
                  <w:b/>
                  <w:caps w:val="false"/>
                  <w:smallCaps w:val="false"/>
                  <w:sz w:val="20"/>
                </w:rPr>
                <w:t>Legal Proceedings</w:t>
              </w:r>
            </w:hyperlink>
          </w:p>
        </w:tc>
        <w:tc>
          <w:tcPr>
            <w:tcW w:w="440" w:type="dxa"/>
            <w:tcBorders/>
            <w:shd w:fill="auto" w:val="clear"/>
            <w:vAlign w:val="center"/>
          </w:tcPr>
          <w:p>
            <w:pPr>
              <w:pStyle w:val="TableContents"/>
              <w:spacing w:before="0" w:after="0"/>
              <w:ind w:left="0" w:right="0" w:hanging="0"/>
              <w:jc w:val="right"/>
              <w:rPr/>
            </w:pPr>
            <w:hyperlink w:anchor="legal">
              <w:r>
                <w:rPr>
                  <w:rStyle w:val="InternetLink"/>
                  <w:rFonts w:ascii="Times New Roman" w:hAnsi="Times New Roman"/>
                  <w:caps w:val="false"/>
                  <w:smallCaps w:val="false"/>
                  <w:sz w:val="20"/>
                </w:rPr>
                <w:t>44</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1A.</w:t>
            </w:r>
          </w:p>
        </w:tc>
        <w:tc>
          <w:tcPr>
            <w:tcW w:w="7475" w:type="dxa"/>
            <w:tcBorders/>
            <w:shd w:fill="auto" w:val="clear"/>
            <w:vAlign w:val="center"/>
          </w:tcPr>
          <w:p>
            <w:pPr>
              <w:pStyle w:val="TableContents"/>
              <w:spacing w:before="0" w:after="0"/>
              <w:ind w:left="0" w:right="0" w:hanging="0"/>
              <w:rPr/>
            </w:pPr>
            <w:hyperlink w:anchor="risk">
              <w:r>
                <w:rPr>
                  <w:rStyle w:val="InternetLink"/>
                  <w:rFonts w:ascii="Times New Roman" w:hAnsi="Times New Roman"/>
                  <w:b/>
                  <w:caps w:val="false"/>
                  <w:smallCaps w:val="false"/>
                  <w:sz w:val="20"/>
                </w:rPr>
                <w:t>Risk Factors</w:t>
              </w:r>
            </w:hyperlink>
          </w:p>
        </w:tc>
        <w:tc>
          <w:tcPr>
            <w:tcW w:w="440" w:type="dxa"/>
            <w:tcBorders/>
            <w:shd w:fill="auto" w:val="clear"/>
            <w:vAlign w:val="center"/>
          </w:tcPr>
          <w:p>
            <w:pPr>
              <w:pStyle w:val="TableContents"/>
              <w:spacing w:before="0" w:after="0"/>
              <w:ind w:left="0" w:right="0" w:hanging="0"/>
              <w:jc w:val="right"/>
              <w:rPr/>
            </w:pPr>
            <w:hyperlink w:anchor="risk">
              <w:r>
                <w:rPr>
                  <w:rStyle w:val="InternetLink"/>
                  <w:rFonts w:ascii="Times New Roman" w:hAnsi="Times New Roman"/>
                  <w:caps w:val="false"/>
                  <w:smallCaps w:val="false"/>
                  <w:sz w:val="20"/>
                </w:rPr>
                <w:t>44</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2.</w:t>
            </w:r>
          </w:p>
        </w:tc>
        <w:tc>
          <w:tcPr>
            <w:tcW w:w="7475" w:type="dxa"/>
            <w:tcBorders/>
            <w:shd w:fill="auto" w:val="clear"/>
            <w:vAlign w:val="center"/>
          </w:tcPr>
          <w:p>
            <w:pPr>
              <w:pStyle w:val="TableContents"/>
              <w:spacing w:before="0" w:after="0"/>
              <w:ind w:left="0" w:right="0" w:hanging="0"/>
              <w:rPr/>
            </w:pPr>
            <w:hyperlink w:anchor="unreg">
              <w:r>
                <w:rPr>
                  <w:rStyle w:val="InternetLink"/>
                  <w:rFonts w:ascii="Times New Roman" w:hAnsi="Times New Roman"/>
                  <w:b/>
                  <w:caps w:val="false"/>
                  <w:smallCaps w:val="false"/>
                  <w:sz w:val="20"/>
                </w:rPr>
                <w:t>Unregistered Sales of Equity Securities and Use of Proceeds</w:t>
              </w:r>
            </w:hyperlink>
          </w:p>
        </w:tc>
        <w:tc>
          <w:tcPr>
            <w:tcW w:w="440" w:type="dxa"/>
            <w:tcBorders/>
            <w:shd w:fill="auto" w:val="clear"/>
            <w:vAlign w:val="center"/>
          </w:tcPr>
          <w:p>
            <w:pPr>
              <w:pStyle w:val="TableContents"/>
              <w:spacing w:before="0" w:after="0"/>
              <w:ind w:left="0" w:right="0" w:hanging="0"/>
              <w:jc w:val="right"/>
              <w:rPr/>
            </w:pPr>
            <w:hyperlink w:anchor="unreg">
              <w:r>
                <w:rPr>
                  <w:rStyle w:val="InternetLink"/>
                  <w:rFonts w:ascii="Times New Roman" w:hAnsi="Times New Roman"/>
                  <w:caps w:val="false"/>
                  <w:smallCaps w:val="false"/>
                  <w:sz w:val="20"/>
                </w:rPr>
                <w:t>44</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3.</w:t>
            </w:r>
          </w:p>
        </w:tc>
        <w:tc>
          <w:tcPr>
            <w:tcW w:w="7475" w:type="dxa"/>
            <w:tcBorders/>
            <w:shd w:fill="auto" w:val="clear"/>
            <w:vAlign w:val="center"/>
          </w:tcPr>
          <w:p>
            <w:pPr>
              <w:pStyle w:val="TableContents"/>
              <w:spacing w:before="0" w:after="0"/>
              <w:ind w:left="0" w:right="0" w:hanging="0"/>
              <w:rPr/>
            </w:pPr>
            <w:hyperlink w:anchor="defaults">
              <w:r>
                <w:rPr>
                  <w:rStyle w:val="InternetLink"/>
                  <w:rFonts w:ascii="Times New Roman" w:hAnsi="Times New Roman"/>
                  <w:b/>
                  <w:caps w:val="false"/>
                  <w:smallCaps w:val="false"/>
                  <w:sz w:val="20"/>
                </w:rPr>
                <w:t>Defaults Upon Senior Securities</w:t>
              </w:r>
            </w:hyperlink>
          </w:p>
        </w:tc>
        <w:tc>
          <w:tcPr>
            <w:tcW w:w="440" w:type="dxa"/>
            <w:tcBorders/>
            <w:shd w:fill="auto" w:val="clear"/>
            <w:vAlign w:val="center"/>
          </w:tcPr>
          <w:p>
            <w:pPr>
              <w:pStyle w:val="TableContents"/>
              <w:spacing w:before="0" w:after="0"/>
              <w:ind w:left="0" w:right="0" w:hanging="0"/>
              <w:jc w:val="right"/>
              <w:rPr/>
            </w:pPr>
            <w:hyperlink w:anchor="defaults">
              <w:r>
                <w:rPr>
                  <w:rStyle w:val="InternetLink"/>
                  <w:rFonts w:ascii="Times New Roman" w:hAnsi="Times New Roman"/>
                  <w:caps w:val="false"/>
                  <w:smallCaps w:val="false"/>
                  <w:sz w:val="20"/>
                </w:rPr>
                <w:t>45</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4.</w:t>
            </w:r>
          </w:p>
        </w:tc>
        <w:tc>
          <w:tcPr>
            <w:tcW w:w="7475" w:type="dxa"/>
            <w:tcBorders/>
            <w:shd w:fill="auto" w:val="clear"/>
            <w:vAlign w:val="center"/>
          </w:tcPr>
          <w:p>
            <w:pPr>
              <w:pStyle w:val="TableContents"/>
              <w:spacing w:before="0" w:after="0"/>
              <w:ind w:left="0" w:right="0" w:hanging="0"/>
              <w:rPr/>
            </w:pPr>
            <w:hyperlink w:anchor="mine">
              <w:r>
                <w:rPr>
                  <w:rStyle w:val="InternetLink"/>
                  <w:rFonts w:ascii="Times New Roman" w:hAnsi="Times New Roman"/>
                  <w:b/>
                  <w:caps w:val="false"/>
                  <w:smallCaps w:val="false"/>
                  <w:sz w:val="20"/>
                </w:rPr>
                <w:t>Mine Safety Disclosures</w:t>
              </w:r>
            </w:hyperlink>
          </w:p>
        </w:tc>
        <w:tc>
          <w:tcPr>
            <w:tcW w:w="440" w:type="dxa"/>
            <w:tcBorders/>
            <w:shd w:fill="auto" w:val="clear"/>
            <w:vAlign w:val="center"/>
          </w:tcPr>
          <w:p>
            <w:pPr>
              <w:pStyle w:val="TableContents"/>
              <w:spacing w:before="0" w:after="0"/>
              <w:ind w:left="0" w:right="0" w:hanging="0"/>
              <w:jc w:val="right"/>
              <w:rPr/>
            </w:pPr>
            <w:hyperlink w:anchor="mine">
              <w:r>
                <w:rPr>
                  <w:rStyle w:val="InternetLink"/>
                  <w:rFonts w:ascii="Times New Roman" w:hAnsi="Times New Roman"/>
                  <w:caps w:val="false"/>
                  <w:smallCaps w:val="false"/>
                  <w:sz w:val="20"/>
                </w:rPr>
                <w:t>45</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5.</w:t>
            </w:r>
          </w:p>
        </w:tc>
        <w:tc>
          <w:tcPr>
            <w:tcW w:w="7475" w:type="dxa"/>
            <w:tcBorders/>
            <w:shd w:fill="auto" w:val="clear"/>
            <w:vAlign w:val="center"/>
          </w:tcPr>
          <w:p>
            <w:pPr>
              <w:pStyle w:val="TableContents"/>
              <w:spacing w:before="0" w:after="0"/>
              <w:ind w:left="0" w:right="0" w:hanging="0"/>
              <w:rPr/>
            </w:pPr>
            <w:hyperlink w:anchor="other">
              <w:r>
                <w:rPr>
                  <w:rStyle w:val="InternetLink"/>
                  <w:rFonts w:ascii="Times New Roman" w:hAnsi="Times New Roman"/>
                  <w:b/>
                  <w:caps w:val="false"/>
                  <w:smallCaps w:val="false"/>
                  <w:sz w:val="20"/>
                </w:rPr>
                <w:t>Other Information</w:t>
              </w:r>
            </w:hyperlink>
          </w:p>
        </w:tc>
        <w:tc>
          <w:tcPr>
            <w:tcW w:w="440" w:type="dxa"/>
            <w:tcBorders/>
            <w:shd w:fill="auto" w:val="clear"/>
            <w:vAlign w:val="center"/>
          </w:tcPr>
          <w:p>
            <w:pPr>
              <w:pStyle w:val="TableContents"/>
              <w:spacing w:before="0" w:after="0"/>
              <w:ind w:left="0" w:right="0" w:hanging="0"/>
              <w:jc w:val="right"/>
              <w:rPr/>
            </w:pPr>
            <w:hyperlink w:anchor="other">
              <w:r>
                <w:rPr>
                  <w:rStyle w:val="InternetLink"/>
                  <w:rFonts w:ascii="Times New Roman" w:hAnsi="Times New Roman"/>
                  <w:caps w:val="false"/>
                  <w:smallCaps w:val="false"/>
                  <w:sz w:val="20"/>
                </w:rPr>
                <w:t>45</w:t>
              </w:r>
            </w:hyperlink>
          </w:p>
        </w:tc>
      </w:tr>
      <w:tr>
        <w:trPr/>
        <w:tc>
          <w:tcPr>
            <w:tcW w:w="78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6.</w:t>
            </w:r>
          </w:p>
        </w:tc>
        <w:tc>
          <w:tcPr>
            <w:tcW w:w="7475" w:type="dxa"/>
            <w:tcBorders/>
            <w:shd w:fill="auto" w:val="clear"/>
            <w:vAlign w:val="center"/>
          </w:tcPr>
          <w:p>
            <w:pPr>
              <w:pStyle w:val="TableContents"/>
              <w:spacing w:before="0" w:after="0"/>
              <w:ind w:left="0" w:right="0" w:hanging="0"/>
              <w:rPr/>
            </w:pPr>
            <w:hyperlink w:anchor="exhibits">
              <w:r>
                <w:rPr>
                  <w:rStyle w:val="InternetLink"/>
                  <w:rFonts w:ascii="Times New Roman" w:hAnsi="Times New Roman"/>
                  <w:b/>
                  <w:caps w:val="false"/>
                  <w:smallCaps w:val="false"/>
                  <w:sz w:val="20"/>
                </w:rPr>
                <w:t>Exhibits</w:t>
              </w:r>
            </w:hyperlink>
          </w:p>
        </w:tc>
        <w:tc>
          <w:tcPr>
            <w:tcW w:w="440" w:type="dxa"/>
            <w:tcBorders/>
            <w:shd w:fill="auto" w:val="clear"/>
            <w:vAlign w:val="center"/>
          </w:tcPr>
          <w:p>
            <w:pPr>
              <w:pStyle w:val="TableContents"/>
              <w:spacing w:before="0" w:after="0"/>
              <w:ind w:left="0" w:right="0" w:hanging="0"/>
              <w:jc w:val="right"/>
              <w:rPr/>
            </w:pPr>
            <w:hyperlink w:anchor="exhibits">
              <w:r>
                <w:rPr>
                  <w:rStyle w:val="InternetLink"/>
                  <w:rFonts w:ascii="Times New Roman" w:hAnsi="Times New Roman"/>
                  <w:caps w:val="false"/>
                  <w:smallCaps w:val="false"/>
                  <w:sz w:val="20"/>
                </w:rPr>
                <w:t>45</w:t>
              </w:r>
            </w:hyperlink>
          </w:p>
        </w:tc>
      </w:tr>
      <w:tr>
        <w:trPr/>
        <w:tc>
          <w:tcPr>
            <w:tcW w:w="8260" w:type="dxa"/>
            <w:gridSpan w:val="2"/>
            <w:tcBorders/>
            <w:shd w:fill="auto" w:val="clear"/>
            <w:vAlign w:val="center"/>
          </w:tcPr>
          <w:p>
            <w:pPr>
              <w:pStyle w:val="TableContents"/>
              <w:spacing w:before="0" w:after="0"/>
              <w:ind w:left="0" w:right="0" w:hanging="0"/>
              <w:rPr/>
            </w:pPr>
            <w:hyperlink w:anchor="sigs">
              <w:r>
                <w:rPr>
                  <w:rStyle w:val="InternetLink"/>
                  <w:rFonts w:ascii="Times New Roman" w:hAnsi="Times New Roman"/>
                  <w:b/>
                  <w:caps w:val="false"/>
                  <w:smallCaps w:val="false"/>
                  <w:sz w:val="20"/>
                </w:rPr>
                <w:t>Signatures</w:t>
              </w:r>
            </w:hyperlink>
          </w:p>
        </w:tc>
        <w:tc>
          <w:tcPr>
            <w:tcW w:w="440" w:type="dxa"/>
            <w:tcBorders/>
            <w:shd w:fill="auto" w:val="clear"/>
            <w:vAlign w:val="center"/>
          </w:tcPr>
          <w:p>
            <w:pPr>
              <w:pStyle w:val="TableContents"/>
              <w:spacing w:before="0" w:after="0"/>
              <w:ind w:left="0" w:right="0" w:hanging="0"/>
              <w:jc w:val="right"/>
              <w:rPr/>
            </w:pPr>
            <w:hyperlink w:anchor="sigs">
              <w:r>
                <w:rPr>
                  <w:rStyle w:val="InternetLink"/>
                  <w:rFonts w:ascii="Times New Roman" w:hAnsi="Times New Roman"/>
                  <w:caps w:val="false"/>
                  <w:smallCaps w:val="false"/>
                  <w:sz w:val="20"/>
                </w:rPr>
                <w:t>46</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i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4" w:name="item1"/>
      <w:bookmarkEnd w:id="4"/>
      <w:r>
        <w:rPr>
          <w:rFonts w:ascii="Times New Roman" w:hAnsi="Times New Roman"/>
          <w:b/>
          <w:caps w:val="false"/>
          <w:smallCaps w:val="false"/>
          <w:sz w:val="20"/>
        </w:rPr>
        <w:t>ITEM 1. CONDENSED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VENUS CONCEPT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spacing w:before="0" w:after="0"/>
        <w:ind w:left="0" w:right="0" w:hanging="0"/>
        <w:jc w:val="center"/>
        <w:rPr>
          <w:rFonts w:ascii="Times New Roman" w:hAnsi="Times New Roman"/>
          <w:b/>
          <w:i/>
          <w:caps w:val="false"/>
          <w:smallCaps w:val="false"/>
          <w:position w:val="-6"/>
          <w:sz w:val="16"/>
          <w:sz w:val="20"/>
        </w:rPr>
      </w:pPr>
      <w:r>
        <w:rPr>
          <w:rFonts w:ascii="Times New Roman" w:hAnsi="Times New Roman"/>
          <w:b/>
          <w:i/>
          <w:caps w:val="false"/>
          <w:smallCaps w:val="false"/>
          <w:position w:val="-6"/>
          <w:sz w:val="16"/>
          <w:sz w:val="20"/>
        </w:rPr>
        <w:t>(in thousands, except for shares and per share data)</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063"/>
        <w:gridCol w:w="60"/>
        <w:gridCol w:w="125"/>
        <w:gridCol w:w="755"/>
        <w:gridCol w:w="80"/>
        <w:gridCol w:w="60"/>
        <w:gridCol w:w="139"/>
        <w:gridCol w:w="842"/>
        <w:gridCol w:w="81"/>
      </w:tblGrid>
      <w:tr>
        <w:trPr/>
        <w:tc>
          <w:tcPr>
            <w:tcW w:w="806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1"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1" w:type="dxa"/>
            <w:tcBorders/>
            <w:shd w:fill="FFFF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17,911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30,876</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Accounts receivable, net of allowance of $12,742 and $11,997 as of March 31, 2022, and December 31, 2021</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49,076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46,918</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21,319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20,543</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Prepaid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2,446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2,737</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Advances to suppliers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3,532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2,162</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Other 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4,139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3,758</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top w:val="single" w:sz="2" w:space="0" w:color="000000"/>
            </w:tcBorders>
            <w:shd w:fill="CCEEFF" w:val="clear"/>
            <w:tcMar>
              <w:top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98,423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2" w:type="dxa"/>
            <w:tcBorders>
              <w:top w:val="single" w:sz="2" w:space="0" w:color="000000"/>
            </w:tcBorders>
            <w:shd w:fill="CCEEFF" w:val="clear"/>
            <w:tcMar>
              <w:top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106,994</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LONG-TERM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Long-term receivables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27,747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27,710</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Deferred tax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249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284</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Severance pay funds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884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817</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2,583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2,669</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Intangible assets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14,536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15,393</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long-term assets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45,999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46,873</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144,422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153,867</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Trade payables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4,788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4,913</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18,818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19,512</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Income taxes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415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294</w:t>
            </w:r>
          </w:p>
        </w:tc>
        <w:tc>
          <w:tcPr>
            <w:tcW w:w="81" w:type="dxa"/>
            <w:tcBorders/>
            <w:shd w:fill="FFFFFF" w:val="clear"/>
            <w:vAlign w:val="center"/>
          </w:tcPr>
          <w:p>
            <w:pPr>
              <w:pStyle w:val="TableContents"/>
              <w:spacing w:before="0" w:after="283"/>
              <w:ind w:left="0" w:right="0" w:hanging="0"/>
              <w:rPr/>
            </w:pPr>
            <w:r>
              <w:rPr/>
              <w:t> </w:t>
            </w:r>
          </w:p>
        </w:tc>
      </w:tr>
      <w:tr>
        <w:trPr/>
        <w:tc>
          <w:tcPr>
            <w:tcW w:w="806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Unearned interest income</w:t>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75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2,727</w:t>
            </w:r>
          </w:p>
        </w:tc>
        <w:tc>
          <w:tcPr>
            <w:tcW w:w="8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39" w:type="dxa"/>
            <w:tcBorders/>
            <w:shd w:fill="CCEEFF" w:val="clear"/>
            <w:vAlign w:val="center"/>
          </w:tcPr>
          <w:p>
            <w:pPr>
              <w:pStyle w:val="TableContents"/>
              <w:spacing w:before="0" w:after="0"/>
              <w:ind w:left="0" w:right="0" w:hanging="0"/>
              <w:rPr/>
            </w:pPr>
            <w:r>
              <w:rPr/>
              <w:t> </w:t>
            </w:r>
          </w:p>
        </w:tc>
        <w:tc>
          <w:tcPr>
            <w:tcW w:w="84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2,678</w:t>
            </w:r>
          </w:p>
        </w:tc>
        <w:tc>
          <w:tcPr>
            <w:tcW w:w="81" w:type="dxa"/>
            <w:tcBorders/>
            <w:shd w:fill="CCEEFF" w:val="clear"/>
            <w:vAlign w:val="center"/>
          </w:tcPr>
          <w:p>
            <w:pPr>
              <w:pStyle w:val="TableContents"/>
              <w:spacing w:before="0" w:after="0"/>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Warranty accrual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1,245</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1,585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2,030</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Current portion of government assistance loans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543</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29,596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31,215</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LONG-TERM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Long-term debt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77,404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77,325</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Income tax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571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563</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severance pay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994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911</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Deferred tax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46</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Unearned interest income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1,376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1,355</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Warranty accrual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508</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long-term liabilities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567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348</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long-term liabilities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81,400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81,056</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110,996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112,271</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Commitments and Contingencies (Note 8)</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Common Stock, $0.0001 par value: 300,000,000 shares authorized as of March 31, 2022 and December 31, 2021; 63,999,044 and 63,982,580 issued and outstanding as of March 31, 2022 and December 31, 2021 respectively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Additional paid-in capital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221,787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221,321</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Accumulated deficit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(189,024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(180,405</w:t>
            </w:r>
          </w:p>
        </w:tc>
        <w:tc>
          <w:tcPr>
            <w:tcW w:w="8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06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32,790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40,943</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Non-controlling interests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653</w:t>
            </w:r>
          </w:p>
        </w:tc>
        <w:tc>
          <w:tcPr>
            <w:tcW w:w="81" w:type="dxa"/>
            <w:tcBorders/>
            <w:shd w:fill="FFFFFF" w:val="clear"/>
            <w:vAlign w:val="center"/>
          </w:tcPr>
          <w:p>
            <w:pPr>
              <w:pStyle w:val="TableContents"/>
              <w:spacing w:before="0" w:after="283"/>
              <w:rPr/>
            </w:pPr>
            <w:r>
              <w:rPr/>
              <w:t> </w:t>
            </w:r>
          </w:p>
        </w:tc>
      </w:tr>
      <w:tr>
        <w:trPr/>
        <w:tc>
          <w:tcPr>
            <w:tcW w:w="806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33,426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41,596</w:t>
            </w:r>
          </w:p>
        </w:tc>
        <w:tc>
          <w:tcPr>
            <w:tcW w:w="81" w:type="dxa"/>
            <w:tcBorders/>
            <w:shd w:fill="CCEEFF" w:val="clear"/>
            <w:vAlign w:val="center"/>
          </w:tcPr>
          <w:p>
            <w:pPr>
              <w:pStyle w:val="TableContents"/>
              <w:spacing w:before="0" w:after="283"/>
              <w:rPr/>
            </w:pPr>
            <w:r>
              <w:rPr/>
              <w:t> </w:t>
            </w:r>
          </w:p>
        </w:tc>
      </w:tr>
      <w:tr>
        <w:trPr/>
        <w:tc>
          <w:tcPr>
            <w:tcW w:w="8063"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144,422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153,867</w:t>
            </w:r>
          </w:p>
        </w:tc>
        <w:tc>
          <w:tcPr>
            <w:tcW w:w="81"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rPr/>
      </w:pPr>
      <w:r>
        <w:rPr/>
        <w:t xml:space="preserv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VENUS CONCEPT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spacing w:before="0" w:after="0"/>
        <w:ind w:left="0" w:right="0" w:hanging="0"/>
        <w:jc w:val="center"/>
        <w:rPr>
          <w:rFonts w:ascii="Times New Roman" w:hAnsi="Times New Roman"/>
          <w:b/>
          <w:i/>
          <w:caps w:val="false"/>
          <w:smallCaps w:val="false"/>
          <w:position w:val="-6"/>
          <w:sz w:val="16"/>
          <w:sz w:val="20"/>
        </w:rPr>
      </w:pPr>
      <w:r>
        <w:rPr>
          <w:rFonts w:ascii="Times New Roman" w:hAnsi="Times New Roman"/>
          <w:b/>
          <w:i/>
          <w:caps w:val="false"/>
          <w:smallCaps w:val="false"/>
          <w:position w:val="-6"/>
          <w:sz w:val="16"/>
          <w:sz w:val="20"/>
        </w:rPr>
        <w:t>(in thousands, except for per share data)</w:t>
      </w:r>
    </w:p>
    <w:p>
      <w:pPr>
        <w:pStyle w:val="TextBody"/>
        <w:spacing w:before="0" w:after="0"/>
        <w:ind w:left="0" w:right="0" w:hanging="0"/>
        <w:rPr>
          <w:caps w:val="false"/>
          <w:smallCaps w:val="false"/>
        </w:rPr>
      </w:pPr>
      <w:r>
        <w:rPr>
          <w:caps w:val="false"/>
          <w:smallCaps w:val="false"/>
        </w:rPr>
        <w:t> </w:t>
      </w:r>
    </w:p>
    <w:tbl>
      <w:tblPr>
        <w:tblW w:w="8126" w:type="dxa"/>
        <w:jc w:val="left"/>
        <w:tblInd w:w="0" w:type="dxa"/>
        <w:tblCellMar>
          <w:top w:w="0" w:type="dxa"/>
          <w:left w:w="0" w:type="dxa"/>
          <w:bottom w:w="0" w:type="dxa"/>
          <w:right w:w="0" w:type="dxa"/>
        </w:tblCellMar>
      </w:tblPr>
      <w:tblGrid>
        <w:gridCol w:w="5330"/>
        <w:gridCol w:w="60"/>
        <w:gridCol w:w="211"/>
        <w:gridCol w:w="999"/>
        <w:gridCol w:w="135"/>
        <w:gridCol w:w="101"/>
        <w:gridCol w:w="211"/>
        <w:gridCol w:w="999"/>
        <w:gridCol w:w="80"/>
      </w:tblGrid>
      <w:tr>
        <w:trPr/>
        <w:tc>
          <w:tcPr>
            <w:tcW w:w="53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12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Leases</w:t>
            </w:r>
          </w:p>
        </w:tc>
        <w:tc>
          <w:tcPr>
            <w:tcW w:w="60" w:type="dxa"/>
            <w:tcBorders/>
            <w:shd w:fill="FFFFFF" w:val="clear"/>
            <w:vAlign w:val="center"/>
          </w:tcPr>
          <w:p>
            <w:pPr>
              <w:pStyle w:val="TableContents"/>
              <w:spacing w:before="0" w:after="283"/>
              <w:ind w:left="0" w:right="0" w:hanging="0"/>
              <w:rPr/>
            </w:pPr>
            <w:r>
              <w:rPr/>
              <w:t> </w:t>
            </w:r>
          </w:p>
        </w:tc>
        <w:tc>
          <w:tcPr>
            <w:tcW w:w="21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10,423</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21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8,537</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Products and services</w:t>
            </w:r>
          </w:p>
        </w:tc>
        <w:tc>
          <w:tcPr>
            <w:tcW w:w="60"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15,983</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14,060</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26,406</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22,597</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Leases</w:t>
            </w:r>
          </w:p>
        </w:tc>
        <w:tc>
          <w:tcPr>
            <w:tcW w:w="60"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2,700</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1,770</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Products and services</w:t>
            </w:r>
          </w:p>
        </w:tc>
        <w:tc>
          <w:tcPr>
            <w:tcW w:w="60"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5,943</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5,593</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8,643</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7,363</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17,763</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15,234</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9,903</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7,854</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13,094</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12,165</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2,202</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2,051</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25,199</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22,070</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(7,436</w:t>
            </w:r>
          </w:p>
        </w:tc>
        <w:tc>
          <w:tcPr>
            <w:tcW w:w="13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spacing w:before="0" w:after="283"/>
              <w:rPr/>
            </w:pPr>
            <w:r>
              <w:rPr/>
              <w:t> </w:t>
            </w:r>
          </w:p>
        </w:tc>
        <w:tc>
          <w:tcPr>
            <w:tcW w:w="2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expenses:</w:t>
            </w:r>
          </w:p>
        </w:tc>
        <w:tc>
          <w:tcPr>
            <w:tcW w:w="60"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Foreign exchange loss</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714</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Finance expenses</w:t>
            </w:r>
          </w:p>
        </w:tc>
        <w:tc>
          <w:tcPr>
            <w:tcW w:w="60"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923</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1,885</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(8,364</w:t>
            </w:r>
          </w:p>
        </w:tc>
        <w:tc>
          <w:tcPr>
            <w:tcW w:w="13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rPr/>
            </w:pPr>
            <w:r>
              <w:rPr/>
              <w:t> </w:t>
            </w:r>
          </w:p>
        </w:tc>
        <w:tc>
          <w:tcPr>
            <w:tcW w:w="21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(8,636</w:t>
            </w:r>
          </w:p>
        </w:tc>
        <w:tc>
          <w:tcPr>
            <w:tcW w:w="13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spacing w:before="0" w:after="283"/>
              <w:rPr/>
            </w:pPr>
            <w:r>
              <w:rPr/>
              <w:t> </w:t>
            </w:r>
          </w:p>
        </w:tc>
        <w:tc>
          <w:tcPr>
            <w:tcW w:w="21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 attributable to stockholders of the Company</w:t>
            </w:r>
          </w:p>
        </w:tc>
        <w:tc>
          <w:tcPr>
            <w:tcW w:w="60" w:type="dxa"/>
            <w:tcBorders/>
            <w:shd w:fill="FFFFFF" w:val="clear"/>
            <w:vAlign w:val="center"/>
          </w:tcPr>
          <w:p>
            <w:pPr>
              <w:pStyle w:val="TableContents"/>
              <w:spacing w:before="0" w:after="283"/>
              <w:rPr/>
            </w:pPr>
            <w:r>
              <w:rPr/>
              <w:t> </w:t>
            </w:r>
          </w:p>
        </w:tc>
        <w:tc>
          <w:tcPr>
            <w:tcW w:w="21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(8,619</w:t>
            </w:r>
          </w:p>
        </w:tc>
        <w:tc>
          <w:tcPr>
            <w:tcW w:w="13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spacing w:before="0" w:after="283"/>
              <w:rPr/>
            </w:pPr>
            <w:r>
              <w:rPr/>
              <w:t> </w:t>
            </w:r>
          </w:p>
        </w:tc>
        <w:tc>
          <w:tcPr>
            <w:tcW w:w="21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(9,259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 attributable to non-controlling interest</w:t>
            </w:r>
          </w:p>
        </w:tc>
        <w:tc>
          <w:tcPr>
            <w:tcW w:w="60" w:type="dxa"/>
            <w:tcBorders/>
            <w:shd w:fill="CCEEFF" w:val="clear"/>
            <w:vAlign w:val="center"/>
          </w:tcPr>
          <w:p>
            <w:pPr>
              <w:pStyle w:val="TableContents"/>
              <w:spacing w:before="0" w:after="283"/>
              <w:rPr/>
            </w:pPr>
            <w:r>
              <w:rPr/>
              <w:t> </w:t>
            </w:r>
          </w:p>
        </w:tc>
        <w:tc>
          <w:tcPr>
            <w:tcW w:w="21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w:t>
            </w:r>
          </w:p>
        </w:tc>
        <w:tc>
          <w:tcPr>
            <w:tcW w:w="13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spacing w:before="0" w:after="283"/>
              <w:rPr/>
            </w:pPr>
            <w:r>
              <w:rPr/>
              <w:t> </w:t>
            </w:r>
          </w:p>
        </w:tc>
        <w:tc>
          <w:tcPr>
            <w:tcW w:w="21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rPr/>
            </w:pPr>
            <w:r>
              <w:rPr/>
              <w:t> </w:t>
            </w:r>
          </w:p>
        </w:tc>
        <w:tc>
          <w:tcPr>
            <w:tcW w:w="21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(0.13</w:t>
            </w:r>
          </w:p>
        </w:tc>
        <w:tc>
          <w:tcPr>
            <w:tcW w:w="13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spacing w:before="0" w:after="283"/>
              <w:rPr/>
            </w:pPr>
            <w:r>
              <w:rPr/>
              <w:t> </w:t>
            </w:r>
          </w:p>
        </w:tc>
        <w:tc>
          <w:tcPr>
            <w:tcW w:w="21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rPr/>
            </w:pPr>
            <w:r>
              <w:rPr/>
              <w:t> </w:t>
            </w:r>
          </w:p>
        </w:tc>
        <w:tc>
          <w:tcPr>
            <w:tcW w:w="21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(0.13</w:t>
            </w:r>
          </w:p>
        </w:tc>
        <w:tc>
          <w:tcPr>
            <w:tcW w:w="13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spacing w:before="0" w:after="283"/>
              <w:rPr/>
            </w:pPr>
            <w:r>
              <w:rPr/>
              <w:t> </w:t>
            </w:r>
          </w:p>
        </w:tc>
        <w:tc>
          <w:tcPr>
            <w:tcW w:w="21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Weighted-average number of shares used in per share calculation:</w:t>
            </w:r>
          </w:p>
        </w:tc>
        <w:tc>
          <w:tcPr>
            <w:tcW w:w="60"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Basic</w:t>
            </w:r>
          </w:p>
        </w:tc>
        <w:tc>
          <w:tcPr>
            <w:tcW w:w="60" w:type="dxa"/>
            <w:tcBorders/>
            <w:shd w:fill="CCEEFF" w:val="clear"/>
            <w:vAlign w:val="center"/>
          </w:tcPr>
          <w:p>
            <w:pPr>
              <w:pStyle w:val="TableContents"/>
              <w:spacing w:before="0" w:after="283"/>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99" w:type="dxa"/>
            <w:tcBorders>
              <w:bottom w:val="double" w:sz="6"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63,988</w:t>
            </w:r>
          </w:p>
        </w:tc>
        <w:tc>
          <w:tcPr>
            <w:tcW w:w="135"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99" w:type="dxa"/>
            <w:tcBorders>
              <w:bottom w:val="double" w:sz="6"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53,744</w:t>
            </w:r>
          </w:p>
        </w:tc>
        <w:tc>
          <w:tcPr>
            <w:tcW w:w="80" w:type="dxa"/>
            <w:tcBorders/>
            <w:shd w:fill="CCEEFF" w:val="clear"/>
            <w:vAlign w:val="center"/>
          </w:tcPr>
          <w:p>
            <w:pPr>
              <w:pStyle w:val="TableContents"/>
              <w:spacing w:before="0" w:after="283"/>
              <w:rPr/>
            </w:pPr>
            <w:r>
              <w:rPr/>
              <w:t> </w:t>
            </w:r>
          </w:p>
        </w:tc>
      </w:tr>
      <w:tr>
        <w:trPr/>
        <w:tc>
          <w:tcPr>
            <w:tcW w:w="53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spacing w:before="0" w:after="283"/>
              <w:rPr/>
            </w:pPr>
            <w:r>
              <w:rPr/>
              <w:t> </w:t>
            </w:r>
          </w:p>
        </w:tc>
        <w:tc>
          <w:tcPr>
            <w:tcW w:w="21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63,988</w:t>
            </w:r>
          </w:p>
        </w:tc>
        <w:tc>
          <w:tcPr>
            <w:tcW w:w="135"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1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53,744</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7" w:name="compincome"/>
      <w:bookmarkEnd w:id="7"/>
      <w:r>
        <w:rPr>
          <w:rFonts w:ascii="Times New Roman" w:hAnsi="Times New Roman"/>
          <w:b/>
          <w:caps w:val="false"/>
          <w:smallCaps w:val="false"/>
          <w:sz w:val="20"/>
        </w:rPr>
        <w:t>VENUS CONCEPT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spacing w:before="0" w:after="0"/>
        <w:ind w:left="0" w:right="0" w:hanging="0"/>
        <w:jc w:val="center"/>
        <w:rPr>
          <w:rFonts w:ascii="Times New Roman" w:hAnsi="Times New Roman"/>
          <w:b/>
          <w:i/>
          <w:caps w:val="false"/>
          <w:smallCaps w:val="false"/>
          <w:position w:val="-6"/>
          <w:sz w:val="16"/>
          <w:sz w:val="20"/>
        </w:rPr>
      </w:pPr>
      <w:r>
        <w:rPr>
          <w:rFonts w:ascii="Times New Roman" w:hAnsi="Times New Roman"/>
          <w:b/>
          <w:i/>
          <w:caps w:val="false"/>
          <w:smallCaps w:val="false"/>
          <w:position w:val="-6"/>
          <w:sz w:val="16"/>
          <w:sz w:val="20"/>
        </w:rPr>
        <w:t>(in thousands)</w:t>
      </w:r>
    </w:p>
    <w:p>
      <w:pPr>
        <w:pStyle w:val="TextBody"/>
        <w:spacing w:before="0" w:after="0"/>
        <w:ind w:left="0" w:right="0" w:hanging="0"/>
        <w:rPr>
          <w:caps w:val="false"/>
          <w:smallCaps w:val="false"/>
        </w:rPr>
      </w:pPr>
      <w:r>
        <w:rPr>
          <w:caps w:val="false"/>
          <w:smallCaps w:val="false"/>
        </w:rPr>
        <w:t> </w:t>
      </w:r>
    </w:p>
    <w:tbl>
      <w:tblPr>
        <w:tblW w:w="6821" w:type="dxa"/>
        <w:jc w:val="left"/>
        <w:tblInd w:w="0" w:type="dxa"/>
        <w:tblCellMar>
          <w:top w:w="0" w:type="dxa"/>
          <w:left w:w="0" w:type="dxa"/>
          <w:bottom w:w="0" w:type="dxa"/>
          <w:right w:w="0" w:type="dxa"/>
        </w:tblCellMar>
      </w:tblPr>
      <w:tblGrid>
        <w:gridCol w:w="4025"/>
        <w:gridCol w:w="60"/>
        <w:gridCol w:w="224"/>
        <w:gridCol w:w="979"/>
        <w:gridCol w:w="143"/>
        <w:gridCol w:w="107"/>
        <w:gridCol w:w="224"/>
        <w:gridCol w:w="979"/>
        <w:gridCol w:w="80"/>
      </w:tblGrid>
      <w:tr>
        <w:trPr/>
        <w:tc>
          <w:tcPr>
            <w:tcW w:w="40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40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0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ind w:left="0" w:right="0" w:hanging="0"/>
              <w:rPr/>
            </w:pPr>
            <w:r>
              <w:rPr/>
              <w:t> </w:t>
            </w:r>
          </w:p>
        </w:tc>
        <w:tc>
          <w:tcPr>
            <w:tcW w:w="120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22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(8,636</w:t>
            </w:r>
          </w:p>
        </w:tc>
        <w:tc>
          <w:tcPr>
            <w:tcW w:w="14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CCEEFF" w:val="clear"/>
            <w:vAlign w:val="center"/>
          </w:tcPr>
          <w:p>
            <w:pPr>
              <w:pStyle w:val="TableContents"/>
              <w:spacing w:before="0" w:after="283"/>
              <w:ind w:left="0" w:right="0" w:hanging="0"/>
              <w:rPr/>
            </w:pPr>
            <w:r>
              <w:rPr/>
              <w:t> </w:t>
            </w:r>
          </w:p>
        </w:tc>
        <w:tc>
          <w:tcPr>
            <w:tcW w:w="22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02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attributable to stockholders of the Company</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97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(8,619</w:t>
            </w:r>
          </w:p>
        </w:tc>
        <w:tc>
          <w:tcPr>
            <w:tcW w:w="14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97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(9,259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02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attributable to non-controlling interest</w:t>
            </w:r>
          </w:p>
        </w:tc>
        <w:tc>
          <w:tcPr>
            <w:tcW w:w="60"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w:t>
            </w:r>
          </w:p>
        </w:tc>
        <w:tc>
          <w:tcPr>
            <w:tcW w:w="14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02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spacing w:before="0" w:after="283"/>
              <w:ind w:left="0" w:right="0" w:hanging="0"/>
              <w:rPr/>
            </w:pPr>
            <w:r>
              <w:rPr/>
              <w:t> </w:t>
            </w:r>
          </w:p>
        </w:tc>
        <w:tc>
          <w:tcPr>
            <w:tcW w:w="22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(8,636</w:t>
            </w:r>
          </w:p>
        </w:tc>
        <w:tc>
          <w:tcPr>
            <w:tcW w:w="14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FFFFFF" w:val="clear"/>
            <w:vAlign w:val="center"/>
          </w:tcPr>
          <w:p>
            <w:pPr>
              <w:pStyle w:val="TableContents"/>
              <w:spacing w:before="0" w:after="283"/>
              <w:ind w:left="0" w:right="0" w:hanging="0"/>
              <w:rPr/>
            </w:pPr>
            <w:r>
              <w:rPr/>
              <w:t> </w:t>
            </w:r>
          </w:p>
        </w:tc>
        <w:tc>
          <w:tcPr>
            <w:tcW w:w="22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VENUS CONCEPT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for shares)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86"/>
        <w:gridCol w:w="60"/>
        <w:gridCol w:w="74"/>
        <w:gridCol w:w="923"/>
        <w:gridCol w:w="60"/>
        <w:gridCol w:w="60"/>
        <w:gridCol w:w="275"/>
        <w:gridCol w:w="652"/>
        <w:gridCol w:w="60"/>
        <w:gridCol w:w="60"/>
        <w:gridCol w:w="60"/>
        <w:gridCol w:w="830"/>
        <w:gridCol w:w="60"/>
        <w:gridCol w:w="60"/>
        <w:gridCol w:w="170"/>
        <w:gridCol w:w="405"/>
        <w:gridCol w:w="60"/>
        <w:gridCol w:w="60"/>
        <w:gridCol w:w="143"/>
        <w:gridCol w:w="791"/>
        <w:gridCol w:w="60"/>
        <w:gridCol w:w="60"/>
        <w:gridCol w:w="132"/>
        <w:gridCol w:w="803"/>
        <w:gridCol w:w="80"/>
        <w:gridCol w:w="60"/>
        <w:gridCol w:w="276"/>
        <w:gridCol w:w="527"/>
        <w:gridCol w:w="80"/>
        <w:gridCol w:w="60"/>
        <w:gridCol w:w="195"/>
        <w:gridCol w:w="923"/>
        <w:gridCol w:w="100"/>
      </w:tblGrid>
      <w:tr>
        <w:trPr/>
        <w:tc>
          <w:tcPr>
            <w:tcW w:w="198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7"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Series A Preferred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7"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Series A Preferred</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ind w:left="0" w:right="0" w:hanging="0"/>
              <w:rPr/>
            </w:pPr>
            <w:r>
              <w:rPr/>
              <w:t> </w:t>
            </w:r>
          </w:p>
        </w:tc>
        <w:tc>
          <w:tcPr>
            <w:tcW w:w="1585" w:type="dxa"/>
            <w:gridSpan w:val="6"/>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Additional Paid-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3"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Non- controlling</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8"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Total Stockholders’</w:t>
            </w:r>
          </w:p>
        </w:tc>
        <w:tc>
          <w:tcPr>
            <w:tcW w:w="100" w:type="dxa"/>
            <w:tcBorders/>
            <w:shd w:fill="FFFFFF" w:val="clear"/>
            <w:vAlign w:val="center"/>
          </w:tcPr>
          <w:p>
            <w:pPr>
              <w:pStyle w:val="TableContents"/>
              <w:spacing w:before="0" w:after="283"/>
              <w:rPr/>
            </w:pPr>
            <w:r>
              <w:rPr/>
              <w:t> </w:t>
            </w:r>
          </w:p>
        </w:tc>
      </w:tr>
      <w:tr>
        <w:trPr/>
        <w:tc>
          <w:tcPr>
            <w:tcW w:w="198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ind w:left="0" w:right="0" w:hanging="0"/>
              <w:rPr/>
            </w:pPr>
            <w:r>
              <w:rPr/>
              <w:t> </w:t>
            </w:r>
          </w:p>
        </w:tc>
        <w:tc>
          <w:tcPr>
            <w:tcW w:w="8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in-Capital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Equity</w:t>
            </w:r>
          </w:p>
        </w:tc>
        <w:tc>
          <w:tcPr>
            <w:tcW w:w="100" w:type="dxa"/>
            <w:tcBorders/>
            <w:shd w:fill="FFFFFF" w:val="clear"/>
            <w:vAlign w:val="center"/>
          </w:tcPr>
          <w:p>
            <w:pPr>
              <w:pStyle w:val="TableContents"/>
              <w:spacing w:before="0" w:after="283"/>
              <w:rPr/>
            </w:pPr>
            <w:r>
              <w:rPr/>
              <w:t> </w:t>
            </w:r>
          </w:p>
        </w:tc>
      </w:tr>
      <w:tr>
        <w:trPr/>
        <w:tc>
          <w:tcPr>
            <w:tcW w:w="1986" w:type="dxa"/>
            <w:tcBorders/>
            <w:shd w:fill="CCEEFF" w:val="clear"/>
            <w:vAlign w:val="center"/>
          </w:tcPr>
          <w:p>
            <w:pPr>
              <w:pStyle w:val="TableContents"/>
              <w:spacing w:before="0" w:after="0"/>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January 1, 2022</w:t>
            </w:r>
          </w:p>
        </w:tc>
        <w:tc>
          <w:tcPr>
            <w:tcW w:w="6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ind w:left="0" w:right="0" w:hanging="0"/>
              <w:rPr/>
            </w:pPr>
            <w:r>
              <w:rPr/>
              <w:t> </w:t>
            </w:r>
          </w:p>
        </w:tc>
        <w:tc>
          <w:tcPr>
            <w:tcW w:w="923"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3,790,755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left w:val="single" w:sz="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30"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63,982,580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3"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221,321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2"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(180,405</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ind w:left="0" w:right="0" w:hanging="0"/>
              <w:rPr/>
            </w:pPr>
            <w:r>
              <w:rPr/>
              <w:t> </w:t>
            </w:r>
          </w:p>
        </w:tc>
        <w:tc>
          <w:tcPr>
            <w:tcW w:w="276"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527"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5"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41,596</w:t>
            </w:r>
          </w:p>
        </w:tc>
        <w:tc>
          <w:tcPr>
            <w:tcW w:w="100" w:type="dxa"/>
            <w:tcBorders/>
            <w:shd w:fill="CCEEFF" w:val="clear"/>
            <w:vAlign w:val="center"/>
          </w:tcPr>
          <w:p>
            <w:pPr>
              <w:pStyle w:val="TableContents"/>
              <w:spacing w:before="0" w:after="283"/>
              <w:rPr/>
            </w:pPr>
            <w:r>
              <w:rPr/>
              <w:t> </w:t>
            </w:r>
          </w:p>
        </w:tc>
      </w:tr>
      <w:tr>
        <w:trPr/>
        <w:tc>
          <w:tcPr>
            <w:tcW w:w="1986" w:type="dxa"/>
            <w:tcBorders/>
            <w:shd w:fill="FFFFFF" w:val="clear"/>
            <w:vAlign w:val="center"/>
          </w:tcPr>
          <w:p>
            <w:pPr>
              <w:pStyle w:val="TableContents"/>
              <w:spacing w:before="0" w:after="0"/>
              <w:ind w:left="0" w:right="0" w:firstLine="180"/>
              <w:rPr>
                <w:rFonts w:ascii="Times New Roman;Times;serif" w:hAnsi="Times New Roman;Times;serif"/>
                <w:sz w:val="16"/>
              </w:rPr>
            </w:pPr>
            <w:r>
              <w:rPr>
                <w:rFonts w:ascii="Times New Roman;Times;serif" w:hAnsi="Times New Roman;Times;serif"/>
                <w:sz w:val="16"/>
              </w:rPr>
              <w:t>Options exercised</w:t>
            </w:r>
          </w:p>
        </w:tc>
        <w:tc>
          <w:tcPr>
            <w:tcW w:w="60"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92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rPr/>
            </w:pPr>
            <w:r>
              <w:rPr/>
              <w:t> </w:t>
            </w:r>
          </w:p>
        </w:tc>
        <w:tc>
          <w:tcPr>
            <w:tcW w:w="65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ind w:left="0" w:right="0" w:hanging="0"/>
              <w:rPr/>
            </w:pPr>
            <w:r>
              <w:rPr/>
              <w:t> </w:t>
            </w:r>
          </w:p>
        </w:tc>
        <w:tc>
          <w:tcPr>
            <w:tcW w:w="60" w:type="dxa"/>
            <w:tcBorders>
              <w:left w:val="single" w:sz="2" w:space="0" w:color="000000"/>
            </w:tcBorders>
            <w:shd w:fill="FFFFFF" w:val="clear"/>
            <w:tcMar>
              <w:left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830" w:type="dxa"/>
            <w:tcBorders/>
            <w:shd w:fill="FFFF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16,464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405"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rPr/>
            </w:pPr>
            <w:r>
              <w:rPr/>
              <w:t> </w:t>
            </w:r>
          </w:p>
        </w:tc>
        <w:tc>
          <w:tcPr>
            <w:tcW w:w="791" w:type="dxa"/>
            <w:tcBorders/>
            <w:shd w:fill="FFFF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803"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rPr/>
            </w:pPr>
            <w:r>
              <w:rPr/>
              <w:t> </w:t>
            </w:r>
          </w:p>
        </w:tc>
        <w:tc>
          <w:tcPr>
            <w:tcW w:w="527"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923" w:type="dxa"/>
            <w:tcBorders/>
            <w:shd w:fill="FFFF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23</w:t>
            </w:r>
          </w:p>
        </w:tc>
        <w:tc>
          <w:tcPr>
            <w:tcW w:w="100" w:type="dxa"/>
            <w:tcBorders/>
            <w:shd w:fill="FFFFFF" w:val="clear"/>
            <w:vAlign w:val="center"/>
          </w:tcPr>
          <w:p>
            <w:pPr>
              <w:pStyle w:val="TableContents"/>
              <w:spacing w:before="0" w:after="283"/>
              <w:rPr/>
            </w:pPr>
            <w:r>
              <w:rPr/>
              <w:t> </w:t>
            </w:r>
          </w:p>
        </w:tc>
      </w:tr>
      <w:tr>
        <w:trPr/>
        <w:tc>
          <w:tcPr>
            <w:tcW w:w="1986" w:type="dxa"/>
            <w:tcBorders/>
            <w:shd w:fill="CCEEFF" w:val="clear"/>
            <w:vAlign w:val="center"/>
          </w:tcPr>
          <w:p>
            <w:pPr>
              <w:pStyle w:val="TableContents"/>
              <w:spacing w:before="0" w:after="0"/>
              <w:ind w:left="0" w:right="0" w:firstLine="180"/>
              <w:rPr>
                <w:rFonts w:ascii="Times New Roman;Times;serif" w:hAnsi="Times New Roman;Times;serif"/>
                <w:sz w:val="16"/>
              </w:rPr>
            </w:pPr>
            <w:r>
              <w:rPr>
                <w:rFonts w:ascii="Times New Roman;Times;serif" w:hAnsi="Times New Roman;Times;serif"/>
                <w:sz w:val="16"/>
              </w:rPr>
              <w:t>Net loss — the Company</w:t>
            </w:r>
          </w:p>
        </w:tc>
        <w:tc>
          <w:tcPr>
            <w:tcW w:w="6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923" w:type="dxa"/>
            <w:tcBorders/>
            <w:shd w:fill="CCEEFF" w:val="clear"/>
            <w:vAlign w:val="center"/>
          </w:tcPr>
          <w:p>
            <w:pPr>
              <w:pStyle w:val="TableContents"/>
              <w:spacing w:before="0" w:after="283"/>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ind w:left="0" w:right="0" w:hanging="0"/>
              <w:rPr/>
            </w:pPr>
            <w:r>
              <w:rPr/>
              <w:t> </w:t>
            </w:r>
          </w:p>
        </w:tc>
        <w:tc>
          <w:tcPr>
            <w:tcW w:w="60" w:type="dxa"/>
            <w:tcBorders>
              <w:left w:val="single" w:sz="2" w:space="0" w:color="000000"/>
            </w:tcBorders>
            <w:shd w:fill="CCEEFF" w:val="clear"/>
            <w:tcMar>
              <w:left w:w="28" w:type="dxa"/>
            </w:tcMar>
            <w:vAlign w:val="center"/>
          </w:tcPr>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830" w:type="dxa"/>
            <w:tcBorders/>
            <w:shd w:fill="CCEEFF" w:val="clear"/>
            <w:vAlign w:val="center"/>
          </w:tcPr>
          <w:p>
            <w:pPr>
              <w:pStyle w:val="TableContents"/>
              <w:spacing w:before="0" w:after="283"/>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405"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(8,619</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527"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923"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(8,619</w:t>
            </w:r>
          </w:p>
        </w:tc>
        <w:tc>
          <w:tcPr>
            <w:tcW w:w="10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1986" w:type="dxa"/>
            <w:tcBorders/>
            <w:shd w:fill="FFFFFF" w:val="clear"/>
            <w:vAlign w:val="center"/>
          </w:tcPr>
          <w:p>
            <w:pPr>
              <w:pStyle w:val="TableContents"/>
              <w:spacing w:before="0" w:after="0"/>
              <w:ind w:left="0" w:right="0" w:firstLine="180"/>
              <w:rPr>
                <w:rFonts w:ascii="Times New Roman;Times;serif" w:hAnsi="Times New Roman;Times;serif"/>
                <w:sz w:val="16"/>
              </w:rPr>
            </w:pPr>
            <w:r>
              <w:rPr>
                <w:rFonts w:ascii="Times New Roman;Times;serif" w:hAnsi="Times New Roman;Times;serif"/>
                <w:sz w:val="16"/>
              </w:rPr>
              <w:t>Net loss — non-controlling interest</w:t>
            </w:r>
          </w:p>
        </w:tc>
        <w:tc>
          <w:tcPr>
            <w:tcW w:w="60"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923" w:type="dxa"/>
            <w:tcBorders/>
            <w:shd w:fill="FFFFFF" w:val="clear"/>
            <w:vAlign w:val="center"/>
          </w:tcPr>
          <w:p>
            <w:pPr>
              <w:pStyle w:val="TableContents"/>
              <w:spacing w:before="0" w:after="283"/>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rPr/>
            </w:pPr>
            <w:r>
              <w:rPr/>
              <w:t> </w:t>
            </w:r>
          </w:p>
        </w:tc>
        <w:tc>
          <w:tcPr>
            <w:tcW w:w="65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ind w:left="0" w:right="0" w:hanging="0"/>
              <w:rPr/>
            </w:pPr>
            <w:r>
              <w:rPr/>
              <w:t> </w:t>
            </w:r>
          </w:p>
        </w:tc>
        <w:tc>
          <w:tcPr>
            <w:tcW w:w="60" w:type="dxa"/>
            <w:tcBorders>
              <w:left w:val="single" w:sz="2" w:space="0" w:color="000000"/>
            </w:tcBorders>
            <w:shd w:fill="FFFFFF" w:val="clear"/>
            <w:tcMar>
              <w:left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830" w:type="dxa"/>
            <w:tcBorders/>
            <w:shd w:fill="FFFFFF" w:val="clear"/>
            <w:vAlign w:val="center"/>
          </w:tcPr>
          <w:p>
            <w:pPr>
              <w:pStyle w:val="TableContents"/>
              <w:spacing w:before="0" w:after="283"/>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405"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rPr/>
            </w:pPr>
            <w:r>
              <w:rPr/>
              <w:t> </w:t>
            </w:r>
          </w:p>
        </w:tc>
        <w:tc>
          <w:tcPr>
            <w:tcW w:w="79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803"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rPr/>
            </w:pPr>
            <w:r>
              <w:rPr/>
              <w:t> </w:t>
            </w:r>
          </w:p>
        </w:tc>
        <w:tc>
          <w:tcPr>
            <w:tcW w:w="527" w:type="dxa"/>
            <w:tcBorders/>
            <w:shd w:fill="FFFF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(17</w:t>
            </w:r>
          </w:p>
        </w:tc>
        <w:tc>
          <w:tcPr>
            <w:tcW w:w="8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923" w:type="dxa"/>
            <w:tcBorders/>
            <w:shd w:fill="FFFF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(17</w:t>
            </w:r>
          </w:p>
        </w:tc>
        <w:tc>
          <w:tcPr>
            <w:tcW w:w="10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1986" w:type="dxa"/>
            <w:tcBorders/>
            <w:shd w:fill="CCEEFF" w:val="clear"/>
            <w:vAlign w:val="center"/>
          </w:tcPr>
          <w:p>
            <w:pPr>
              <w:pStyle w:val="TableContents"/>
              <w:spacing w:before="0" w:after="0"/>
              <w:ind w:left="0" w:right="0" w:firstLine="180"/>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spacing w:before="0" w:after="283"/>
              <w:ind w:left="0" w:right="0" w:hanging="0"/>
              <w:rPr/>
            </w:pPr>
            <w:r>
              <w:rPr/>
              <w:t> </w:t>
            </w:r>
          </w:p>
        </w:tc>
        <w:tc>
          <w:tcPr>
            <w:tcW w:w="7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3" w:type="dxa"/>
            <w:tcBorders>
              <w:bottom w:val="single" w:sz="2" w:space="0" w:color="000000"/>
            </w:tcBorders>
            <w:shd w:fill="CCEEFF" w:val="clear"/>
            <w:tcMar>
              <w:bottom w:w="28" w:type="dxa"/>
            </w:tcMar>
            <w:vAlign w:val="center"/>
          </w:tcPr>
          <w:p>
            <w:pPr>
              <w:pStyle w:val="TableContents"/>
              <w:spacing w:before="0" w:after="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2"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ind w:left="0" w:right="0" w:hanging="0"/>
              <w:rPr/>
            </w:pPr>
            <w:r>
              <w:rPr/>
              <w:t> </w:t>
            </w:r>
          </w:p>
        </w:tc>
        <w:tc>
          <w:tcPr>
            <w:tcW w:w="60" w:type="dxa"/>
            <w:tcBorders>
              <w:left w:val="single" w:sz="2" w:space="0" w:color="000000"/>
            </w:tcBorders>
            <w:shd w:fill="CCEEFF" w:val="clear"/>
            <w:tcMar>
              <w:left w:w="28" w:type="dxa"/>
            </w:tcMar>
            <w:vAlign w:val="center"/>
          </w:tcPr>
          <w:p>
            <w:pPr>
              <w:pStyle w:val="TableContents"/>
              <w:spacing w:before="0" w:after="0"/>
              <w:ind w:left="0" w:right="0" w:hanging="0"/>
              <w:rPr/>
            </w:pPr>
            <w:r>
              <w:rPr/>
              <w:t> </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05"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16"/>
              </w:rPr>
            </w:pPr>
            <w:r>
              <w:rPr>
                <w:rFonts w:ascii="Times New Roman;Times;serif" w:hAnsi="Times New Roman;Times;serif"/>
                <w:sz w:val="16"/>
              </w:rPr>
              <w:t>443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3"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27"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3"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16"/>
              </w:rPr>
            </w:pPr>
            <w:r>
              <w:rPr>
                <w:rFonts w:ascii="Times New Roman;Times;serif" w:hAnsi="Times New Roman;Times;serif"/>
                <w:sz w:val="16"/>
              </w:rPr>
              <w:t>443</w:t>
            </w:r>
          </w:p>
        </w:tc>
        <w:tc>
          <w:tcPr>
            <w:tcW w:w="100" w:type="dxa"/>
            <w:tcBorders/>
            <w:shd w:fill="CCEEFF" w:val="clear"/>
            <w:vAlign w:val="center"/>
          </w:tcPr>
          <w:p>
            <w:pPr>
              <w:pStyle w:val="TableContents"/>
              <w:spacing w:before="0" w:after="283"/>
              <w:rPr/>
            </w:pPr>
            <w:r>
              <w:rPr/>
              <w:t> </w:t>
            </w:r>
          </w:p>
        </w:tc>
      </w:tr>
      <w:tr>
        <w:trPr/>
        <w:tc>
          <w:tcPr>
            <w:tcW w:w="1986" w:type="dxa"/>
            <w:tcBorders/>
            <w:shd w:fill="FFFFFF" w:val="clear"/>
            <w:vAlign w:val="center"/>
          </w:tcPr>
          <w:p>
            <w:pPr>
              <w:pStyle w:val="TableContents"/>
              <w:spacing w:before="0" w:after="0"/>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March 31, 2022</w:t>
            </w:r>
          </w:p>
        </w:tc>
        <w:tc>
          <w:tcPr>
            <w:tcW w:w="60" w:type="dxa"/>
            <w:tcBorders/>
            <w:shd w:fill="FFFFFF" w:val="clear"/>
            <w:vAlign w:val="center"/>
          </w:tcPr>
          <w:p>
            <w:pPr>
              <w:pStyle w:val="TableContents"/>
              <w:spacing w:before="0" w:after="283"/>
              <w:rPr/>
            </w:pPr>
            <w:r>
              <w:rPr/>
              <w:t> </w:t>
            </w:r>
          </w:p>
        </w:tc>
        <w:tc>
          <w:tcPr>
            <w:tcW w:w="7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3,790,755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3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63,999,044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0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9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221,787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0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(189,024</w:t>
            </w:r>
          </w:p>
        </w:tc>
        <w:tc>
          <w:tcPr>
            <w:tcW w:w="8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rPr/>
            </w:pPr>
            <w:r>
              <w:rPr/>
              <w:t> </w:t>
            </w:r>
          </w:p>
        </w:tc>
        <w:tc>
          <w:tcPr>
            <w:tcW w:w="276"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2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33,426</w:t>
            </w:r>
          </w:p>
        </w:tc>
        <w:tc>
          <w:tcPr>
            <w:tcW w:w="10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56"/>
        <w:gridCol w:w="60"/>
        <w:gridCol w:w="169"/>
        <w:gridCol w:w="737"/>
        <w:gridCol w:w="60"/>
        <w:gridCol w:w="60"/>
        <w:gridCol w:w="269"/>
        <w:gridCol w:w="637"/>
        <w:gridCol w:w="60"/>
        <w:gridCol w:w="60"/>
        <w:gridCol w:w="60"/>
        <w:gridCol w:w="830"/>
        <w:gridCol w:w="60"/>
        <w:gridCol w:w="60"/>
        <w:gridCol w:w="170"/>
        <w:gridCol w:w="405"/>
        <w:gridCol w:w="60"/>
        <w:gridCol w:w="60"/>
        <w:gridCol w:w="140"/>
        <w:gridCol w:w="778"/>
        <w:gridCol w:w="60"/>
        <w:gridCol w:w="60"/>
        <w:gridCol w:w="132"/>
        <w:gridCol w:w="803"/>
        <w:gridCol w:w="80"/>
        <w:gridCol w:w="60"/>
        <w:gridCol w:w="219"/>
        <w:gridCol w:w="559"/>
        <w:gridCol w:w="80"/>
        <w:gridCol w:w="60"/>
        <w:gridCol w:w="192"/>
        <w:gridCol w:w="908"/>
        <w:gridCol w:w="101"/>
      </w:tblGrid>
      <w:tr>
        <w:trPr/>
        <w:tc>
          <w:tcPr>
            <w:tcW w:w="215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6"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Series A Preferred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6"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Series A Preferred</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ind w:left="0" w:right="0" w:hanging="0"/>
              <w:rPr/>
            </w:pPr>
            <w:r>
              <w:rPr/>
              <w:t> </w:t>
            </w:r>
          </w:p>
        </w:tc>
        <w:tc>
          <w:tcPr>
            <w:tcW w:w="1585" w:type="dxa"/>
            <w:gridSpan w:val="6"/>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18"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Additional Paid-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8"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Non- controlling</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0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Total Stockholders’</w:t>
            </w:r>
          </w:p>
        </w:tc>
        <w:tc>
          <w:tcPr>
            <w:tcW w:w="101" w:type="dxa"/>
            <w:tcBorders/>
            <w:shd w:fill="FFFFFF" w:val="clear"/>
            <w:vAlign w:val="center"/>
          </w:tcPr>
          <w:p>
            <w:pPr>
              <w:pStyle w:val="TableContents"/>
              <w:spacing w:before="0" w:after="283"/>
              <w:rPr/>
            </w:pPr>
            <w:r>
              <w:rPr/>
              <w:t> </w:t>
            </w:r>
          </w:p>
        </w:tc>
      </w:tr>
      <w:tr>
        <w:trPr/>
        <w:tc>
          <w:tcPr>
            <w:tcW w:w="215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ind w:left="0" w:right="0" w:hanging="0"/>
              <w:rPr/>
            </w:pPr>
            <w:r>
              <w:rPr/>
              <w:t> </w:t>
            </w:r>
          </w:p>
        </w:tc>
        <w:tc>
          <w:tcPr>
            <w:tcW w:w="8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1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in-Capital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6"/>
              </w:rPr>
              <w:t>Equity</w:t>
            </w:r>
          </w:p>
        </w:tc>
        <w:tc>
          <w:tcPr>
            <w:tcW w:w="101" w:type="dxa"/>
            <w:tcBorders/>
            <w:shd w:fill="FFFFFF" w:val="clear"/>
            <w:vAlign w:val="center"/>
          </w:tcPr>
          <w:p>
            <w:pPr>
              <w:pStyle w:val="TableContents"/>
              <w:spacing w:before="0" w:after="283"/>
              <w:rPr/>
            </w:pPr>
            <w:r>
              <w:rPr/>
              <w:t> </w:t>
            </w:r>
          </w:p>
        </w:tc>
      </w:tr>
      <w:tr>
        <w:trPr/>
        <w:tc>
          <w:tcPr>
            <w:tcW w:w="2156" w:type="dxa"/>
            <w:tcBorders/>
            <w:shd w:fill="CCEEFF" w:val="clear"/>
            <w:vAlign w:val="center"/>
          </w:tcPr>
          <w:p>
            <w:pPr>
              <w:pStyle w:val="TableContents"/>
              <w:spacing w:before="0" w:after="0"/>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January 1, 2021</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37"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left w:val="single" w:sz="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30"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53,551,126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0"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778"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201,598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2"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803"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(157,392</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ind w:left="0" w:right="0" w:hanging="0"/>
              <w:rPr/>
            </w:pPr>
            <w:r>
              <w:rPr/>
              <w:t> </w:t>
            </w:r>
          </w:p>
        </w:tc>
        <w:tc>
          <w:tcPr>
            <w:tcW w:w="219"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559"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(471</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ind w:left="0" w:right="0" w:hanging="0"/>
              <w:rPr/>
            </w:pPr>
            <w:r>
              <w:rPr/>
              <w:t> </w:t>
            </w:r>
          </w:p>
        </w:tc>
        <w:tc>
          <w:tcPr>
            <w:tcW w:w="192" w:type="dxa"/>
            <w:tcBorders/>
            <w:shd w:fill="CCEEFF" w:val="cle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908"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43,761</w:t>
            </w:r>
          </w:p>
        </w:tc>
        <w:tc>
          <w:tcPr>
            <w:tcW w:w="101" w:type="dxa"/>
            <w:tcBorders/>
            <w:shd w:fill="CCEEFF" w:val="clear"/>
            <w:vAlign w:val="center"/>
          </w:tcPr>
          <w:p>
            <w:pPr>
              <w:pStyle w:val="TableContents"/>
              <w:spacing w:before="0" w:after="283"/>
              <w:rPr/>
            </w:pPr>
            <w:r>
              <w:rPr/>
              <w:t> </w:t>
            </w:r>
          </w:p>
        </w:tc>
      </w:tr>
      <w:tr>
        <w:trPr/>
        <w:tc>
          <w:tcPr>
            <w:tcW w:w="2156"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December 2020 Public Offering warrants exercise</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9" w:type="dxa"/>
            <w:tcBorders/>
            <w:shd w:fill="FFFFFF" w:val="clear"/>
            <w:vAlign w:val="center"/>
          </w:tcPr>
          <w:p>
            <w:pPr>
              <w:pStyle w:val="TableContents"/>
              <w:spacing w:before="0" w:after="283"/>
              <w:ind w:left="0" w:right="0" w:hanging="0"/>
              <w:rPr/>
            </w:pPr>
            <w:r>
              <w:rPr/>
              <w:t> </w:t>
            </w:r>
          </w:p>
        </w:tc>
        <w:tc>
          <w:tcPr>
            <w:tcW w:w="637"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361,200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405"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778"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903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3"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ind w:left="0" w:right="0" w:hanging="0"/>
              <w:rPr/>
            </w:pPr>
            <w:r>
              <w:rPr/>
              <w:t> </w:t>
            </w:r>
          </w:p>
        </w:tc>
        <w:tc>
          <w:tcPr>
            <w:tcW w:w="55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908"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903</w:t>
            </w:r>
          </w:p>
        </w:tc>
        <w:tc>
          <w:tcPr>
            <w:tcW w:w="101" w:type="dxa"/>
            <w:tcBorders/>
            <w:shd w:fill="FFFFFF" w:val="clear"/>
            <w:vAlign w:val="center"/>
          </w:tcPr>
          <w:p>
            <w:pPr>
              <w:pStyle w:val="TableContents"/>
              <w:spacing w:before="0" w:after="283"/>
              <w:rPr/>
            </w:pPr>
            <w:r>
              <w:rPr/>
              <w:t> </w:t>
            </w:r>
          </w:p>
        </w:tc>
      </w:tr>
      <w:tr>
        <w:trPr/>
        <w:tc>
          <w:tcPr>
            <w:tcW w:w="2156"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the Company</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ind w:left="0" w:right="0" w:hanging="0"/>
              <w:rPr/>
            </w:pPr>
            <w:r>
              <w:rPr/>
              <w:t> </w:t>
            </w:r>
          </w:p>
        </w:tc>
        <w:tc>
          <w:tcPr>
            <w:tcW w:w="637"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left w:val="single" w:sz="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30"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40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778"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3"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(9,259</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ind w:left="0" w:right="0" w:hanging="0"/>
              <w:rPr/>
            </w:pPr>
            <w:r>
              <w:rPr/>
              <w:t> </w:t>
            </w:r>
          </w:p>
        </w:tc>
        <w:tc>
          <w:tcPr>
            <w:tcW w:w="559"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908"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(9,259</w:t>
            </w:r>
          </w:p>
        </w:tc>
        <w:tc>
          <w:tcPr>
            <w:tcW w:w="101"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2156"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 non-controlling interest</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9" w:type="dxa"/>
            <w:tcBorders/>
            <w:shd w:fill="FFFFFF" w:val="clear"/>
            <w:vAlign w:val="center"/>
          </w:tcPr>
          <w:p>
            <w:pPr>
              <w:pStyle w:val="TableContents"/>
              <w:spacing w:before="0" w:after="283"/>
              <w:ind w:left="0" w:right="0" w:hanging="0"/>
              <w:rPr/>
            </w:pPr>
            <w:r>
              <w:rPr/>
              <w:t> </w:t>
            </w:r>
          </w:p>
        </w:tc>
        <w:tc>
          <w:tcPr>
            <w:tcW w:w="637"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405"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77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3"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ind w:left="0" w:right="0" w:hanging="0"/>
              <w:rPr/>
            </w:pPr>
            <w:r>
              <w:rPr/>
              <w:t> </w:t>
            </w:r>
          </w:p>
        </w:tc>
        <w:tc>
          <w:tcPr>
            <w:tcW w:w="559"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(176</w:t>
            </w:r>
          </w:p>
        </w:tc>
        <w:tc>
          <w:tcPr>
            <w:tcW w:w="80"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908" w:type="dxa"/>
            <w:tcBorders/>
            <w:shd w:fill="FFFF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(176</w:t>
            </w:r>
          </w:p>
        </w:tc>
        <w:tc>
          <w:tcPr>
            <w:tcW w:w="101" w:type="dxa"/>
            <w:tcBorders/>
            <w:shd w:fill="FFFF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r>
      <w:tr>
        <w:trPr/>
        <w:tc>
          <w:tcPr>
            <w:tcW w:w="2156" w:type="dxa"/>
            <w:tcBorders/>
            <w:shd w:fill="CCEE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Options exercised</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ind w:left="0" w:right="0" w:hanging="0"/>
              <w:rPr/>
            </w:pPr>
            <w:r>
              <w:rPr/>
              <w:t> </w:t>
            </w:r>
          </w:p>
        </w:tc>
        <w:tc>
          <w:tcPr>
            <w:tcW w:w="637"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left w:val="single" w:sz="2"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30"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157,304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40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ind w:left="0" w:right="0" w:hanging="0"/>
              <w:rPr/>
            </w:pPr>
            <w:r>
              <w:rPr/>
              <w:t> </w:t>
            </w:r>
          </w:p>
        </w:tc>
        <w:tc>
          <w:tcPr>
            <w:tcW w:w="778"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3"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ind w:left="0" w:right="0" w:hanging="0"/>
              <w:rPr/>
            </w:pPr>
            <w:r>
              <w:rPr/>
              <w:t> </w:t>
            </w:r>
          </w:p>
        </w:tc>
        <w:tc>
          <w:tcPr>
            <w:tcW w:w="559"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908" w:type="dxa"/>
            <w:tcBorders/>
            <w:shd w:fill="CCEEFF" w:val="cle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101" w:type="dxa"/>
            <w:tcBorders/>
            <w:shd w:fill="CCEEFF" w:val="clear"/>
            <w:vAlign w:val="center"/>
          </w:tcPr>
          <w:p>
            <w:pPr>
              <w:pStyle w:val="TableContents"/>
              <w:spacing w:before="0" w:after="283"/>
              <w:rPr/>
            </w:pPr>
            <w:r>
              <w:rPr/>
              <w:t> </w:t>
            </w:r>
          </w:p>
        </w:tc>
      </w:tr>
      <w:tr>
        <w:trPr/>
        <w:tc>
          <w:tcPr>
            <w:tcW w:w="2156" w:type="dxa"/>
            <w:tcBorders/>
            <w:shd w:fill="FFFFFF" w:val="clear"/>
            <w:vAlign w:val="center"/>
          </w:tcPr>
          <w:p>
            <w:pPr>
              <w:pStyle w:val="TableContents"/>
              <w:spacing w:before="0" w:after="0"/>
              <w:ind w:left="360" w:right="0" w:hanging="0"/>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spacing w:before="0" w:after="283"/>
              <w:rPr/>
            </w:pPr>
            <w:r>
              <w:rPr/>
              <w:t> </w:t>
            </w:r>
          </w:p>
        </w:tc>
        <w:tc>
          <w:tcPr>
            <w:tcW w:w="16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7"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left w:val="single" w:sz="2" w:space="0" w:color="000000"/>
            </w:tcBorders>
            <w:shd w:fill="FFFFFF" w:val="clear"/>
            <w:tcMar>
              <w:left w:w="28" w:type="dxa"/>
            </w:tcM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0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7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03"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101" w:type="dxa"/>
            <w:tcBorders/>
            <w:shd w:fill="FFFFFF" w:val="clear"/>
            <w:vAlign w:val="center"/>
          </w:tcPr>
          <w:p>
            <w:pPr>
              <w:pStyle w:val="TableContents"/>
              <w:spacing w:before="0" w:after="283"/>
              <w:rPr/>
            </w:pPr>
            <w:r>
              <w:rPr/>
              <w:t> </w:t>
            </w:r>
          </w:p>
        </w:tc>
      </w:tr>
      <w:tr>
        <w:trPr/>
        <w:tc>
          <w:tcPr>
            <w:tcW w:w="2156" w:type="dxa"/>
            <w:tcBorders/>
            <w:shd w:fill="CCEEFF" w:val="clear"/>
            <w:vAlign w:val="center"/>
          </w:tcPr>
          <w:p>
            <w:pPr>
              <w:pStyle w:val="TableContents"/>
              <w:spacing w:before="0" w:after="0"/>
              <w:rPr>
                <w:rFonts w:ascii="Times New Roman;Times;serif" w:hAnsi="Times New Roman;Times;serif"/>
                <w:caps w:val="false"/>
                <w:smallCaps w:val="false"/>
                <w:sz w:val="16"/>
              </w:rPr>
            </w:pPr>
            <w:r>
              <w:rPr>
                <w:rFonts w:ascii="Times New Roman;Times;serif" w:hAnsi="Times New Roman;Times;serif"/>
                <w:caps w:val="false"/>
                <w:smallCaps w:val="false"/>
                <w:sz w:val="16"/>
              </w:rPr>
              <w:t>Balance — March 31, 2021</w:t>
            </w:r>
          </w:p>
        </w:tc>
        <w:tc>
          <w:tcPr>
            <w:tcW w:w="60" w:type="dxa"/>
            <w:tcBorders/>
            <w:shd w:fill="CCEEFF" w:val="clear"/>
            <w:vAlign w:val="center"/>
          </w:tcPr>
          <w:p>
            <w:pPr>
              <w:pStyle w:val="TableContents"/>
              <w:spacing w:before="0" w:after="283"/>
              <w:rPr/>
            </w:pPr>
            <w:r>
              <w:rPr/>
              <w:t> </w:t>
            </w:r>
          </w:p>
        </w:tc>
        <w:tc>
          <w:tcPr>
            <w:tcW w:w="169"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637"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left w:val="single" w:sz="2" w:space="0" w:color="000000"/>
            </w:tcBorders>
            <w:shd w:fill="CCEEFF" w:val="clear"/>
            <w:tcMar>
              <w:left w:w="28" w:type="dxa"/>
            </w:tcM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3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54,069,630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77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203,221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80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(166,651</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ind w:left="0" w:right="0" w:hanging="0"/>
              <w:rPr/>
            </w:pPr>
            <w:r>
              <w:rPr/>
              <w:t> </w:t>
            </w:r>
          </w:p>
        </w:tc>
        <w:tc>
          <w:tcPr>
            <w:tcW w:w="21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55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(647</w:t>
            </w:r>
          </w:p>
        </w:tc>
        <w:tc>
          <w:tcPr>
            <w:tcW w:w="80"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ind w:left="0" w:right="0" w:hanging="0"/>
              <w:rPr/>
            </w:pPr>
            <w:r>
              <w:rPr/>
              <w:t> </w:t>
            </w:r>
          </w:p>
        </w:tc>
        <w:tc>
          <w:tcPr>
            <w:tcW w:w="19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6"/>
              </w:rPr>
            </w:pPr>
            <w:r>
              <w:rPr>
                <w:rFonts w:ascii="Times New Roman;Times;serif" w:hAnsi="Times New Roman;Times;serif"/>
                <w:sz w:val="16"/>
              </w:rPr>
              <w:t>$</w:t>
            </w:r>
          </w:p>
        </w:tc>
        <w:tc>
          <w:tcPr>
            <w:tcW w:w="9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6"/>
              </w:rPr>
            </w:pPr>
            <w:r>
              <w:rPr>
                <w:rFonts w:ascii="Times New Roman;Times;serif" w:hAnsi="Times New Roman;Times;serif"/>
                <w:sz w:val="16"/>
              </w:rPr>
              <w:t>35,949</w:t>
            </w:r>
          </w:p>
        </w:tc>
        <w:tc>
          <w:tcPr>
            <w:tcW w:w="101"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9" w:name="cf"/>
      <w:bookmarkEnd w:id="9"/>
      <w:r>
        <w:rPr>
          <w:rFonts w:ascii="Times New Roman" w:hAnsi="Times New Roman"/>
          <w:b/>
          <w:caps w:val="false"/>
          <w:smallCaps w:val="false"/>
          <w:sz w:val="20"/>
        </w:rPr>
        <w:t>VENUS CONCEPT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spacing w:before="0" w:after="0"/>
        <w:ind w:left="0" w:right="0" w:hanging="0"/>
        <w:jc w:val="center"/>
        <w:rPr>
          <w:rFonts w:ascii="Times New Roman" w:hAnsi="Times New Roman"/>
          <w:b/>
          <w:i/>
          <w:caps w:val="false"/>
          <w:smallCaps w:val="false"/>
          <w:position w:val="-6"/>
          <w:sz w:val="16"/>
          <w:sz w:val="20"/>
        </w:rPr>
      </w:pPr>
      <w:r>
        <w:rPr>
          <w:rFonts w:ascii="Times New Roman" w:hAnsi="Times New Roman"/>
          <w:b/>
          <w:i/>
          <w:caps w:val="false"/>
          <w:smallCaps w:val="false"/>
          <w:position w:val="-6"/>
          <w:sz w:val="16"/>
          <w:sz w:val="20"/>
        </w:rPr>
        <w:t>(in thousands)</w:t>
      </w:r>
    </w:p>
    <w:p>
      <w:pPr>
        <w:pStyle w:val="TextBody"/>
        <w:spacing w:before="0" w:after="0"/>
        <w:ind w:left="0" w:right="0" w:hanging="0"/>
        <w:rPr>
          <w:caps w:val="false"/>
          <w:smallCaps w:val="false"/>
        </w:rPr>
      </w:pPr>
      <w:r>
        <w:rPr>
          <w:caps w:val="false"/>
          <w:smallCaps w:val="false"/>
        </w:rPr>
        <w:t> </w:t>
      </w:r>
    </w:p>
    <w:tbl>
      <w:tblPr>
        <w:tblW w:w="9865" w:type="dxa"/>
        <w:jc w:val="left"/>
        <w:tblInd w:w="0" w:type="dxa"/>
        <w:tblCellMar>
          <w:top w:w="0" w:type="dxa"/>
          <w:left w:w="0" w:type="dxa"/>
          <w:bottom w:w="0" w:type="dxa"/>
          <w:right w:w="0" w:type="dxa"/>
        </w:tblCellMar>
      </w:tblPr>
      <w:tblGrid>
        <w:gridCol w:w="7070"/>
        <w:gridCol w:w="60"/>
        <w:gridCol w:w="203"/>
        <w:gridCol w:w="1060"/>
        <w:gridCol w:w="130"/>
        <w:gridCol w:w="97"/>
        <w:gridCol w:w="203"/>
        <w:gridCol w:w="962"/>
        <w:gridCol w:w="80"/>
      </w:tblGrid>
      <w:tr>
        <w:trPr/>
        <w:tc>
          <w:tcPr>
            <w:tcW w:w="70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116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20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(8,636</w:t>
            </w:r>
          </w:p>
        </w:tc>
        <w:tc>
          <w:tcPr>
            <w:tcW w:w="13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spacing w:before="0" w:after="283"/>
              <w:ind w:left="0" w:right="0" w:hanging="0"/>
              <w:rPr/>
            </w:pPr>
            <w:r>
              <w:rPr/>
              <w:t> </w:t>
            </w:r>
          </w:p>
        </w:tc>
        <w:tc>
          <w:tcPr>
            <w:tcW w:w="20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1,101</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1,304</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443</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508</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Provision for bad debt</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1,004</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1,106</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Provision for inventory obsolescence</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135</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252</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Finance expenses and accretion</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79</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489</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Deferred tax expense (recovery)</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45</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on disposal of property and equipment</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pPr>
            <w:r>
              <w:rPr/>
              <w:t>—</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13</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Accounts receivable short and long-term</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(3,199</w:t>
            </w:r>
          </w:p>
        </w:tc>
        <w:tc>
          <w:tcPr>
            <w:tcW w:w="13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2,448</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(911</w:t>
            </w:r>
          </w:p>
        </w:tc>
        <w:tc>
          <w:tcPr>
            <w:tcW w:w="1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(478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Prepaid expenses</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291</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109</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Advances to suppliers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(1,370</w:t>
            </w:r>
          </w:p>
        </w:tc>
        <w:tc>
          <w:tcPr>
            <w:tcW w:w="1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(1,417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Other current assets</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(381</w:t>
            </w:r>
          </w:p>
        </w:tc>
        <w:tc>
          <w:tcPr>
            <w:tcW w:w="13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1,255</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Trade payables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(125</w:t>
            </w:r>
          </w:p>
        </w:tc>
        <w:tc>
          <w:tcPr>
            <w:tcW w:w="1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(178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Accrued expenses and other current liabilities</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(1,128</w:t>
            </w:r>
          </w:p>
        </w:tc>
        <w:tc>
          <w:tcPr>
            <w:tcW w:w="13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(3,554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Severance pay funds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(67</w:t>
            </w:r>
          </w:p>
        </w:tc>
        <w:tc>
          <w:tcPr>
            <w:tcW w:w="1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Unearned interest income</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70</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(249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Other long-term liabilities</w:t>
            </w:r>
          </w:p>
        </w:tc>
        <w:tc>
          <w:tcPr>
            <w:tcW w:w="60" w:type="dxa"/>
            <w:tcBorders/>
            <w:shd w:fill="CCEEFF" w:val="clear"/>
            <w:vAlign w:val="center"/>
          </w:tcPr>
          <w:p>
            <w:pPr>
              <w:pStyle w:val="TableContents"/>
              <w:spacing w:before="0" w:after="283"/>
              <w:ind w:left="0" w:right="0" w:hanging="0"/>
              <w:rPr/>
            </w:pPr>
            <w:r>
              <w:rPr/>
              <w:t> </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225</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ind w:left="0" w:right="0" w:hanging="0"/>
              <w:rPr/>
            </w:pPr>
            <w:r>
              <w:rPr/>
              <w:t> </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spacing w:before="0" w:after="0"/>
              <w:ind w:left="1080" w:right="0" w:hanging="0"/>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spacing w:before="0" w:after="283"/>
              <w:rPr/>
            </w:pPr>
            <w:r>
              <w:rPr/>
              <w:t> </w:t>
            </w:r>
          </w:p>
        </w:tc>
        <w:tc>
          <w:tcPr>
            <w:tcW w:w="2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(12,424</w:t>
            </w:r>
          </w:p>
        </w:tc>
        <w:tc>
          <w:tcPr>
            <w:tcW w:w="13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spacing w:before="0" w:after="283"/>
              <w:rPr/>
            </w:pPr>
            <w:r>
              <w:rPr/>
              <w:t> </w:t>
            </w:r>
          </w:p>
        </w:tc>
        <w:tc>
          <w:tcPr>
            <w:tcW w:w="2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(8,220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Purchases of property and equipment</w:t>
            </w:r>
          </w:p>
        </w:tc>
        <w:tc>
          <w:tcPr>
            <w:tcW w:w="60" w:type="dxa"/>
            <w:tcBorders/>
            <w:shd w:fill="FFFFFF" w:val="clear"/>
            <w:vAlign w:val="center"/>
          </w:tcPr>
          <w:p>
            <w:pPr>
              <w:pStyle w:val="TableContents"/>
              <w:spacing w:before="0" w:after="283"/>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6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(157</w:t>
            </w:r>
          </w:p>
        </w:tc>
        <w:tc>
          <w:tcPr>
            <w:tcW w:w="13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spacing w:before="0" w:after="283"/>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2"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spacing w:before="0" w:after="0"/>
              <w:ind w:left="1080" w:right="0" w:hanging="0"/>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spacing w:before="0" w:after="283"/>
              <w:rPr/>
            </w:pPr>
            <w:r>
              <w:rPr/>
              <w:t> </w:t>
            </w:r>
          </w:p>
        </w:tc>
        <w:tc>
          <w:tcPr>
            <w:tcW w:w="2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w:t>
            </w:r>
          </w:p>
        </w:tc>
        <w:tc>
          <w:tcPr>
            <w:tcW w:w="1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spacing w:before="0" w:after="283"/>
              <w:rPr/>
            </w:pPr>
            <w:r>
              <w:rPr/>
              <w:t> </w:t>
            </w:r>
          </w:p>
        </w:tc>
        <w:tc>
          <w:tcPr>
            <w:tcW w:w="2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Exercises of 2020 December Public Offering Warrants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pPr>
            <w:r>
              <w:rPr/>
              <w:t>—</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903</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Payment of earn-out liability</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1060" w:type="dxa"/>
            <w:tcBorders/>
            <w:shd w:fill="FFFFFF" w:val="clear"/>
            <w:vAlign w:val="center"/>
          </w:tcPr>
          <w:p>
            <w:pPr>
              <w:pStyle w:val="TableContents"/>
              <w:spacing w:before="0" w:after="283"/>
              <w:jc w:val="right"/>
              <w:rPr/>
            </w:pPr>
            <w:r>
              <w:rPr/>
              <w:t>—</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(147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Repayment of government assistance loans</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(407</w:t>
            </w:r>
          </w:p>
        </w:tc>
        <w:tc>
          <w:tcPr>
            <w:tcW w:w="1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Proceeds from exercise of options</w:t>
            </w:r>
          </w:p>
        </w:tc>
        <w:tc>
          <w:tcPr>
            <w:tcW w:w="60" w:type="dxa"/>
            <w:tcBorders/>
            <w:shd w:fill="FFFFFF" w:val="clear"/>
            <w:vAlign w:val="center"/>
          </w:tcPr>
          <w:p>
            <w:pPr>
              <w:pStyle w:val="TableContents"/>
              <w:spacing w:before="0" w:after="283"/>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6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23</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2"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212</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ind w:left="1080" w:right="0" w:hanging="0"/>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spacing w:before="0" w:after="283"/>
              <w:rPr/>
            </w:pPr>
            <w:r>
              <w:rPr/>
              <w:t> </w:t>
            </w:r>
          </w:p>
        </w:tc>
        <w:tc>
          <w:tcPr>
            <w:tcW w:w="2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(384</w:t>
            </w:r>
          </w:p>
        </w:tc>
        <w:tc>
          <w:tcPr>
            <w:tcW w:w="1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spacing w:before="0" w:after="283"/>
              <w:rPr/>
            </w:pPr>
            <w:r>
              <w:rPr/>
              <w:t> </w:t>
            </w:r>
          </w:p>
        </w:tc>
        <w:tc>
          <w:tcPr>
            <w:tcW w:w="2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968</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DECREASE IN CASH AND CASH EQUIVALENTS AND RESTRICTED CASH</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ind w:left="0" w:right="0" w:hanging="0"/>
              <w:rPr/>
            </w:pPr>
            <w:r>
              <w:rPr/>
              <w:t> </w:t>
            </w:r>
          </w:p>
        </w:tc>
        <w:tc>
          <w:tcPr>
            <w:tcW w:w="10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(12,965</w:t>
            </w:r>
          </w:p>
        </w:tc>
        <w:tc>
          <w:tcPr>
            <w:tcW w:w="13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7"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AND CASH EQUIVALENTS AND RESTRICTED CASH — Beginning of period</w:t>
            </w:r>
          </w:p>
        </w:tc>
        <w:tc>
          <w:tcPr>
            <w:tcW w:w="60" w:type="dxa"/>
            <w:tcBorders/>
            <w:shd w:fill="CCEEFF" w:val="clear"/>
            <w:vAlign w:val="center"/>
          </w:tcPr>
          <w:p>
            <w:pPr>
              <w:pStyle w:val="TableContents"/>
              <w:spacing w:before="0" w:after="283"/>
              <w:rPr/>
            </w:pPr>
            <w:r>
              <w:rPr/>
              <w:t> </w:t>
            </w:r>
          </w:p>
        </w:tc>
        <w:tc>
          <w:tcPr>
            <w:tcW w:w="2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30,876</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34,380</w:t>
            </w:r>
          </w:p>
        </w:tc>
        <w:tc>
          <w:tcPr>
            <w:tcW w:w="80" w:type="dxa"/>
            <w:tcBorders/>
            <w:shd w:fill="CCEEFF" w:val="clear"/>
            <w:vAlign w:val="center"/>
          </w:tcPr>
          <w:p>
            <w:pPr>
              <w:pStyle w:val="TableContents"/>
              <w:spacing w:before="0" w:after="283"/>
              <w:rPr/>
            </w:pPr>
            <w:r>
              <w:rPr/>
              <w:t> </w:t>
            </w:r>
          </w:p>
        </w:tc>
      </w:tr>
      <w:tr>
        <w:trPr/>
        <w:tc>
          <w:tcPr>
            <w:tcW w:w="707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AND CASH EQUIVALENTS AND RESTRICTED CASH — End of period</w:t>
            </w:r>
          </w:p>
        </w:tc>
        <w:tc>
          <w:tcPr>
            <w:tcW w:w="60" w:type="dxa"/>
            <w:tcBorders/>
            <w:shd w:fill="FFFFFF" w:val="clear"/>
            <w:vAlign w:val="center"/>
          </w:tcPr>
          <w:p>
            <w:pPr>
              <w:pStyle w:val="TableContents"/>
              <w:spacing w:before="0" w:after="283"/>
              <w:ind w:left="0" w:right="0" w:hanging="0"/>
              <w:rPr/>
            </w:pPr>
            <w:r>
              <w:rPr/>
              <w:t> </w:t>
            </w:r>
          </w:p>
        </w:tc>
        <w:tc>
          <w:tcPr>
            <w:tcW w:w="20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17,911</w:t>
            </w:r>
          </w:p>
        </w:tc>
        <w:tc>
          <w:tcPr>
            <w:tcW w:w="13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20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27,075</w:t>
            </w:r>
          </w:p>
        </w:tc>
        <w:tc>
          <w:tcPr>
            <w:tcW w:w="80" w:type="dxa"/>
            <w:tcBorders/>
            <w:shd w:fill="FFFFFF" w:val="clear"/>
            <w:vAlign w:val="center"/>
          </w:tcPr>
          <w:p>
            <w:pPr>
              <w:pStyle w:val="TableContents"/>
              <w:spacing w:before="0" w:after="283"/>
              <w:rPr/>
            </w:pPr>
            <w:r>
              <w:rPr/>
              <w:t> </w:t>
            </w:r>
          </w:p>
        </w:tc>
      </w:tr>
      <w:tr>
        <w:trPr/>
        <w:tc>
          <w:tcPr>
            <w:tcW w:w="707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0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0" w:right="0" w:hanging="0"/>
              <w:rPr/>
            </w:pPr>
            <w:r>
              <w:rPr/>
              <w:t> </w:t>
            </w:r>
          </w:p>
        </w:tc>
      </w:tr>
      <w:tr>
        <w:trPr/>
        <w:tc>
          <w:tcPr>
            <w:tcW w:w="70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Cash paid for income taxes</w:t>
            </w:r>
          </w:p>
        </w:tc>
        <w:tc>
          <w:tcPr>
            <w:tcW w:w="60" w:type="dxa"/>
            <w:tcBorders/>
            <w:shd w:fill="FFFFFF" w:val="clear"/>
            <w:vAlign w:val="center"/>
          </w:tcPr>
          <w:p>
            <w:pPr>
              <w:pStyle w:val="TableContents"/>
              <w:spacing w:before="0" w:after="0"/>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06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99</w:t>
            </w:r>
          </w:p>
        </w:tc>
        <w:tc>
          <w:tcPr>
            <w:tcW w:w="130" w:type="dxa"/>
            <w:tcBorders/>
            <w:shd w:fill="FFFFFF" w:val="clear"/>
            <w:vAlign w:val="center"/>
          </w:tcPr>
          <w:p>
            <w:pPr>
              <w:pStyle w:val="TableContents"/>
              <w:spacing w:before="0" w:after="0"/>
              <w:ind w:left="0" w:right="0" w:hanging="0"/>
              <w:rPr/>
            </w:pPr>
            <w:r>
              <w:rPr/>
              <w:t> </w:t>
            </w:r>
          </w:p>
        </w:tc>
        <w:tc>
          <w:tcPr>
            <w:tcW w:w="97" w:type="dxa"/>
            <w:tcBorders/>
            <w:shd w:fill="FFFFFF" w:val="clear"/>
            <w:vAlign w:val="center"/>
          </w:tcPr>
          <w:p>
            <w:pPr>
              <w:pStyle w:val="TableContents"/>
              <w:spacing w:before="0" w:after="0"/>
              <w:ind w:left="0" w:right="0" w:hanging="0"/>
              <w:rPr/>
            </w:pPr>
            <w:r>
              <w:rPr/>
              <w:t> </w:t>
            </w:r>
          </w:p>
        </w:tc>
        <w:tc>
          <w:tcPr>
            <w:tcW w:w="203"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62"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spacing w:before="0" w:after="0"/>
              <w:ind w:left="0" w:right="0" w:hanging="0"/>
              <w:rPr/>
            </w:pPr>
            <w:r>
              <w:rPr/>
              <w:t> </w:t>
            </w:r>
          </w:p>
        </w:tc>
      </w:tr>
      <w:tr>
        <w:trPr/>
        <w:tc>
          <w:tcPr>
            <w:tcW w:w="70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Cash paid for interest</w:t>
            </w:r>
          </w:p>
        </w:tc>
        <w:tc>
          <w:tcPr>
            <w:tcW w:w="60" w:type="dxa"/>
            <w:tcBorders/>
            <w:shd w:fill="CCEEFF" w:val="clear"/>
            <w:vAlign w:val="center"/>
          </w:tcPr>
          <w:p>
            <w:pPr>
              <w:pStyle w:val="TableContents"/>
              <w:spacing w:before="0" w:after="0"/>
              <w:ind w:left="0" w:right="0" w:hanging="0"/>
              <w:rPr/>
            </w:pPr>
            <w:r>
              <w:rPr/>
              <w:t> </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06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844</w:t>
            </w:r>
          </w:p>
        </w:tc>
        <w:tc>
          <w:tcPr>
            <w:tcW w:w="130" w:type="dxa"/>
            <w:tcBorders/>
            <w:shd w:fill="CCEEFF" w:val="clear"/>
            <w:vAlign w:val="center"/>
          </w:tcPr>
          <w:p>
            <w:pPr>
              <w:pStyle w:val="TableContents"/>
              <w:spacing w:before="0" w:after="0"/>
              <w:ind w:left="0" w:right="0" w:hanging="0"/>
              <w:rPr/>
            </w:pPr>
            <w:r>
              <w:rPr/>
              <w:t> </w:t>
            </w:r>
          </w:p>
        </w:tc>
        <w:tc>
          <w:tcPr>
            <w:tcW w:w="97" w:type="dxa"/>
            <w:tcBorders/>
            <w:shd w:fill="CCEEFF" w:val="clear"/>
            <w:vAlign w:val="center"/>
          </w:tcPr>
          <w:p>
            <w:pPr>
              <w:pStyle w:val="TableContents"/>
              <w:spacing w:before="0" w:after="0"/>
              <w:ind w:left="0" w:right="0" w:hanging="0"/>
              <w:rPr/>
            </w:pPr>
            <w:r>
              <w:rPr/>
              <w:t> </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1,731</w:t>
            </w:r>
          </w:p>
        </w:tc>
        <w:tc>
          <w:tcPr>
            <w:tcW w:w="80" w:type="dxa"/>
            <w:tcBorders/>
            <w:shd w:fill="CCEEFF" w:val="clear"/>
            <w:vAlign w:val="center"/>
          </w:tcPr>
          <w:p>
            <w:pPr>
              <w:pStyle w:val="TableContents"/>
              <w:spacing w:before="0" w:after="0"/>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VENUS CONCEPT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(Unaudited)</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unless otherwise noted, except for shares and per share data)</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NATURE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w:t>
      </w:r>
      <w:r>
        <w:rPr>
          <w:rStyle w:val="Emphasis"/>
          <w:rFonts w:ascii="Times New Roman" w:hAnsi="Times New Roman"/>
          <w:caps w:val="false"/>
          <w:smallCaps w:val="false"/>
          <w:sz w:val="20"/>
        </w:rPr>
        <w:t xml:space="preserve">November 22, 2002. </w:t>
      </w:r>
      <w:r>
        <w:rPr>
          <w:rFonts w:ascii="Times New Roman" w:hAnsi="Times New Roman"/>
          <w:caps w:val="false"/>
          <w:smallCaps w:val="false"/>
          <w:sz w:val="20"/>
        </w:rPr>
        <w:t>In these notes to the condensed consolidated financial statements, the “Company” and “Venus Concept”, refer to Venus Concept Inc. and its subsidiaries on a consolidated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be necessary should the Company be unable to continue in existence.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has had recurring net operating losses and negative cash flows from operations. As of </w:t>
      </w:r>
      <w:r>
        <w:rPr>
          <w:rStyle w:val="Emphasis"/>
          <w:rFonts w:ascii="Times New Roman" w:hAnsi="Times New Roman"/>
          <w:caps w:val="false"/>
          <w:smallCaps w:val="false"/>
          <w:sz w:val="20"/>
        </w:rPr>
        <w:t xml:space="preserve"> 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Company had an accumulated deficit of $189,024 and $180,405, respectively. The Company was in compliance with all required covenants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Company’s recurring losses from operations and negative cash flows raise substantial doubt about the Company’s ability to continue as a going concern within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date that the unaudited condensed consolidated financial statements are issued. While the Company's business has improved and management expects this momentum to continue through the balance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is still recovering from the impact of the coronavirus pandemic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or "pandemic"). As of </w:t>
      </w:r>
      <w:r>
        <w:rPr>
          <w:rStyle w:val="Emphasis"/>
          <w:rFonts w:ascii="Times New Roman" w:hAnsi="Times New Roman"/>
          <w:caps w:val="false"/>
          <w:smallCaps w:val="false"/>
          <w:sz w:val="20"/>
        </w:rPr>
        <w:t xml:space="preserve"> March 31, 2022</w:t>
      </w:r>
      <w:r>
        <w:rPr>
          <w:rFonts w:ascii="Times New Roman" w:hAnsi="Times New Roman"/>
          <w:caps w:val="false"/>
          <w:smallCaps w:val="false"/>
          <w:sz w:val="20"/>
        </w:rPr>
        <w:t xml:space="preserve">, 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then ended management expects the pandemic to continue to have a negative impact in the foreseeable future, the extent of which is uncertain and largely subject to whether the severity of the pandemic worsens, or duration lengthens. In the event that the pandemic and the economic disruptions it has caused continue for an extended period of time, the Company cannot assure that it will remain in compliance with the financial covenants contained within its credit facilities.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In </w:t>
      </w:r>
      <w:r>
        <w:rPr>
          <w:rStyle w:val="Emphasis"/>
          <w:rFonts w:ascii="Times New Roman" w:hAnsi="Times New Roman"/>
          <w:caps w:val="false"/>
          <w:smallCaps w:val="false"/>
          <w:sz w:val="20"/>
        </w:rPr>
        <w:t>December 2021, </w:t>
      </w:r>
      <w:r>
        <w:rPr>
          <w:rFonts w:ascii="Times New Roman" w:hAnsi="Times New Roman"/>
          <w:caps w:val="false"/>
          <w:smallCaps w:val="false"/>
          <w:sz w:val="20"/>
        </w:rPr>
        <w:t xml:space="preserve">the Company issued and sold to investors 9,808,418 shares of common stock, par value $0.0001 per share, and 3,790,755 shares of the convertible preferred stock, par value $0.0001 per share for the total gross proceeds of $16,999 (see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Private Placement” in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February 2021, </w:t>
      </w:r>
      <w:r>
        <w:rPr>
          <w:rFonts w:ascii="Times New Roman" w:hAnsi="Times New Roman"/>
          <w:caps w:val="false"/>
          <w:smallCaps w:val="false"/>
          <w:sz w:val="20"/>
        </w:rPr>
        <w:t xml:space="preserve">several investors exercised an aggregate of 361,200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Public Offering Warrants at the exercise price of $2.50 per share. The total proceeds received by the Company from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Public Offering Warrants exercises were $903. Until the Company generates revenue at a level to support its cost structure, the Company expects to continue to incur substantial operating losses and net cash outflows from operating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Given the pandemic and the uncertainty around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variants, the Company cannot anticipate the extent to which the current economic turmoil and financial market conditions will continue to adversely impact the Company’s business and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need additional capital to fund its future operations and to access the capital markets sooner than planned.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be successful in raising additional capital or that such capital, if available, will be on terms that are acceptable to the Company. If the Company is unable to raise sufficient additional capital,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compelled to reduce the scope of its operations and planned capital expenditures or sell certain assets, including intellectual property assets. These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relating to the recoverability and classification of recorded asset amounts or amounts and classification of liabilities that might result from the uncertainty. Such adjustments could be material.</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of Venus Concept Inc. have been prepared in accordance with accounting principles generally accepted in the United States (“U.S. GAAP”)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filed with the Securities and Exchange Commission (the “SEC”) on </w:t>
      </w:r>
      <w:r>
        <w:rPr>
          <w:rStyle w:val="Emphasis"/>
          <w:rFonts w:ascii="Times New Roman" w:hAnsi="Times New Roman"/>
          <w:caps w:val="false"/>
          <w:smallCaps w:val="false"/>
          <w:sz w:val="20"/>
        </w:rPr>
        <w:t xml:space="preserve">March 28, 2022. </w:t>
      </w:r>
      <w:r>
        <w:rPr>
          <w:rFonts w:ascii="Times New Roman" w:hAnsi="Times New Roman"/>
          <w:caps w:val="false"/>
          <w:smallCaps w:val="false"/>
          <w:sz w:val="20"/>
        </w:rPr>
        <w:t>In the opinion of management, all adjustments (consisting only of normal recurring adjustments) considered necessary for fair presentation have been included.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For further information, refer to the consolidated financial statements and footnotes thereto included in Item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the Company’s most recent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the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 the period ended </w:t>
      </w:r>
      <w:r>
        <w:rPr>
          <w:rStyle w:val="Emphasis"/>
          <w:rFonts w:ascii="Times New Roman" w:hAnsi="Times New Roman"/>
          <w:caps w:val="false"/>
          <w:smallCaps w:val="false"/>
          <w:sz w:val="20"/>
        </w:rPr>
        <w:t>March 31, 2021, </w:t>
      </w:r>
      <w:r>
        <w:rPr>
          <w:rFonts w:ascii="Times New Roman" w:hAnsi="Times New Roman"/>
          <w:caps w:val="false"/>
          <w:smallCaps w:val="false"/>
          <w:sz w:val="20"/>
        </w:rPr>
        <w:t xml:space="preserve">filed with the SEC on </w:t>
      </w:r>
      <w:r>
        <w:rPr>
          <w:rStyle w:val="Emphasis"/>
          <w:rFonts w:ascii="Times New Roman" w:hAnsi="Times New Roman"/>
          <w:caps w:val="false"/>
          <w:smallCaps w:val="false"/>
          <w:sz w:val="20"/>
        </w:rPr>
        <w:t xml:space="preserve">May 17, 2021, </w:t>
      </w:r>
      <w:r>
        <w:rPr>
          <w:rFonts w:ascii="Times New Roman" w:hAnsi="Times New Roman"/>
          <w:caps w:val="false"/>
          <w:smallCaps w:val="false"/>
          <w:sz w:val="20"/>
        </w:rPr>
        <w:t xml:space="preserve">in the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 the period ended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filed with the SEC on </w:t>
      </w:r>
      <w:r>
        <w:rPr>
          <w:rStyle w:val="Emphasis"/>
          <w:rFonts w:ascii="Times New Roman" w:hAnsi="Times New Roman"/>
          <w:caps w:val="false"/>
          <w:smallCaps w:val="false"/>
          <w:sz w:val="20"/>
        </w:rPr>
        <w:t xml:space="preserve">August 17, 2021, </w:t>
      </w:r>
      <w:r>
        <w:rPr>
          <w:rFonts w:ascii="Times New Roman" w:hAnsi="Times New Roman"/>
          <w:caps w:val="false"/>
          <w:smallCaps w:val="false"/>
          <w:sz w:val="20"/>
        </w:rPr>
        <w:t xml:space="preserve">in the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 the period ended </w:t>
      </w:r>
      <w:r>
        <w:rPr>
          <w:rStyle w:val="Emphasis"/>
          <w:rFonts w:ascii="Times New Roman" w:hAnsi="Times New Roman"/>
          <w:caps w:val="false"/>
          <w:smallCaps w:val="false"/>
          <w:sz w:val="20"/>
        </w:rPr>
        <w:t xml:space="preserve">September 30, 2021, </w:t>
      </w:r>
      <w:r>
        <w:rPr>
          <w:rFonts w:ascii="Times New Roman" w:hAnsi="Times New Roman"/>
          <w:caps w:val="false"/>
          <w:smallCaps w:val="false"/>
          <w:sz w:val="20"/>
        </w:rPr>
        <w:t xml:space="preserve">filed with the SEC on </w:t>
      </w:r>
      <w:r>
        <w:rPr>
          <w:rStyle w:val="Emphasis"/>
          <w:rFonts w:ascii="Times New Roman" w:hAnsi="Times New Roman"/>
          <w:caps w:val="false"/>
          <w:smallCaps w:val="false"/>
          <w:sz w:val="20"/>
        </w:rPr>
        <w:t xml:space="preserve">November 12, 2021 </w:t>
      </w:r>
      <w:r>
        <w:rPr>
          <w:rFonts w:ascii="Times New Roman" w:hAnsi="Times New Roman"/>
          <w:caps w:val="false"/>
          <w:smallCaps w:val="false"/>
          <w:sz w:val="20"/>
        </w:rPr>
        <w:t xml:space="preserve">and in the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filed with the SEC on </w:t>
      </w:r>
      <w:r>
        <w:rPr>
          <w:rStyle w:val="Emphasis"/>
          <w:rFonts w:ascii="Times New Roman" w:hAnsi="Times New Roman"/>
          <w:caps w:val="false"/>
          <w:smallCaps w:val="false"/>
          <w:sz w:val="20"/>
        </w:rPr>
        <w:t>March 28, 2022, </w:t>
      </w:r>
      <w:r>
        <w:rPr>
          <w:rFonts w:ascii="Times New Roman" w:hAnsi="Times New Roman"/>
          <w:caps w:val="false"/>
          <w:smallCaps w:val="false"/>
          <w:sz w:val="20"/>
        </w:rPr>
        <w:t xml:space="preserve">the revenue by geographic location, which is based on the product shipped to location, was presented incorrectly (see below). The Company corrected the presentation in the accompanying unaudited condensed consolidated financial statements for the periods presented (see Note </w:t>
      </w:r>
      <w:r>
        <w:rPr>
          <w:rStyle w:val="Emphasis"/>
          <w:rFonts w:ascii="Times New Roman" w:hAnsi="Times New Roman"/>
          <w:caps w:val="false"/>
          <w:smallCaps w:val="false"/>
          <w:sz w:val="20"/>
        </w:rPr>
        <w:t>16</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9245" w:type="dxa"/>
        <w:jc w:val="left"/>
        <w:tblInd w:w="0" w:type="dxa"/>
        <w:tblCellMar>
          <w:top w:w="0" w:type="dxa"/>
          <w:left w:w="0" w:type="dxa"/>
          <w:bottom w:w="0" w:type="dxa"/>
          <w:right w:w="0" w:type="dxa"/>
        </w:tblCellMar>
      </w:tblPr>
      <w:tblGrid>
        <w:gridCol w:w="1145"/>
        <w:gridCol w:w="60"/>
        <w:gridCol w:w="321"/>
        <w:gridCol w:w="1018"/>
        <w:gridCol w:w="80"/>
        <w:gridCol w:w="60"/>
        <w:gridCol w:w="286"/>
        <w:gridCol w:w="903"/>
        <w:gridCol w:w="80"/>
        <w:gridCol w:w="60"/>
        <w:gridCol w:w="396"/>
        <w:gridCol w:w="1258"/>
        <w:gridCol w:w="80"/>
        <w:gridCol w:w="60"/>
        <w:gridCol w:w="386"/>
        <w:gridCol w:w="1223"/>
        <w:gridCol w:w="80"/>
        <w:gridCol w:w="60"/>
        <w:gridCol w:w="300"/>
        <w:gridCol w:w="1309"/>
        <w:gridCol w:w="80"/>
      </w:tblGrid>
      <w:tr>
        <w:trPr/>
        <w:tc>
          <w:tcPr>
            <w:tcW w:w="1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60"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Reclassification Adjustment</w:t>
            </w:r>
          </w:p>
        </w:tc>
        <w:tc>
          <w:tcPr>
            <w:tcW w:w="80" w:type="dxa"/>
            <w:tcBorders/>
            <w:shd w:fill="FFFFFF" w:val="clear"/>
            <w:vAlign w:val="center"/>
          </w:tcPr>
          <w:p>
            <w:pPr>
              <w:pStyle w:val="TableContents"/>
              <w:spacing w:before="0" w:after="283"/>
              <w:rPr/>
            </w:pPr>
            <w:r>
              <w:rPr/>
              <w:t> </w:t>
            </w:r>
          </w:p>
        </w:tc>
      </w:tr>
      <w:tr>
        <w:trPr/>
        <w:tc>
          <w:tcPr>
            <w:tcW w:w="1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211" w:type="dxa"/>
            <w:gridSpan w:val="14"/>
            <w:tcBorders>
              <w:bottom w:val="single" w:sz="2" w:space="0" w:color="000000"/>
            </w:tcBorders>
            <w:shd w:fill="FFFFFF" w:val="clear"/>
            <w:tcMar>
              <w:bottom w:w="28" w:type="dxa"/>
            </w:tcMar>
            <w:vAlign w:val="center"/>
          </w:tcPr>
          <w:p>
            <w:pPr>
              <w:pStyle w:val="TableContents"/>
              <w:spacing w:before="0" w:after="283"/>
              <w:jc w:val="center"/>
              <w:rPr/>
            </w:pPr>
            <w:r>
              <w:rPr>
                <w:rStyle w:val="Emphasis"/>
                <w:b/>
              </w:rPr>
              <w:t>Three Months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b/>
              </w:rPr>
              <w:t>Year Ended</w:t>
            </w:r>
          </w:p>
        </w:tc>
        <w:tc>
          <w:tcPr>
            <w:tcW w:w="80" w:type="dxa"/>
            <w:tcBorders/>
            <w:shd w:fill="FFFFFF" w:val="clear"/>
            <w:vAlign w:val="center"/>
          </w:tcPr>
          <w:p>
            <w:pPr>
              <w:pStyle w:val="TableContents"/>
              <w:spacing w:before="0" w:after="283"/>
              <w:rPr/>
            </w:pPr>
            <w:r>
              <w:rPr/>
              <w:t> </w:t>
            </w:r>
          </w:p>
        </w:tc>
      </w:tr>
      <w:tr>
        <w:trPr/>
        <w:tc>
          <w:tcPr>
            <w:tcW w:w="1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June 30, 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September 30, 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2021</w:t>
            </w:r>
          </w:p>
        </w:tc>
        <w:tc>
          <w:tcPr>
            <w:tcW w:w="80" w:type="dxa"/>
            <w:tcBorders/>
            <w:shd w:fill="FFFFFF" w:val="clear"/>
            <w:vAlign w:val="center"/>
          </w:tcPr>
          <w:p>
            <w:pPr>
              <w:pStyle w:val="TableContents"/>
              <w:spacing w:before="0" w:after="283"/>
              <w:rPr/>
            </w:pPr>
            <w:r>
              <w:rPr/>
              <w:t> </w:t>
            </w:r>
          </w:p>
        </w:tc>
      </w:tr>
      <w:tr>
        <w:trPr/>
        <w:tc>
          <w:tcPr>
            <w:tcW w:w="11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spacing w:before="0" w:after="283"/>
              <w:ind w:left="0" w:right="0" w:hanging="0"/>
              <w:rPr/>
            </w:pPr>
            <w:r>
              <w:rPr/>
              <w:t> </w:t>
            </w:r>
          </w:p>
        </w:tc>
        <w:tc>
          <w:tcPr>
            <w:tcW w:w="32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8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39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38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30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1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FFFFFF" w:val="clear"/>
            <w:vAlign w:val="center"/>
          </w:tcPr>
          <w:p>
            <w:pPr>
              <w:pStyle w:val="TableContents"/>
              <w:spacing w:before="0" w:after="283"/>
              <w:rPr/>
            </w:pPr>
            <w:r>
              <w:rPr/>
              <w:t> </w:t>
            </w:r>
          </w:p>
        </w:tc>
        <w:tc>
          <w:tcPr>
            <w:tcW w:w="32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5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30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2,120</w:t>
            </w:r>
          </w:p>
        </w:tc>
        <w:tc>
          <w:tcPr>
            <w:tcW w:w="80" w:type="dxa"/>
            <w:tcBorders/>
            <w:shd w:fill="FFFFFF" w:val="clear"/>
            <w:vAlign w:val="center"/>
          </w:tcPr>
          <w:p>
            <w:pPr>
              <w:pStyle w:val="TableContents"/>
              <w:spacing w:before="0" w:after="283"/>
              <w:rPr/>
            </w:pPr>
            <w:r>
              <w:rPr/>
              <w:t> </w:t>
            </w:r>
          </w:p>
        </w:tc>
      </w:tr>
      <w:tr>
        <w:trPr/>
        <w:tc>
          <w:tcPr>
            <w:tcW w:w="11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spacing w:before="0" w:after="283"/>
              <w:ind w:left="0" w:right="0" w:hanging="0"/>
              <w:rPr/>
            </w:pPr>
            <w:r>
              <w:rPr/>
              <w:t> </w:t>
            </w:r>
          </w:p>
        </w:tc>
        <w:tc>
          <w:tcPr>
            <w:tcW w:w="32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3"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5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23"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09"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through the date of this report filing. The accounting matters assessed included, 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allowance for doubtful accounts and the carrying value of intangible and long-lived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Amounts reported in thousands within this report are computed based on the amounts in dollars. As a result, the sum of the components reported in thousands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equal the total amount reported in thousands due to rounding. Certain columns and rows within tables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add due to the use of rounded numbers. Percentages presented are calculated from the underlying numbers in dollars.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accounting policies the Company follows are set forth in the Company’s audited consolidated financial statements for fiscal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For further information, refer to the consolidated financial statements and footnotes thereto included in Item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the Company’s most recent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to these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JOBS Act Accounting Election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is an emerging growth company, within the meaning of the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Act, as modified by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an emerging growth company or (ii) affirmatively and irrevocably opt out of the extended transition period provided in the JOBS Act. As a result, these unaudited condensed consolidated financial statements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comparable to companies that comply with the new or revised accounting pronouncements as of public company effective 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Times New Roman" w:hAnsi="Times New Roman"/>
          <w:b/>
          <w:i/>
          <w:caps w:val="false"/>
          <w:smallCaps w:val="false"/>
          <w:sz w:val="20"/>
        </w:rPr>
        <w:t xml:space="preserve">Recently Issued Accounting Standards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Yet Adopted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Financial Accounting Standards Board (the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Debt—Debt with Conversion and Other Options (Subtopic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and Derivatives and Hedging—Contracts in Entity’s Own Equity (Subtopic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reduces the number of accounting models for convertible debt instruments by eliminating the cash conversion and beneficial conversion models. The diluted net income per share calculation for convertible instruments will require us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is effective for the Company on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with early adoption permitted.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can be adopted on either a fully retrospective or modified retrospective basis. The Company is currently assessing the impact of applying this guidance as well as when to adopt this guidance.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2020, </w:t>
      </w:r>
      <w:r>
        <w:rPr>
          <w:rFonts w:ascii="Times New Roman" w:hAnsi="Times New Roman"/>
          <w:caps w:val="false"/>
          <w:smallCaps w:val="false"/>
          <w:sz w:val="20"/>
        </w:rPr>
        <w:t xml:space="preserve">the FASB issued a Staff Question-and-Answer Document (Q&amp;A):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and ASC Topic </w:t>
      </w:r>
      <w:r>
        <w:rPr>
          <w:rStyle w:val="Emphasis"/>
          <w:rFonts w:ascii="Times New Roman" w:hAnsi="Times New Roman"/>
          <w:caps w:val="false"/>
          <w:smallCaps w:val="false"/>
          <w:sz w:val="20"/>
        </w:rPr>
        <w:t>840:</w:t>
      </w:r>
      <w:r>
        <w:rPr>
          <w:rFonts w:ascii="Times New Roman" w:hAnsi="Times New Roman"/>
          <w:caps w:val="false"/>
          <w:smallCaps w:val="false"/>
          <w:sz w:val="20"/>
        </w:rPr>
        <w:t xml:space="preserve"> Accounting for Lease Concessions Related to the Effects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that focuses on the application of the lease guidance for lease concessions related solely to the effects of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The FASB issued the guidelines to reduce the burden and complexity for companies to account for such lease concessions (e.g., rent abatements or other economic incentives) under current lease accounting rules due to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by providing certain practical expedients that can be used. This guidance can be applied immediately. The adoption of the guidance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unaudited condensed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the FASB issued Accounting Standards Update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 Facilitation of the Effects of Reference Rate Reform on Financial Reporting (ASC Topic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This authoritative guidance provides optional relief for companies preparing for the discontinuation of interest rates such as LIBOR, which is expected to be phased out at the end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applies to lease contracts, hedging instruments, held-to-maturity debt securities and debt arrangements that have LIBOR as the benchmark rate. This guidance can be applied for a limited time, as of the beginning of the interim period that includes </w:t>
      </w:r>
      <w:r>
        <w:rPr>
          <w:rStyle w:val="Emphasis"/>
          <w:rFonts w:ascii="Times New Roman" w:hAnsi="Times New Roman"/>
          <w:caps w:val="false"/>
          <w:smallCaps w:val="false"/>
          <w:sz w:val="20"/>
        </w:rPr>
        <w:t xml:space="preserve">March 12, 2020 </w:t>
      </w:r>
      <w:r>
        <w:rPr>
          <w:rFonts w:ascii="Times New Roman" w:hAnsi="Times New Roman"/>
          <w:caps w:val="false"/>
          <w:smallCaps w:val="false"/>
          <w:sz w:val="20"/>
        </w:rPr>
        <w:t xml:space="preserve">or any date thereafter, through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guidance </w:t>
      </w:r>
      <w:r>
        <w:rPr>
          <w:rStyle w:val="Emphasis"/>
          <w:rFonts w:ascii="Times New Roman" w:hAnsi="Times New Roman"/>
          <w:caps w:val="false"/>
          <w:smallCaps w:val="false"/>
          <w:sz w:val="20"/>
        </w:rPr>
        <w:t>may no</w:t>
      </w:r>
      <w:r>
        <w:rPr>
          <w:rFonts w:ascii="Times New Roman" w:hAnsi="Times New Roman"/>
          <w:caps w:val="false"/>
          <w:smallCaps w:val="false"/>
          <w:sz w:val="20"/>
        </w:rPr>
        <w:t xml:space="preserve"> longer be applied after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apply certain practical expedients in ASC Topic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The Company is currently assessing the impact of applying this guidance as well as when to adopt this guidance.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2020, </w:t>
      </w:r>
      <w:r>
        <w:rPr>
          <w:rFonts w:ascii="Times New Roman" w:hAnsi="Times New Roman"/>
          <w:caps w:val="false"/>
          <w:smallCaps w:val="false"/>
          <w:sz w:val="20"/>
        </w:rPr>
        <w:t xml:space="preserve">the FASB issued authoritative guidance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and Leases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that amends and clarifies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and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For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the codification was updated to include the SEC staff interpretations associated with registrants engaged in lending activities.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including interim periods within those fiscal years. The Company is currently evaluating the impact of applying this guidance on its financial instruments, such as accounts receivable.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2019</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Simplifying the Accounting for Income Taxes, an authoritative guidance that simplifies the accounting for income taxes by removing certain exceptions and making simplifications in other areas. It is effective from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adoption of the guidance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unaudited condensed consolidated financial statements.</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NET 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and the weighted average number of shares used in computing basic and diluted net loss per share (in thousands, except per share data):</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607"/>
        <w:gridCol w:w="60"/>
        <w:gridCol w:w="195"/>
        <w:gridCol w:w="924"/>
        <w:gridCol w:w="124"/>
        <w:gridCol w:w="93"/>
        <w:gridCol w:w="195"/>
        <w:gridCol w:w="924"/>
        <w:gridCol w:w="83"/>
      </w:tblGrid>
      <w:tr>
        <w:trPr/>
        <w:tc>
          <w:tcPr>
            <w:tcW w:w="760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5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3" w:type="dxa"/>
            <w:tcBorders/>
            <w:shd w:fill="FFFFFF" w:val="clear"/>
            <w:vAlign w:val="center"/>
          </w:tcPr>
          <w:p>
            <w:pPr>
              <w:pStyle w:val="TableContents"/>
              <w:spacing w:before="0" w:after="283"/>
              <w:rPr/>
            </w:pPr>
            <w:r>
              <w:rPr/>
              <w:t> </w:t>
            </w:r>
          </w:p>
        </w:tc>
      </w:tr>
      <w:tr>
        <w:trPr/>
        <w:tc>
          <w:tcPr>
            <w:tcW w:w="760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24"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ind w:left="0" w:right="0" w:hanging="0"/>
              <w:rPr/>
            </w:pPr>
            <w:r>
              <w:rPr/>
              <w:t> </w:t>
            </w:r>
          </w:p>
        </w:tc>
        <w:tc>
          <w:tcPr>
            <w:tcW w:w="11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3" w:type="dxa"/>
            <w:tcBorders/>
            <w:shd w:fill="FFFFFF" w:val="clear"/>
            <w:vAlign w:val="center"/>
          </w:tcPr>
          <w:p>
            <w:pPr>
              <w:pStyle w:val="TableContents"/>
              <w:spacing w:before="0" w:after="283"/>
              <w:rPr/>
            </w:pPr>
            <w:r>
              <w:rPr/>
              <w:t> </w:t>
            </w:r>
          </w:p>
        </w:tc>
      </w:tr>
      <w:tr>
        <w:trPr/>
        <w:tc>
          <w:tcPr>
            <w:tcW w:w="7607"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924"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92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7607"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9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(8,636</w:t>
            </w:r>
          </w:p>
        </w:tc>
        <w:tc>
          <w:tcPr>
            <w:tcW w:w="12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spacing w:before="0" w:after="283"/>
              <w:ind w:left="0" w:right="0" w:hanging="0"/>
              <w:rPr/>
            </w:pPr>
            <w:r>
              <w:rPr/>
              <w:t> </w:t>
            </w:r>
          </w:p>
        </w:tc>
        <w:tc>
          <w:tcPr>
            <w:tcW w:w="19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607"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loss allocated to stockholders of the Company</w:t>
            </w:r>
          </w:p>
        </w:tc>
        <w:tc>
          <w:tcPr>
            <w:tcW w:w="60" w:type="dxa"/>
            <w:tcBorders/>
            <w:shd w:fill="CCEEFF" w:val="clear"/>
            <w:vAlign w:val="center"/>
          </w:tcPr>
          <w:p>
            <w:pPr>
              <w:pStyle w:val="TableContents"/>
              <w:spacing w:before="0" w:after="283"/>
              <w:ind w:left="0" w:right="0" w:hanging="0"/>
              <w:rPr/>
            </w:pPr>
            <w:r>
              <w:rPr/>
              <w:t> </w:t>
            </w:r>
          </w:p>
        </w:tc>
        <w:tc>
          <w:tcPr>
            <w:tcW w:w="19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(8,619</w:t>
            </w:r>
          </w:p>
        </w:tc>
        <w:tc>
          <w:tcPr>
            <w:tcW w:w="12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spacing w:before="0" w:after="283"/>
              <w:ind w:left="0" w:right="0" w:hanging="0"/>
              <w:rPr/>
            </w:pPr>
            <w:r>
              <w:rPr/>
              <w:t> </w:t>
            </w:r>
          </w:p>
        </w:tc>
        <w:tc>
          <w:tcPr>
            <w:tcW w:w="19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(9,259</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607"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607"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 used in computing net loss per share, basic and diluted</w:t>
            </w:r>
          </w:p>
        </w:tc>
        <w:tc>
          <w:tcPr>
            <w:tcW w:w="60" w:type="dxa"/>
            <w:tcBorders/>
            <w:shd w:fill="CCEEFF" w:val="clear"/>
            <w:vAlign w:val="center"/>
          </w:tcPr>
          <w:p>
            <w:pPr>
              <w:pStyle w:val="TableContents"/>
              <w:spacing w:before="0" w:after="283"/>
              <w:rPr/>
            </w:pPr>
            <w:r>
              <w:rPr/>
              <w:t> </w:t>
            </w:r>
          </w:p>
        </w:tc>
        <w:tc>
          <w:tcPr>
            <w:tcW w:w="19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63,988</w:t>
            </w:r>
          </w:p>
        </w:tc>
        <w:tc>
          <w:tcPr>
            <w:tcW w:w="124"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19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53,744</w:t>
            </w:r>
          </w:p>
        </w:tc>
        <w:tc>
          <w:tcPr>
            <w:tcW w:w="83" w:type="dxa"/>
            <w:tcBorders/>
            <w:shd w:fill="CCEEFF" w:val="clear"/>
            <w:vAlign w:val="center"/>
          </w:tcPr>
          <w:p>
            <w:pPr>
              <w:pStyle w:val="TableContents"/>
              <w:spacing w:before="0" w:after="283"/>
              <w:rPr/>
            </w:pPr>
            <w:r>
              <w:rPr/>
              <w:t> </w:t>
            </w:r>
          </w:p>
        </w:tc>
      </w:tr>
      <w:tr>
        <w:trPr/>
        <w:tc>
          <w:tcPr>
            <w:tcW w:w="7607"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r>
      <w:tr>
        <w:trPr/>
        <w:tc>
          <w:tcPr>
            <w:tcW w:w="760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Basic and diluted</w:t>
            </w:r>
          </w:p>
        </w:tc>
        <w:tc>
          <w:tcPr>
            <w:tcW w:w="60" w:type="dxa"/>
            <w:tcBorders/>
            <w:shd w:fill="CCEEFF" w:val="clear"/>
            <w:vAlign w:val="center"/>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(0.13</w:t>
            </w:r>
          </w:p>
        </w:tc>
        <w:tc>
          <w:tcPr>
            <w:tcW w:w="12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(0.17</w:t>
            </w:r>
          </w:p>
        </w:tc>
        <w:tc>
          <w:tcPr>
            <w:tcW w:w="83"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potentially dilutive securities were excluded from the computation of the diluted net loss per share for the periods presented because their effect would have been antidilutive: </w:t>
      </w:r>
    </w:p>
    <w:p>
      <w:pPr>
        <w:pStyle w:val="TextBody"/>
        <w:spacing w:before="0" w:after="0"/>
        <w:ind w:left="0" w:right="0" w:hanging="0"/>
        <w:rPr>
          <w:caps w:val="false"/>
          <w:smallCaps w:val="false"/>
        </w:rPr>
      </w:pPr>
      <w:r>
        <w:rPr>
          <w:caps w:val="false"/>
          <w:smallCaps w:val="false"/>
        </w:rPr>
        <w:t> </w:t>
      </w:r>
    </w:p>
    <w:tbl>
      <w:tblPr>
        <w:tblW w:w="8623" w:type="dxa"/>
        <w:jc w:val="left"/>
        <w:tblInd w:w="0" w:type="dxa"/>
        <w:tblCellMar>
          <w:top w:w="0" w:type="dxa"/>
          <w:left w:w="0" w:type="dxa"/>
          <w:bottom w:w="0" w:type="dxa"/>
          <w:right w:w="0" w:type="dxa"/>
        </w:tblCellMar>
      </w:tblPr>
      <w:tblGrid>
        <w:gridCol w:w="5705"/>
        <w:gridCol w:w="60"/>
        <w:gridCol w:w="79"/>
        <w:gridCol w:w="1260"/>
        <w:gridCol w:w="60"/>
        <w:gridCol w:w="60"/>
        <w:gridCol w:w="79"/>
        <w:gridCol w:w="1260"/>
        <w:gridCol w:w="60"/>
      </w:tblGrid>
      <w:tr>
        <w:trPr/>
        <w:tc>
          <w:tcPr>
            <w:tcW w:w="57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2021</w:t>
            </w:r>
          </w:p>
        </w:tc>
        <w:tc>
          <w:tcPr>
            <w:tcW w:w="60" w:type="dxa"/>
            <w:tcBorders/>
            <w:shd w:fill="FFFFFF" w:val="clear"/>
            <w:vAlign w:val="center"/>
          </w:tcPr>
          <w:p>
            <w:pPr>
              <w:pStyle w:val="TableContents"/>
              <w:spacing w:before="0" w:after="283"/>
              <w:rPr/>
            </w:pPr>
            <w:r>
              <w:rPr/>
              <w:t> </w:t>
            </w:r>
          </w:p>
        </w:tc>
      </w:tr>
      <w:tr>
        <w:trPr/>
        <w:tc>
          <w:tcPr>
            <w:tcW w:w="570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Options to purchase common stock and restricted stock units ("RSUs")</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12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7,878,714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12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5,899,296</w:t>
            </w:r>
          </w:p>
        </w:tc>
        <w:tc>
          <w:tcPr>
            <w:tcW w:w="60" w:type="dxa"/>
            <w:tcBorders/>
            <w:shd w:fill="FFFFFF" w:val="clear"/>
            <w:vAlign w:val="center"/>
          </w:tcPr>
          <w:p>
            <w:pPr>
              <w:pStyle w:val="TableContents"/>
              <w:spacing w:before="0" w:after="283"/>
              <w:rPr/>
            </w:pPr>
            <w:r>
              <w:rPr/>
              <w:t> </w:t>
            </w:r>
          </w:p>
        </w:tc>
      </w:tr>
      <w:tr>
        <w:trPr/>
        <w:tc>
          <w:tcPr>
            <w:tcW w:w="57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Preferred stock</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2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3,790,755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2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570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Warrants for common stock</w:t>
            </w:r>
          </w:p>
        </w:tc>
        <w:tc>
          <w:tcPr>
            <w:tcW w:w="60" w:type="dxa"/>
            <w:tcBorders/>
            <w:shd w:fill="FFFFFF" w:val="clear"/>
            <w:vAlign w:val="center"/>
          </w:tcPr>
          <w:p>
            <w:pPr>
              <w:pStyle w:val="TableContents"/>
              <w:spacing w:before="0" w:after="283"/>
              <w:rPr/>
            </w:pPr>
            <w:r>
              <w:rPr/>
              <w:t> </w:t>
            </w:r>
          </w:p>
        </w:tc>
        <w:tc>
          <w:tcPr>
            <w:tcW w:w="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15,928,867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15,928,867</w:t>
            </w:r>
          </w:p>
        </w:tc>
        <w:tc>
          <w:tcPr>
            <w:tcW w:w="60" w:type="dxa"/>
            <w:tcBorders/>
            <w:shd w:fill="FFFFFF" w:val="clear"/>
            <w:vAlign w:val="center"/>
          </w:tcPr>
          <w:p>
            <w:pPr>
              <w:pStyle w:val="TableContents"/>
              <w:spacing w:before="0" w:after="283"/>
              <w:rPr/>
            </w:pPr>
            <w:r>
              <w:rPr/>
              <w:t> </w:t>
            </w:r>
          </w:p>
        </w:tc>
      </w:tr>
      <w:tr>
        <w:trPr/>
        <w:tc>
          <w:tcPr>
            <w:tcW w:w="57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potential dilutive shares</w:t>
            </w:r>
          </w:p>
        </w:tc>
        <w:tc>
          <w:tcPr>
            <w:tcW w:w="60" w:type="dxa"/>
            <w:tcBorders/>
            <w:shd w:fill="CCEEFF" w:val="clear"/>
            <w:vAlign w:val="center"/>
          </w:tcPr>
          <w:p>
            <w:pPr>
              <w:pStyle w:val="TableContents"/>
              <w:spacing w:before="0" w:after="283"/>
              <w:rPr/>
            </w:pPr>
            <w:r>
              <w:rPr/>
              <w:t> </w:t>
            </w:r>
          </w:p>
        </w:tc>
        <w:tc>
          <w:tcPr>
            <w:tcW w:w="79"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2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27,598,336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2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21,828,163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FAIR VALUE MEASUREMENTS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-tiered hierarchy, which prioritizes the inputs used in the valuation methodologies in measuring fair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w:t>
      </w:r>
      <w:r>
        <w:rPr>
          <w:rFonts w:ascii="Times New Roman" w:hAnsi="Times New Roman"/>
          <w:caps w:val="false"/>
          <w:smallCaps w:val="false"/>
          <w:sz w:val="20"/>
        </w:rPr>
        <w:t>– Quoted prices in active markets for identical assets or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either directly or indirectly, such as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assets or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that are significant to the fair value of the assets or liabilities.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 xml:space="preserve">Guaranteed investment certificates (“GIC”)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the Company uses alternative pricing sources and models utilizing market observable inputs for valuation. The following tables set forth the fair value of the Company’s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financial assets and liabilities within the fair value hierarchy: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66"/>
        <w:gridCol w:w="60"/>
        <w:gridCol w:w="1056"/>
        <w:gridCol w:w="2171"/>
        <w:gridCol w:w="97"/>
        <w:gridCol w:w="97"/>
        <w:gridCol w:w="868"/>
        <w:gridCol w:w="1602"/>
        <w:gridCol w:w="97"/>
        <w:gridCol w:w="97"/>
        <w:gridCol w:w="779"/>
        <w:gridCol w:w="1625"/>
        <w:gridCol w:w="97"/>
        <w:gridCol w:w="97"/>
        <w:gridCol w:w="256"/>
        <w:gridCol w:w="374"/>
        <w:gridCol w:w="66"/>
      </w:tblGrid>
      <w:tr>
        <w:trPr/>
        <w:tc>
          <w:tcPr>
            <w:tcW w:w="7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13"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 Measurements as of March 31, 2022</w:t>
            </w:r>
          </w:p>
        </w:tc>
        <w:tc>
          <w:tcPr>
            <w:tcW w:w="66" w:type="dxa"/>
            <w:tcBorders/>
            <w:shd w:fill="FFFFFF" w:val="clear"/>
            <w:vAlign w:val="center"/>
          </w:tcPr>
          <w:p>
            <w:pPr>
              <w:pStyle w:val="TableContents"/>
              <w:spacing w:before="0" w:after="283"/>
              <w:rPr/>
            </w:pPr>
            <w:r>
              <w:rPr/>
              <w:t> </w:t>
            </w:r>
          </w:p>
        </w:tc>
      </w:tr>
      <w:tr>
        <w:trPr/>
        <w:tc>
          <w:tcPr>
            <w:tcW w:w="7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2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Quoted Prices in Active Markets using Identical Assets (Level 1)</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24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Significant Other Observable Inputs (Level 2)</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240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Significant Unobservable Inputs (Level 3)</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6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6" w:type="dxa"/>
            <w:tcBorders/>
            <w:shd w:fill="FFFFFF" w:val="clear"/>
            <w:vAlign w:val="center"/>
          </w:tcPr>
          <w:p>
            <w:pPr>
              <w:pStyle w:val="TableContents"/>
              <w:spacing w:before="0" w:after="283"/>
              <w:rPr/>
            </w:pPr>
            <w:r>
              <w:rPr/>
              <w:t> </w:t>
            </w:r>
          </w:p>
        </w:tc>
      </w:tr>
      <w:tr>
        <w:trPr/>
        <w:tc>
          <w:tcPr>
            <w:tcW w:w="766"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056" w:type="dxa"/>
            <w:tcBorders/>
            <w:shd w:fill="CCEEFF" w:val="clear"/>
            <w:vAlign w:val="center"/>
          </w:tcPr>
          <w:p>
            <w:pPr>
              <w:pStyle w:val="TableContents"/>
              <w:spacing w:before="0" w:after="283"/>
              <w:rPr/>
            </w:pPr>
            <w:r>
              <w:rPr/>
              <w:t> </w:t>
            </w:r>
          </w:p>
        </w:tc>
        <w:tc>
          <w:tcPr>
            <w:tcW w:w="2171"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868" w:type="dxa"/>
            <w:tcBorders/>
            <w:shd w:fill="CCEEFF" w:val="clear"/>
            <w:vAlign w:val="center"/>
          </w:tcPr>
          <w:p>
            <w:pPr>
              <w:pStyle w:val="TableContents"/>
              <w:spacing w:before="0" w:after="283"/>
              <w:rPr/>
            </w:pPr>
            <w:r>
              <w:rPr/>
              <w:t> </w:t>
            </w:r>
          </w:p>
        </w:tc>
        <w:tc>
          <w:tcPr>
            <w:tcW w:w="1602"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79" w:type="dxa"/>
            <w:tcBorders/>
            <w:shd w:fill="CCEEFF" w:val="clear"/>
            <w:vAlign w:val="center"/>
          </w:tcPr>
          <w:p>
            <w:pPr>
              <w:pStyle w:val="TableContents"/>
              <w:spacing w:before="0" w:after="283"/>
              <w:rPr/>
            </w:pPr>
            <w:r>
              <w:rPr/>
              <w:t> </w:t>
            </w:r>
          </w:p>
        </w:tc>
        <w:tc>
          <w:tcPr>
            <w:tcW w:w="1625"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rPr/>
            </w:pPr>
            <w:r>
              <w:rPr/>
              <w:t> </w:t>
            </w:r>
          </w:p>
        </w:tc>
        <w:tc>
          <w:tcPr>
            <w:tcW w:w="374"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r>
      <w:tr>
        <w:trPr/>
        <w:tc>
          <w:tcPr>
            <w:tcW w:w="766"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GIC</w:t>
            </w:r>
          </w:p>
        </w:tc>
        <w:tc>
          <w:tcPr>
            <w:tcW w:w="60" w:type="dxa"/>
            <w:tcBorders/>
            <w:shd w:fill="FFFFFF" w:val="clear"/>
            <w:vAlign w:val="center"/>
          </w:tcPr>
          <w:p>
            <w:pPr>
              <w:pStyle w:val="TableContents"/>
              <w:spacing w:before="0" w:after="283"/>
              <w:ind w:left="0" w:right="0" w:hanging="0"/>
              <w:rPr/>
            </w:pPr>
            <w:r>
              <w:rPr/>
              <w:t> </w:t>
            </w:r>
          </w:p>
        </w:tc>
        <w:tc>
          <w:tcPr>
            <w:tcW w:w="1056"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171"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868"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0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779"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2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256"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66" w:type="dxa"/>
            <w:tcBorders/>
            <w:shd w:fill="FFFFFF" w:val="clear"/>
            <w:vAlign w:val="center"/>
          </w:tcPr>
          <w:p>
            <w:pPr>
              <w:pStyle w:val="TableContents"/>
              <w:spacing w:before="0" w:after="283"/>
              <w:rPr/>
            </w:pPr>
            <w:r>
              <w:rPr/>
              <w:t> </w:t>
            </w:r>
          </w:p>
        </w:tc>
      </w:tr>
      <w:tr>
        <w:trPr/>
        <w:tc>
          <w:tcPr>
            <w:tcW w:w="766"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05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171"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ind w:left="0" w:right="0" w:hanging="0"/>
              <w:rPr/>
            </w:pPr>
            <w:r>
              <w:rPr/>
              <w:t> </w:t>
            </w:r>
          </w:p>
        </w:tc>
        <w:tc>
          <w:tcPr>
            <w:tcW w:w="86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0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ind w:left="0" w:right="0" w:hanging="0"/>
              <w:rPr/>
            </w:pPr>
            <w:r>
              <w:rPr/>
              <w:t> </w:t>
            </w:r>
          </w:p>
        </w:tc>
        <w:tc>
          <w:tcPr>
            <w:tcW w:w="7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25"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ind w:left="0" w:right="0" w:hanging="0"/>
              <w:rPr/>
            </w:pPr>
            <w:r>
              <w:rPr/>
              <w:t> </w:t>
            </w:r>
          </w:p>
        </w:tc>
        <w:tc>
          <w:tcPr>
            <w:tcW w:w="25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66"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63"/>
        <w:gridCol w:w="60"/>
        <w:gridCol w:w="1056"/>
        <w:gridCol w:w="2147"/>
        <w:gridCol w:w="101"/>
        <w:gridCol w:w="101"/>
        <w:gridCol w:w="863"/>
        <w:gridCol w:w="1592"/>
        <w:gridCol w:w="101"/>
        <w:gridCol w:w="101"/>
        <w:gridCol w:w="775"/>
        <w:gridCol w:w="1617"/>
        <w:gridCol w:w="101"/>
        <w:gridCol w:w="101"/>
        <w:gridCol w:w="265"/>
        <w:gridCol w:w="391"/>
        <w:gridCol w:w="70"/>
      </w:tblGrid>
      <w:tr>
        <w:trPr/>
        <w:tc>
          <w:tcPr>
            <w:tcW w:w="76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12"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 Measurements as of December 31, 2021</w:t>
            </w:r>
          </w:p>
        </w:tc>
        <w:tc>
          <w:tcPr>
            <w:tcW w:w="70" w:type="dxa"/>
            <w:tcBorders/>
            <w:shd w:fill="FFFFFF" w:val="clear"/>
            <w:vAlign w:val="center"/>
          </w:tcPr>
          <w:p>
            <w:pPr>
              <w:pStyle w:val="TableContents"/>
              <w:spacing w:before="0" w:after="283"/>
              <w:rPr/>
            </w:pPr>
            <w:r>
              <w:rPr/>
              <w:t> </w:t>
            </w:r>
          </w:p>
        </w:tc>
      </w:tr>
      <w:tr>
        <w:trPr/>
        <w:tc>
          <w:tcPr>
            <w:tcW w:w="76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0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Quoted Prices in Active Markets using Identical Assets (Level 1)</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24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Significant Other Observable Inputs (Level 2)</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239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Significant Unobservable Inputs (Level 3)</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65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70" w:type="dxa"/>
            <w:tcBorders/>
            <w:shd w:fill="FFFFFF" w:val="clear"/>
            <w:vAlign w:val="center"/>
          </w:tcPr>
          <w:p>
            <w:pPr>
              <w:pStyle w:val="TableContents"/>
              <w:spacing w:before="0" w:after="283"/>
              <w:rPr/>
            </w:pPr>
            <w:r>
              <w:rPr/>
              <w:t> </w:t>
            </w:r>
          </w:p>
        </w:tc>
      </w:tr>
      <w:tr>
        <w:trPr/>
        <w:tc>
          <w:tcPr>
            <w:tcW w:w="76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056" w:type="dxa"/>
            <w:tcBorders/>
            <w:shd w:fill="CCEEFF" w:val="clear"/>
            <w:vAlign w:val="center"/>
          </w:tcPr>
          <w:p>
            <w:pPr>
              <w:pStyle w:val="TableContents"/>
              <w:spacing w:before="0" w:after="283"/>
              <w:rPr/>
            </w:pPr>
            <w:r>
              <w:rPr/>
              <w:t> </w:t>
            </w:r>
          </w:p>
        </w:tc>
        <w:tc>
          <w:tcPr>
            <w:tcW w:w="2147"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863" w:type="dxa"/>
            <w:tcBorders/>
            <w:shd w:fill="CCEEFF" w:val="clear"/>
            <w:vAlign w:val="center"/>
          </w:tcPr>
          <w:p>
            <w:pPr>
              <w:pStyle w:val="TableContents"/>
              <w:spacing w:before="0" w:after="283"/>
              <w:rPr/>
            </w:pPr>
            <w:r>
              <w:rPr/>
              <w:t> </w:t>
            </w:r>
          </w:p>
        </w:tc>
        <w:tc>
          <w:tcPr>
            <w:tcW w:w="1592"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775" w:type="dxa"/>
            <w:tcBorders/>
            <w:shd w:fill="CCEEFF" w:val="clear"/>
            <w:vAlign w:val="center"/>
          </w:tcPr>
          <w:p>
            <w:pPr>
              <w:pStyle w:val="TableContents"/>
              <w:spacing w:before="0" w:after="283"/>
              <w:rPr/>
            </w:pPr>
            <w:r>
              <w:rPr/>
              <w:t> </w:t>
            </w:r>
          </w:p>
        </w:tc>
        <w:tc>
          <w:tcPr>
            <w:tcW w:w="1617"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r>
      <w:tr>
        <w:trPr/>
        <w:tc>
          <w:tcPr>
            <w:tcW w:w="763"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GIC</w:t>
            </w:r>
          </w:p>
        </w:tc>
        <w:tc>
          <w:tcPr>
            <w:tcW w:w="60" w:type="dxa"/>
            <w:tcBorders/>
            <w:shd w:fill="FFFFFF" w:val="clear"/>
            <w:vAlign w:val="center"/>
          </w:tcPr>
          <w:p>
            <w:pPr>
              <w:pStyle w:val="TableContents"/>
              <w:spacing w:before="0" w:after="283"/>
              <w:ind w:left="0" w:right="0" w:hanging="0"/>
              <w:rPr/>
            </w:pPr>
            <w:r>
              <w:rPr/>
              <w:t> </w:t>
            </w:r>
          </w:p>
        </w:tc>
        <w:tc>
          <w:tcPr>
            <w:tcW w:w="1056"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147"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863"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77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17"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26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9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w:t>
            </w:r>
          </w:p>
        </w:tc>
        <w:tc>
          <w:tcPr>
            <w:tcW w:w="70" w:type="dxa"/>
            <w:tcBorders/>
            <w:shd w:fill="FFFFFF" w:val="clear"/>
            <w:vAlign w:val="center"/>
          </w:tcPr>
          <w:p>
            <w:pPr>
              <w:pStyle w:val="TableContents"/>
              <w:spacing w:before="0" w:after="283"/>
              <w:rPr/>
            </w:pPr>
            <w:r>
              <w:rPr/>
              <w:t> </w:t>
            </w:r>
          </w:p>
        </w:tc>
      </w:tr>
      <w:tr>
        <w:trPr/>
        <w:tc>
          <w:tcPr>
            <w:tcW w:w="76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05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147"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86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5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77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17"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26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9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w:t>
            </w:r>
          </w:p>
        </w:tc>
        <w:tc>
          <w:tcPr>
            <w:tcW w:w="7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ACCOUNTS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Company’s products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sold under subscription agreements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$52,693 and $53,887 as of </w:t>
      </w:r>
      <w:r>
        <w:rPr>
          <w:rStyle w:val="Emphasis"/>
          <w:rFonts w:ascii="Times New Roman" w:hAnsi="Times New Roman"/>
          <w:caps w:val="false"/>
          <w:smallCaps w:val="false"/>
          <w:sz w:val="20"/>
        </w:rPr>
        <w:t xml:space="preserve"> 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performed an assessment of the allowance for doubtful accounts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Based upon such assessment, the Company recorded an allowance for doubtful accounts totaling $12,742 and $11,997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 summary of the Company’s accounts receivables is presented below:</w:t>
      </w:r>
    </w:p>
    <w:p>
      <w:pPr>
        <w:pStyle w:val="TextBody"/>
        <w:spacing w:before="0" w:after="0"/>
        <w:ind w:left="0" w:right="0" w:hanging="0"/>
        <w:rPr>
          <w:caps w:val="false"/>
          <w:smallCaps w:val="false"/>
        </w:rPr>
      </w:pPr>
      <w:r>
        <w:rPr>
          <w:caps w:val="false"/>
          <w:smallCaps w:val="false"/>
        </w:rPr>
        <w:t> </w:t>
      </w:r>
    </w:p>
    <w:tbl>
      <w:tblPr>
        <w:tblW w:w="5258" w:type="dxa"/>
        <w:jc w:val="left"/>
        <w:tblInd w:w="0" w:type="dxa"/>
        <w:tblCellMar>
          <w:top w:w="0" w:type="dxa"/>
          <w:left w:w="0" w:type="dxa"/>
          <w:bottom w:w="0" w:type="dxa"/>
          <w:right w:w="0" w:type="dxa"/>
        </w:tblCellMar>
      </w:tblPr>
      <w:tblGrid>
        <w:gridCol w:w="2960"/>
        <w:gridCol w:w="60"/>
        <w:gridCol w:w="141"/>
        <w:gridCol w:w="733"/>
        <w:gridCol w:w="80"/>
        <w:gridCol w:w="60"/>
        <w:gridCol w:w="184"/>
        <w:gridCol w:w="960"/>
        <w:gridCol w:w="80"/>
      </w:tblGrid>
      <w:tr>
        <w:trPr/>
        <w:tc>
          <w:tcPr>
            <w:tcW w:w="29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29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accounts receivable</w:t>
            </w:r>
          </w:p>
        </w:tc>
        <w:tc>
          <w:tcPr>
            <w:tcW w:w="60"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89,565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86,625</w:t>
            </w:r>
          </w:p>
        </w:tc>
        <w:tc>
          <w:tcPr>
            <w:tcW w:w="80" w:type="dxa"/>
            <w:tcBorders/>
            <w:shd w:fill="CCEEFF" w:val="clear"/>
            <w:vAlign w:val="center"/>
          </w:tcPr>
          <w:p>
            <w:pPr>
              <w:pStyle w:val="TableContents"/>
              <w:spacing w:before="0" w:after="283"/>
              <w:rPr/>
            </w:pPr>
            <w:r>
              <w:rPr/>
              <w:t> </w:t>
            </w:r>
          </w:p>
        </w:tc>
      </w:tr>
      <w:tr>
        <w:trPr/>
        <w:tc>
          <w:tcPr>
            <w:tcW w:w="296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Unearned income</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7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(4,103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9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(4,033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96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Allowance for doubtful accounts</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(12,742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(11,997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9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72,720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70,595</w:t>
            </w:r>
          </w:p>
        </w:tc>
        <w:tc>
          <w:tcPr>
            <w:tcW w:w="80" w:type="dxa"/>
            <w:tcBorders/>
            <w:shd w:fill="FFFFFF"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Reported as:</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3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96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trade receivables</w:t>
            </w:r>
          </w:p>
        </w:tc>
        <w:tc>
          <w:tcPr>
            <w:tcW w:w="60" w:type="dxa"/>
            <w:tcBorders/>
            <w:shd w:fill="FFFFFF" w:val="clear"/>
            <w:vAlign w:val="center"/>
          </w:tcPr>
          <w:p>
            <w:pPr>
              <w:pStyle w:val="TableContents"/>
              <w:spacing w:before="0" w:after="283"/>
              <w:ind w:left="0" w:right="0" w:hanging="0"/>
              <w:rPr/>
            </w:pPr>
            <w:r>
              <w:rPr/>
              <w:t> </w:t>
            </w:r>
          </w:p>
        </w:tc>
        <w:tc>
          <w:tcPr>
            <w:tcW w:w="14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49,076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46,918</w:t>
            </w:r>
          </w:p>
        </w:tc>
        <w:tc>
          <w:tcPr>
            <w:tcW w:w="80" w:type="dxa"/>
            <w:tcBorders/>
            <w:shd w:fill="FFFFFF"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unearned interest income</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7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9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(2,678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96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Long-term trade receivables</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7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9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27,710</w:t>
            </w:r>
          </w:p>
        </w:tc>
        <w:tc>
          <w:tcPr>
            <w:tcW w:w="80" w:type="dxa"/>
            <w:tcBorders/>
            <w:shd w:fill="FFFFFF"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Long-term unearned interest income</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9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72,720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70,595</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Current subscription agreements are reported as part of accounts receivable. The following are the contractual commitments, net of allowance for doubtful accounts, to be received by the Company over the next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w:t>
      </w:r>
    </w:p>
    <w:p>
      <w:pPr>
        <w:pStyle w:val="TextBody"/>
        <w:spacing w:before="0" w:after="0"/>
        <w:ind w:left="360" w:right="0" w:hanging="0"/>
        <w:rPr>
          <w:caps w:val="false"/>
          <w:smallCaps w:val="false"/>
        </w:rPr>
      </w:pPr>
      <w:r>
        <w:rPr>
          <w:caps w:val="false"/>
          <w:smallCaps w:val="false"/>
        </w:rPr>
        <w:t> </w:t>
      </w:r>
    </w:p>
    <w:tbl>
      <w:tblPr>
        <w:tblW w:w="9135" w:type="dxa"/>
        <w:jc w:val="left"/>
        <w:tblInd w:w="0" w:type="dxa"/>
        <w:tblCellMar>
          <w:top w:w="0" w:type="dxa"/>
          <w:left w:w="0" w:type="dxa"/>
          <w:bottom w:w="0" w:type="dxa"/>
          <w:right w:w="0" w:type="dxa"/>
        </w:tblCellMar>
      </w:tblPr>
      <w:tblGrid>
        <w:gridCol w:w="4760"/>
        <w:gridCol w:w="60"/>
        <w:gridCol w:w="125"/>
        <w:gridCol w:w="590"/>
        <w:gridCol w:w="60"/>
        <w:gridCol w:w="60"/>
        <w:gridCol w:w="125"/>
        <w:gridCol w:w="590"/>
        <w:gridCol w:w="60"/>
        <w:gridCol w:w="60"/>
        <w:gridCol w:w="125"/>
        <w:gridCol w:w="590"/>
        <w:gridCol w:w="60"/>
        <w:gridCol w:w="60"/>
        <w:gridCol w:w="125"/>
        <w:gridCol w:w="485"/>
        <w:gridCol w:w="60"/>
        <w:gridCol w:w="60"/>
        <w:gridCol w:w="125"/>
        <w:gridCol w:w="335"/>
        <w:gridCol w:w="60"/>
        <w:gridCol w:w="60"/>
        <w:gridCol w:w="142"/>
        <w:gridCol w:w="298"/>
        <w:gridCol w:w="60"/>
      </w:tblGrid>
      <w:tr>
        <w:trPr/>
        <w:tc>
          <w:tcPr>
            <w:tcW w:w="4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0"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4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financing receivables, net of allowance of $6,068</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476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Long-term financing receivables, net of allowance of $408</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27,747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19,699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7,923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298" w:type="dxa"/>
            <w:tcBorders>
              <w:bottom w:val="single" w:sz="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52,693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Accounts receivable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bear interest and are typically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and could be material to its unaudited condensed consolidated financial position, results of operations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allowance for doubtful accounts consisted of the following activity:</w:t>
      </w:r>
    </w:p>
    <w:p>
      <w:pPr>
        <w:pStyle w:val="TextBody"/>
        <w:spacing w:before="0" w:after="0"/>
        <w:ind w:left="0" w:right="0" w:hanging="0"/>
        <w:rPr>
          <w:caps w:val="false"/>
          <w:smallCaps w:val="false"/>
        </w:rPr>
      </w:pPr>
      <w:r>
        <w:rPr>
          <w:caps w:val="false"/>
          <w:smallCaps w:val="false"/>
        </w:rPr>
        <w:t> </w:t>
      </w:r>
    </w:p>
    <w:tbl>
      <w:tblPr>
        <w:tblW w:w="3350" w:type="dxa"/>
        <w:jc w:val="left"/>
        <w:tblInd w:w="0" w:type="dxa"/>
        <w:tblCellMar>
          <w:top w:w="0" w:type="dxa"/>
          <w:left w:w="0" w:type="dxa"/>
          <w:bottom w:w="0" w:type="dxa"/>
          <w:right w:w="0" w:type="dxa"/>
        </w:tblCellMar>
      </w:tblPr>
      <w:tblGrid>
        <w:gridCol w:w="2495"/>
        <w:gridCol w:w="60"/>
        <w:gridCol w:w="125"/>
        <w:gridCol w:w="590"/>
        <w:gridCol w:w="80"/>
      </w:tblGrid>
      <w:tr>
        <w:trPr/>
        <w:tc>
          <w:tcPr>
            <w:tcW w:w="2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January 1, 2021</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18,490</w:t>
            </w:r>
          </w:p>
        </w:tc>
        <w:tc>
          <w:tcPr>
            <w:tcW w:w="80" w:type="dxa"/>
            <w:tcBorders/>
            <w:shd w:fill="CCEEFF" w:val="clear"/>
            <w:vAlign w:val="center"/>
          </w:tcPr>
          <w:p>
            <w:pPr>
              <w:pStyle w:val="TableContents"/>
              <w:spacing w:before="0" w:after="283"/>
              <w:rPr/>
            </w:pPr>
            <w:r>
              <w:rPr/>
              <w:t> </w:t>
            </w:r>
          </w:p>
        </w:tc>
      </w:tr>
      <w:tr>
        <w:trPr/>
        <w:tc>
          <w:tcPr>
            <w:tcW w:w="24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Write-offs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(6,230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Recovery</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(263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11,997</w:t>
            </w:r>
          </w:p>
        </w:tc>
        <w:tc>
          <w:tcPr>
            <w:tcW w:w="80" w:type="dxa"/>
            <w:tcBorders/>
            <w:shd w:fill="FFFFFF"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Write-offs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(259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4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Provision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w:t>
            </w:r>
          </w:p>
        </w:tc>
        <w:tc>
          <w:tcPr>
            <w:tcW w:w="80" w:type="dxa"/>
            <w:tcBorders/>
            <w:shd w:fill="FFFFFF"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March 31, 2022</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12,742</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SELECT BALANCE SHEET AND STATEMENT OF OPERATIONS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Inventory consists of the following:</w:t>
      </w:r>
    </w:p>
    <w:p>
      <w:pPr>
        <w:pStyle w:val="TextBody"/>
        <w:spacing w:before="0" w:after="0"/>
        <w:ind w:left="0" w:right="0" w:hanging="0"/>
        <w:rPr>
          <w:caps w:val="false"/>
          <w:smallCaps w:val="false"/>
        </w:rPr>
      </w:pPr>
      <w:r>
        <w:rPr>
          <w:caps w:val="false"/>
          <w:smallCaps w:val="false"/>
        </w:rPr>
        <w:t> </w:t>
      </w:r>
    </w:p>
    <w:tbl>
      <w:tblPr>
        <w:tblW w:w="3688" w:type="dxa"/>
        <w:jc w:val="left"/>
        <w:tblInd w:w="0" w:type="dxa"/>
        <w:tblCellMar>
          <w:top w:w="0" w:type="dxa"/>
          <w:left w:w="0" w:type="dxa"/>
          <w:bottom w:w="0" w:type="dxa"/>
          <w:right w:w="0" w:type="dxa"/>
        </w:tblCellMar>
      </w:tblPr>
      <w:tblGrid>
        <w:gridCol w:w="1430"/>
        <w:gridCol w:w="60"/>
        <w:gridCol w:w="152"/>
        <w:gridCol w:w="722"/>
        <w:gridCol w:w="60"/>
        <w:gridCol w:w="60"/>
        <w:gridCol w:w="199"/>
        <w:gridCol w:w="945"/>
        <w:gridCol w:w="60"/>
      </w:tblGrid>
      <w:tr>
        <w:trPr/>
        <w:tc>
          <w:tcPr>
            <w:tcW w:w="14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14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2,964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2,368</w:t>
            </w:r>
          </w:p>
        </w:tc>
        <w:tc>
          <w:tcPr>
            <w:tcW w:w="60" w:type="dxa"/>
            <w:tcBorders/>
            <w:shd w:fill="CCEEFF" w:val="clear"/>
            <w:vAlign w:val="center"/>
          </w:tcPr>
          <w:p>
            <w:pPr>
              <w:pStyle w:val="TableContents"/>
              <w:spacing w:before="0" w:after="283"/>
              <w:rPr/>
            </w:pPr>
            <w:r>
              <w:rPr/>
              <w:t> </w:t>
            </w:r>
          </w:p>
        </w:tc>
      </w:tr>
      <w:tr>
        <w:trPr/>
        <w:tc>
          <w:tcPr>
            <w:tcW w:w="14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Work-in-progress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rPr/>
            </w:pPr>
            <w:r>
              <w:rPr/>
              <w:t> </w:t>
            </w:r>
          </w:p>
        </w:tc>
        <w:tc>
          <w:tcPr>
            <w:tcW w:w="72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628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1,649</w:t>
            </w:r>
          </w:p>
        </w:tc>
        <w:tc>
          <w:tcPr>
            <w:tcW w:w="60" w:type="dxa"/>
            <w:tcBorders/>
            <w:shd w:fill="FFFFFF"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spacing w:before="0" w:after="283"/>
              <w:ind w:left="0" w:right="0" w:hanging="0"/>
              <w:rPr/>
            </w:pPr>
            <w:r>
              <w:rPr/>
              <w:t> </w:t>
            </w:r>
          </w:p>
        </w:tc>
        <w:tc>
          <w:tcPr>
            <w:tcW w:w="1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2"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17,727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16,526</w:t>
            </w:r>
          </w:p>
        </w:tc>
        <w:tc>
          <w:tcPr>
            <w:tcW w:w="60" w:type="dxa"/>
            <w:tcBorders/>
            <w:shd w:fill="CCEEFF" w:val="clear"/>
            <w:vAlign w:val="center"/>
          </w:tcPr>
          <w:p>
            <w:pPr>
              <w:pStyle w:val="TableContents"/>
              <w:spacing w:before="0" w:after="283"/>
              <w:rPr/>
            </w:pPr>
            <w:r>
              <w:rPr/>
              <w:t> </w:t>
            </w:r>
          </w:p>
        </w:tc>
      </w:tr>
      <w:tr>
        <w:trPr/>
        <w:tc>
          <w:tcPr>
            <w:tcW w:w="14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inventory</w:t>
            </w:r>
          </w:p>
        </w:tc>
        <w:tc>
          <w:tcPr>
            <w:tcW w:w="60" w:type="dxa"/>
            <w:tcBorders/>
            <w:shd w:fill="FFFFFF" w:val="clear"/>
            <w:vAlign w:val="center"/>
          </w:tcPr>
          <w:p>
            <w:pPr>
              <w:pStyle w:val="TableContents"/>
              <w:spacing w:before="0" w:after="283"/>
              <w:ind w:left="0" w:right="0" w:hanging="0"/>
              <w:rPr/>
            </w:pPr>
            <w:r>
              <w:rPr/>
              <w:t> </w:t>
            </w:r>
          </w:p>
        </w:tc>
        <w:tc>
          <w:tcPr>
            <w:tcW w:w="15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20,543</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Additions to inventory are primarily comprised of newly produced units and applicators, refurbishment cost from demonstration units and used equipment which were reacquired during the period from upgraded sales. The Company expensed $7,500 and $6,020 in cost of goods sold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The balance of cost of goods sold represents the sale of applicators, parts and warranties.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provides for excess and obsolete inventories when conditions indicate that the inventory cost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a provision for obsolescence of $2,110 and $2,213 was taken against inventory, respectively.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Property and Equipment,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and equipment, net consist of the following:</w:t>
      </w:r>
    </w:p>
    <w:p>
      <w:pPr>
        <w:pStyle w:val="TextBody"/>
        <w:spacing w:before="0" w:after="0"/>
        <w:ind w:left="0" w:right="0" w:hanging="0"/>
        <w:rPr>
          <w:caps w:val="false"/>
          <w:smallCaps w:val="false"/>
        </w:rPr>
      </w:pPr>
      <w:r>
        <w:rPr>
          <w:caps w:val="false"/>
          <w:smallCaps w:val="false"/>
        </w:rPr>
        <w:t> </w:t>
      </w:r>
    </w:p>
    <w:tbl>
      <w:tblPr>
        <w:tblW w:w="6298" w:type="dxa"/>
        <w:jc w:val="left"/>
        <w:tblInd w:w="0" w:type="dxa"/>
        <w:tblCellMar>
          <w:top w:w="0" w:type="dxa"/>
          <w:left w:w="0" w:type="dxa"/>
          <w:bottom w:w="0" w:type="dxa"/>
          <w:right w:w="0" w:type="dxa"/>
        </w:tblCellMar>
      </w:tblPr>
      <w:tblGrid>
        <w:gridCol w:w="2795"/>
        <w:gridCol w:w="60"/>
        <w:gridCol w:w="60"/>
        <w:gridCol w:w="1025"/>
        <w:gridCol w:w="60"/>
        <w:gridCol w:w="60"/>
        <w:gridCol w:w="141"/>
        <w:gridCol w:w="733"/>
        <w:gridCol w:w="80"/>
        <w:gridCol w:w="60"/>
        <w:gridCol w:w="184"/>
        <w:gridCol w:w="960"/>
        <w:gridCol w:w="80"/>
      </w:tblGrid>
      <w:tr>
        <w:trPr/>
        <w:tc>
          <w:tcPr>
            <w:tcW w:w="27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283"/>
              <w:jc w:val="center"/>
              <w:rPr/>
            </w:pPr>
            <w:r>
              <w:rPr>
                <w:rStyle w:val="Emphasis"/>
                <w:rFonts w:ascii="Times New Roman" w:hAnsi="Times New Roman"/>
                <w:b/>
                <w:sz w:val="20"/>
              </w:rPr>
              <w:t>Useful Lives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(in years)</w:t>
            </w:r>
          </w:p>
        </w:tc>
        <w:tc>
          <w:tcPr>
            <w:tcW w:w="6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center"/>
          </w:tcPr>
          <w:p>
            <w:pPr>
              <w:pStyle w:val="TableContents"/>
              <w:spacing w:before="0" w:after="0"/>
              <w:ind w:left="0" w:right="0" w:hanging="0"/>
              <w:jc w:val="center"/>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sz w:val="20"/>
              </w:rPr>
              <w:t>2022</w:t>
            </w:r>
          </w:p>
        </w:tc>
        <w:tc>
          <w:tcPr>
            <w:tcW w:w="80" w:type="dxa"/>
            <w:tcBorders/>
            <w:shd w:fill="FFFFFF" w:val="clear"/>
            <w:vAlign w:val="center"/>
          </w:tcPr>
          <w:p>
            <w:pPr>
              <w:pStyle w:val="TableContents"/>
              <w:spacing w:before="0" w:after="0"/>
              <w:ind w:left="0" w:right="0" w:hanging="0"/>
              <w:jc w:val="center"/>
              <w:rPr/>
            </w:pPr>
            <w:r>
              <w:rPr/>
              <w:t> </w:t>
            </w:r>
          </w:p>
        </w:tc>
        <w:tc>
          <w:tcPr>
            <w:tcW w:w="60" w:type="dxa"/>
            <w:tcBorders/>
            <w:shd w:fill="FFFFFF" w:val="clear"/>
            <w:vAlign w:val="center"/>
          </w:tcPr>
          <w:p>
            <w:pPr>
              <w:pStyle w:val="TableContents"/>
              <w:spacing w:before="0" w:after="0"/>
              <w:ind w:left="0" w:right="0" w:hanging="0"/>
              <w:jc w:val="center"/>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jc w:val="center"/>
              <w:rPr/>
            </w:pPr>
            <w:r>
              <w:rPr>
                <w:rStyle w:val="Emphasis"/>
                <w:rFonts w:ascii="Times New Roman" w:hAnsi="Times New Roman"/>
                <w:b/>
                <w:sz w:val="20"/>
              </w:rPr>
              <w:t>2021</w:t>
            </w:r>
          </w:p>
        </w:tc>
        <w:tc>
          <w:tcPr>
            <w:tcW w:w="80"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Lab equipment tooling and molds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02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 – 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8,194</w:t>
            </w:r>
          </w:p>
        </w:tc>
        <w:tc>
          <w:tcPr>
            <w:tcW w:w="80"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Office furniture and equipment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6 – 10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73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2,012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9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1,743</w:t>
            </w:r>
          </w:p>
        </w:tc>
        <w:tc>
          <w:tcPr>
            <w:tcW w:w="80"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Leasehold improvements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up to 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3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1,839</w:t>
            </w:r>
          </w:p>
        </w:tc>
        <w:tc>
          <w:tcPr>
            <w:tcW w:w="80"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Computers and software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73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1,780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9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1,939</w:t>
            </w:r>
          </w:p>
        </w:tc>
        <w:tc>
          <w:tcPr>
            <w:tcW w:w="80"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Vehicles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5 – 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3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1,781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Demo units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33"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114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114</w:t>
            </w:r>
          </w:p>
        </w:tc>
        <w:tc>
          <w:tcPr>
            <w:tcW w:w="80"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13,960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13,866</w:t>
            </w:r>
          </w:p>
        </w:tc>
        <w:tc>
          <w:tcPr>
            <w:tcW w:w="80"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73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(11,377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9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(11,197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property and equipment, net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2,669</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Times New Roman" w:hAnsi="Times New Roman"/>
          <w:caps w:val="false"/>
          <w:smallCaps w:val="false"/>
          <w:sz w:val="20"/>
        </w:rPr>
        <w:t xml:space="preserve">Depreciation expense amounted to $244 and $448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Other Current Assets</w:t>
      </w:r>
    </w:p>
    <w:p>
      <w:pPr>
        <w:pStyle w:val="TextBody"/>
        <w:spacing w:before="0" w:after="0"/>
        <w:ind w:left="0" w:right="0" w:hanging="0"/>
        <w:rPr>
          <w:caps w:val="false"/>
          <w:smallCaps w:val="false"/>
        </w:rPr>
      </w:pPr>
      <w:r>
        <w:rPr>
          <w:caps w:val="false"/>
          <w:smallCaps w:val="false"/>
        </w:rPr>
        <w:t> </w:t>
      </w:r>
    </w:p>
    <w:tbl>
      <w:tblPr>
        <w:tblW w:w="6313" w:type="dxa"/>
        <w:jc w:val="left"/>
        <w:tblInd w:w="0" w:type="dxa"/>
        <w:tblCellMar>
          <w:top w:w="0" w:type="dxa"/>
          <w:left w:w="0" w:type="dxa"/>
          <w:bottom w:w="0" w:type="dxa"/>
          <w:right w:w="0" w:type="dxa"/>
        </w:tblCellMar>
      </w:tblPr>
      <w:tblGrid>
        <w:gridCol w:w="4055"/>
        <w:gridCol w:w="60"/>
        <w:gridCol w:w="179"/>
        <w:gridCol w:w="695"/>
        <w:gridCol w:w="60"/>
        <w:gridCol w:w="60"/>
        <w:gridCol w:w="234"/>
        <w:gridCol w:w="910"/>
        <w:gridCol w:w="60"/>
      </w:tblGrid>
      <w:tr>
        <w:trPr/>
        <w:tc>
          <w:tcPr>
            <w:tcW w:w="40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40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4055" w:type="dxa"/>
            <w:tcBorders/>
            <w:shd w:fill="CCEEFF" w:val="clear"/>
            <w:vAlign w:val="center"/>
          </w:tcPr>
          <w:p>
            <w:pPr>
              <w:pStyle w:val="TableContents"/>
              <w:spacing w:lineRule="auto" w:line="288" w:before="0" w:after="0"/>
              <w:rPr>
                <w:rFonts w:ascii="Times New Roman" w:hAnsi="Times New Roman"/>
                <w:sz w:val="20"/>
              </w:rPr>
            </w:pPr>
            <w:r>
              <w:rPr>
                <w:rFonts w:ascii="Times New Roman" w:hAnsi="Times New Roman"/>
                <w:sz w:val="20"/>
              </w:rPr>
              <w:t>Government remittances (1)</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1,799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1,322</w:t>
            </w:r>
          </w:p>
        </w:tc>
        <w:tc>
          <w:tcPr>
            <w:tcW w:w="60" w:type="dxa"/>
            <w:tcBorders/>
            <w:shd w:fill="CCEEFF" w:val="clear"/>
            <w:vAlign w:val="center"/>
          </w:tcPr>
          <w:p>
            <w:pPr>
              <w:pStyle w:val="TableContents"/>
              <w:spacing w:before="0" w:after="283"/>
              <w:rPr/>
            </w:pPr>
            <w:r>
              <w:rPr/>
              <w:t> </w:t>
            </w:r>
          </w:p>
        </w:tc>
      </w:tr>
      <w:tr>
        <w:trPr/>
        <w:tc>
          <w:tcPr>
            <w:tcW w:w="40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Consideration receivable from sale of subsidiaries</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1,251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rPr/>
            </w:pPr>
            <w:r>
              <w:rPr/>
              <w:t> </w:t>
            </w:r>
          </w:p>
        </w:tc>
        <w:tc>
          <w:tcPr>
            <w:tcW w:w="91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1,405</w:t>
            </w:r>
          </w:p>
        </w:tc>
        <w:tc>
          <w:tcPr>
            <w:tcW w:w="60" w:type="dxa"/>
            <w:tcBorders/>
            <w:shd w:fill="FFFFFF" w:val="clear"/>
            <w:vAlign w:val="center"/>
          </w:tcPr>
          <w:p>
            <w:pPr>
              <w:pStyle w:val="TableContents"/>
              <w:spacing w:before="0" w:after="283"/>
              <w:rPr/>
            </w:pPr>
            <w:r>
              <w:rPr/>
              <w:t> </w:t>
            </w:r>
          </w:p>
        </w:tc>
      </w:tr>
      <w:tr>
        <w:trPr/>
        <w:tc>
          <w:tcPr>
            <w:tcW w:w="40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financing costs</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91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223</w:t>
            </w:r>
          </w:p>
        </w:tc>
        <w:tc>
          <w:tcPr>
            <w:tcW w:w="60" w:type="dxa"/>
            <w:tcBorders/>
            <w:shd w:fill="CCEEFF" w:val="clear"/>
            <w:vAlign w:val="center"/>
          </w:tcPr>
          <w:p>
            <w:pPr>
              <w:pStyle w:val="TableContents"/>
              <w:spacing w:before="0" w:after="283"/>
              <w:rPr/>
            </w:pPr>
            <w:r>
              <w:rPr/>
              <w:t> </w:t>
            </w:r>
          </w:p>
        </w:tc>
      </w:tr>
      <w:tr>
        <w:trPr/>
        <w:tc>
          <w:tcPr>
            <w:tcW w:w="40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Sundry assets and miscellaneous</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866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1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808</w:t>
            </w:r>
          </w:p>
        </w:tc>
        <w:tc>
          <w:tcPr>
            <w:tcW w:w="60" w:type="dxa"/>
            <w:tcBorders/>
            <w:shd w:fill="FFFFFF" w:val="clear"/>
            <w:vAlign w:val="center"/>
          </w:tcPr>
          <w:p>
            <w:pPr>
              <w:pStyle w:val="TableContents"/>
              <w:spacing w:before="0" w:after="283"/>
              <w:rPr/>
            </w:pPr>
            <w:r>
              <w:rPr/>
              <w:t> </w:t>
            </w:r>
          </w:p>
        </w:tc>
      </w:tr>
      <w:tr>
        <w:trPr/>
        <w:tc>
          <w:tcPr>
            <w:tcW w:w="40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other current assets</w:t>
            </w:r>
          </w:p>
        </w:tc>
        <w:tc>
          <w:tcPr>
            <w:tcW w:w="60" w:type="dxa"/>
            <w:tcBorders/>
            <w:shd w:fill="CCEEFF" w:val="clear"/>
            <w:vAlign w:val="center"/>
          </w:tcPr>
          <w:p>
            <w:pPr>
              <w:pStyle w:val="TableContents"/>
              <w:spacing w:before="0" w:after="283"/>
              <w:ind w:left="0" w:right="0" w:hanging="0"/>
              <w:rPr/>
            </w:pPr>
            <w:r>
              <w:rPr/>
              <w:t> </w:t>
            </w:r>
          </w:p>
        </w:tc>
        <w:tc>
          <w:tcPr>
            <w:tcW w:w="1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3,758</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Government remittances are receivables from the local tax authorities for refunds of sales taxes and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Accrued Expenses and Other Current Liabilities</w:t>
      </w:r>
    </w:p>
    <w:p>
      <w:pPr>
        <w:pStyle w:val="TextBody"/>
        <w:spacing w:before="0" w:after="0"/>
        <w:ind w:left="0" w:right="0" w:hanging="0"/>
        <w:rPr>
          <w:caps w:val="false"/>
          <w:smallCaps w:val="false"/>
        </w:rPr>
      </w:pPr>
      <w:r>
        <w:rPr>
          <w:caps w:val="false"/>
          <w:smallCaps w:val="false"/>
        </w:rPr>
        <w:t> </w:t>
      </w:r>
    </w:p>
    <w:tbl>
      <w:tblPr>
        <w:tblW w:w="6418" w:type="dxa"/>
        <w:jc w:val="left"/>
        <w:tblInd w:w="0" w:type="dxa"/>
        <w:tblCellMar>
          <w:top w:w="0" w:type="dxa"/>
          <w:left w:w="0" w:type="dxa"/>
          <w:bottom w:w="0" w:type="dxa"/>
          <w:right w:w="0" w:type="dxa"/>
        </w:tblCellMar>
      </w:tblPr>
      <w:tblGrid>
        <w:gridCol w:w="4160"/>
        <w:gridCol w:w="60"/>
        <w:gridCol w:w="152"/>
        <w:gridCol w:w="722"/>
        <w:gridCol w:w="60"/>
        <w:gridCol w:w="60"/>
        <w:gridCol w:w="199"/>
        <w:gridCol w:w="945"/>
        <w:gridCol w:w="60"/>
      </w:tblGrid>
      <w:tr>
        <w:trPr/>
        <w:tc>
          <w:tcPr>
            <w:tcW w:w="41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41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41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Payroll and related expense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1,770</w:t>
            </w:r>
          </w:p>
        </w:tc>
        <w:tc>
          <w:tcPr>
            <w:tcW w:w="60" w:type="dxa"/>
            <w:tcBorders/>
            <w:shd w:fill="CCEEFF" w:val="clear"/>
            <w:vAlign w:val="center"/>
          </w:tcPr>
          <w:p>
            <w:pPr>
              <w:pStyle w:val="TableContents"/>
              <w:spacing w:before="0" w:after="283"/>
              <w:rPr/>
            </w:pPr>
            <w:r>
              <w:rPr/>
              <w:t> </w:t>
            </w:r>
          </w:p>
        </w:tc>
      </w:tr>
      <w:tr>
        <w:trPr/>
        <w:tc>
          <w:tcPr>
            <w:tcW w:w="416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Accrued expenses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rPr/>
            </w:pPr>
            <w:r>
              <w:rPr/>
              <w:t> </w:t>
            </w:r>
          </w:p>
        </w:tc>
        <w:tc>
          <w:tcPr>
            <w:tcW w:w="72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6,303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6,584</w:t>
            </w:r>
          </w:p>
        </w:tc>
        <w:tc>
          <w:tcPr>
            <w:tcW w:w="60" w:type="dxa"/>
            <w:tcBorders/>
            <w:shd w:fill="FFFFFF" w:val="clear"/>
            <w:vAlign w:val="center"/>
          </w:tcPr>
          <w:p>
            <w:pPr>
              <w:pStyle w:val="TableContents"/>
              <w:spacing w:before="0" w:after="283"/>
              <w:rPr/>
            </w:pPr>
            <w:r>
              <w:rPr/>
              <w:t> </w:t>
            </w:r>
          </w:p>
        </w:tc>
      </w:tr>
      <w:tr>
        <w:trPr/>
        <w:tc>
          <w:tcPr>
            <w:tcW w:w="41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Commission accrual</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3,780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4,529</w:t>
            </w:r>
          </w:p>
        </w:tc>
        <w:tc>
          <w:tcPr>
            <w:tcW w:w="60" w:type="dxa"/>
            <w:tcBorders/>
            <w:shd w:fill="CCEEFF" w:val="clear"/>
            <w:vAlign w:val="center"/>
          </w:tcPr>
          <w:p>
            <w:pPr>
              <w:pStyle w:val="TableContents"/>
              <w:spacing w:before="0" w:after="283"/>
              <w:rPr/>
            </w:pPr>
            <w:r>
              <w:rPr/>
              <w:t> </w:t>
            </w:r>
          </w:p>
        </w:tc>
      </w:tr>
      <w:tr>
        <w:trPr/>
        <w:tc>
          <w:tcPr>
            <w:tcW w:w="416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Sales and consumption taxes</w:t>
            </w:r>
          </w:p>
        </w:tc>
        <w:tc>
          <w:tcPr>
            <w:tcW w:w="60" w:type="dxa"/>
            <w:tcBorders/>
            <w:shd w:fill="FFFFFF" w:val="clear"/>
            <w:vAlign w:val="center"/>
          </w:tcPr>
          <w:p>
            <w:pPr>
              <w:pStyle w:val="TableContents"/>
              <w:spacing w:before="0" w:after="283"/>
              <w:ind w:left="0" w:right="0" w:hanging="0"/>
              <w:rPr/>
            </w:pPr>
            <w:r>
              <w:rPr/>
              <w:t> </w:t>
            </w:r>
          </w:p>
        </w:tc>
        <w:tc>
          <w:tcPr>
            <w:tcW w:w="15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22"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6,795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6,629</w:t>
            </w:r>
          </w:p>
        </w:tc>
        <w:tc>
          <w:tcPr>
            <w:tcW w:w="60" w:type="dxa"/>
            <w:tcBorders/>
            <w:shd w:fill="FFFFFF" w:val="clear"/>
            <w:vAlign w:val="center"/>
          </w:tcPr>
          <w:p>
            <w:pPr>
              <w:pStyle w:val="TableContents"/>
              <w:spacing w:before="0" w:after="283"/>
              <w:rPr/>
            </w:pPr>
            <w:r>
              <w:rPr/>
              <w:t> </w:t>
            </w:r>
          </w:p>
        </w:tc>
      </w:tr>
      <w:tr>
        <w:trPr/>
        <w:tc>
          <w:tcPr>
            <w:tcW w:w="41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accrued expenses and other current liabilities</w:t>
            </w:r>
          </w:p>
        </w:tc>
        <w:tc>
          <w:tcPr>
            <w:tcW w:w="60" w:type="dxa"/>
            <w:tcBorders/>
            <w:shd w:fill="CCEEFF" w:val="clear"/>
            <w:vAlign w:val="center"/>
          </w:tcPr>
          <w:p>
            <w:pPr>
              <w:pStyle w:val="TableContents"/>
              <w:spacing w:before="0" w:after="283"/>
              <w:ind w:left="0" w:right="0" w:hanging="0"/>
              <w:rPr/>
            </w:pPr>
            <w:r>
              <w:rPr/>
              <w:t> </w:t>
            </w:r>
          </w:p>
        </w:tc>
        <w:tc>
          <w:tcPr>
            <w:tcW w:w="15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19,512</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Warranty Accrual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 provides the details of the change in the Company’s warranty accrual:</w:t>
      </w:r>
    </w:p>
    <w:p>
      <w:pPr>
        <w:pStyle w:val="TextBody"/>
        <w:spacing w:before="0" w:after="0"/>
        <w:ind w:left="0" w:right="0" w:hanging="0"/>
        <w:rPr>
          <w:caps w:val="false"/>
          <w:smallCaps w:val="false"/>
        </w:rPr>
      </w:pPr>
      <w:r>
        <w:rPr>
          <w:caps w:val="false"/>
          <w:smallCaps w:val="false"/>
        </w:rPr>
        <w:t> </w:t>
      </w:r>
    </w:p>
    <w:tbl>
      <w:tblPr>
        <w:tblW w:w="5693" w:type="dxa"/>
        <w:jc w:val="left"/>
        <w:tblInd w:w="0" w:type="dxa"/>
        <w:tblCellMar>
          <w:top w:w="0" w:type="dxa"/>
          <w:left w:w="0" w:type="dxa"/>
          <w:bottom w:w="0" w:type="dxa"/>
          <w:right w:w="0" w:type="dxa"/>
        </w:tblCellMar>
      </w:tblPr>
      <w:tblGrid>
        <w:gridCol w:w="3395"/>
        <w:gridCol w:w="60"/>
        <w:gridCol w:w="179"/>
        <w:gridCol w:w="695"/>
        <w:gridCol w:w="80"/>
        <w:gridCol w:w="60"/>
        <w:gridCol w:w="212"/>
        <w:gridCol w:w="932"/>
        <w:gridCol w:w="80"/>
      </w:tblGrid>
      <w:tr>
        <w:trPr/>
        <w:tc>
          <w:tcPr>
            <w:tcW w:w="3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3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as of the beginning of the period</w:t>
            </w:r>
          </w:p>
        </w:tc>
        <w:tc>
          <w:tcPr>
            <w:tcW w:w="60" w:type="dxa"/>
            <w:tcBorders/>
            <w:shd w:fill="CCEEFF" w:val="clear"/>
            <w:vAlign w:val="center"/>
          </w:tcPr>
          <w:p>
            <w:pPr>
              <w:pStyle w:val="TableContents"/>
              <w:spacing w:before="0" w:after="283"/>
              <w:ind w:left="0" w:right="0" w:hanging="0"/>
              <w:rPr/>
            </w:pPr>
            <w:r>
              <w:rPr/>
              <w:t> </w:t>
            </w:r>
          </w:p>
        </w:tc>
        <w:tc>
          <w:tcPr>
            <w:tcW w:w="1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1,639</w:t>
            </w:r>
          </w:p>
        </w:tc>
        <w:tc>
          <w:tcPr>
            <w:tcW w:w="80" w:type="dxa"/>
            <w:tcBorders/>
            <w:shd w:fill="CCEEFF" w:val="clear"/>
            <w:vAlign w:val="center"/>
          </w:tcPr>
          <w:p>
            <w:pPr>
              <w:pStyle w:val="TableContents"/>
              <w:spacing w:before="0" w:after="283"/>
              <w:rPr/>
            </w:pPr>
            <w:r>
              <w:rPr/>
              <w:t> </w:t>
            </w:r>
          </w:p>
        </w:tc>
      </w:tr>
      <w:tr>
        <w:trPr/>
        <w:tc>
          <w:tcPr>
            <w:tcW w:w="33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Warranties issued during the period</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93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1,231</w:t>
            </w:r>
          </w:p>
        </w:tc>
        <w:tc>
          <w:tcPr>
            <w:tcW w:w="80" w:type="dxa"/>
            <w:tcBorders/>
            <w:shd w:fill="FFFFFF" w:val="clear"/>
            <w:vAlign w:val="center"/>
          </w:tcPr>
          <w:p>
            <w:pPr>
              <w:pStyle w:val="TableContents"/>
              <w:spacing w:before="0" w:after="283"/>
              <w:ind w:left="0" w:right="0" w:hanging="0"/>
              <w:rPr/>
            </w:pPr>
            <w:r>
              <w:rPr/>
              <w:t> </w:t>
            </w:r>
          </w:p>
        </w:tc>
      </w:tr>
      <w:tr>
        <w:trPr/>
        <w:tc>
          <w:tcPr>
            <w:tcW w:w="33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Warranty costs incurred during the period</w:t>
            </w:r>
          </w:p>
        </w:tc>
        <w:tc>
          <w:tcPr>
            <w:tcW w:w="60" w:type="dxa"/>
            <w:tcBorders/>
            <w:shd w:fill="CCEEFF" w:val="clear"/>
            <w:vAlign w:val="center"/>
          </w:tcPr>
          <w:p>
            <w:pPr>
              <w:pStyle w:val="TableContents"/>
              <w:spacing w:before="0" w:after="0"/>
              <w:ind w:left="0" w:right="0" w:hanging="0"/>
              <w:rPr/>
            </w:pPr>
            <w:r>
              <w:rPr/>
              <w:t> </w:t>
            </w:r>
          </w:p>
        </w:tc>
        <w:tc>
          <w:tcPr>
            <w:tcW w:w="17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(383</w:t>
            </w:r>
          </w:p>
        </w:tc>
        <w:tc>
          <w:tcPr>
            <w:tcW w:w="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0"/>
              <w:ind w:left="0" w:right="0" w:hanging="0"/>
              <w:rPr/>
            </w:pPr>
            <w:r>
              <w:rPr/>
              <w:t> </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(1,117</w:t>
            </w:r>
          </w:p>
        </w:tc>
        <w:tc>
          <w:tcPr>
            <w:tcW w:w="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33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at the end of the period</w:t>
            </w:r>
          </w:p>
        </w:tc>
        <w:tc>
          <w:tcPr>
            <w:tcW w:w="60" w:type="dxa"/>
            <w:tcBorders/>
            <w:shd w:fill="FFFFFF" w:val="clear"/>
            <w:vAlign w:val="center"/>
          </w:tcPr>
          <w:p>
            <w:pPr>
              <w:pStyle w:val="TableContents"/>
              <w:spacing w:before="0" w:after="0"/>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1,559</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12"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1,753</w:t>
            </w:r>
          </w:p>
        </w:tc>
        <w:tc>
          <w:tcPr>
            <w:tcW w:w="80" w:type="dxa"/>
            <w:tcBorders/>
            <w:shd w:fill="FFFFFF" w:val="clear"/>
            <w:vAlign w:val="center"/>
          </w:tcPr>
          <w:p>
            <w:pPr>
              <w:pStyle w:val="TableContents"/>
              <w:spacing w:before="0" w:after="0"/>
              <w:rPr/>
            </w:pPr>
            <w:r>
              <w:rPr/>
              <w:t> </w:t>
            </w:r>
          </w:p>
        </w:tc>
      </w:tr>
      <w:tr>
        <w:trPr/>
        <w:tc>
          <w:tcPr>
            <w:tcW w:w="3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93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1,245</w:t>
            </w:r>
          </w:p>
        </w:tc>
        <w:tc>
          <w:tcPr>
            <w:tcW w:w="80" w:type="dxa"/>
            <w:tcBorders/>
            <w:shd w:fill="CCEEFF" w:val="clear"/>
            <w:vAlign w:val="center"/>
          </w:tcPr>
          <w:p>
            <w:pPr>
              <w:pStyle w:val="TableContents"/>
              <w:spacing w:before="0" w:after="283"/>
              <w:ind w:left="0" w:right="0" w:hanging="0"/>
              <w:rPr/>
            </w:pPr>
            <w:r>
              <w:rPr/>
              <w:t> </w:t>
            </w:r>
          </w:p>
        </w:tc>
      </w:tr>
      <w:tr>
        <w:trPr/>
        <w:tc>
          <w:tcPr>
            <w:tcW w:w="33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Long-term</w:t>
            </w:r>
          </w:p>
        </w:tc>
        <w:tc>
          <w:tcPr>
            <w:tcW w:w="60" w:type="dxa"/>
            <w:tcBorders/>
            <w:shd w:fill="FFFFFF" w:val="clear"/>
            <w:vAlign w:val="center"/>
          </w:tcPr>
          <w:p>
            <w:pPr>
              <w:pStyle w:val="TableContents"/>
              <w:spacing w:before="0" w:after="0"/>
              <w:ind w:left="0" w:right="0" w:hanging="0"/>
              <w:rPr/>
            </w:pPr>
            <w:r>
              <w:rPr/>
              <w:t> </w:t>
            </w:r>
          </w:p>
        </w:tc>
        <w:tc>
          <w:tcPr>
            <w:tcW w:w="17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432</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1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32"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508</w:t>
            </w:r>
          </w:p>
        </w:tc>
        <w:tc>
          <w:tcPr>
            <w:tcW w:w="80" w:type="dxa"/>
            <w:tcBorders/>
            <w:shd w:fill="FFFFFF" w:val="clear"/>
            <w:vAlign w:val="center"/>
          </w:tcPr>
          <w:p>
            <w:pPr>
              <w:pStyle w:val="TableContents"/>
              <w:spacing w:before="0" w:after="0"/>
              <w:ind w:left="0" w:right="0" w:hanging="0"/>
              <w:rPr/>
            </w:pPr>
            <w:r>
              <w:rPr/>
              <w:t> </w:t>
            </w:r>
          </w:p>
        </w:tc>
      </w:tr>
      <w:tr>
        <w:trPr/>
        <w:tc>
          <w:tcPr>
            <w:tcW w:w="33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1,559</w:t>
            </w:r>
          </w:p>
        </w:tc>
        <w:tc>
          <w:tcPr>
            <w:tcW w:w="8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21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1,753</w:t>
            </w:r>
          </w:p>
        </w:tc>
        <w:tc>
          <w:tcPr>
            <w:tcW w:w="80" w:type="dxa"/>
            <w:tcBorders/>
            <w:shd w:fill="CCEEFF" w:val="clear"/>
            <w:vAlign w:val="center"/>
          </w:tcPr>
          <w:p>
            <w:pPr>
              <w:pStyle w:val="TableContents"/>
              <w:spacing w:before="0" w:after="0"/>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Finance Expenses</w:t>
      </w:r>
    </w:p>
    <w:p>
      <w:pPr>
        <w:pStyle w:val="TextBody"/>
        <w:spacing w:before="0" w:after="0"/>
        <w:ind w:left="0" w:right="0" w:hanging="0"/>
        <w:rPr>
          <w:caps w:val="false"/>
          <w:smallCaps w:val="false"/>
        </w:rPr>
      </w:pPr>
      <w:r>
        <w:rPr>
          <w:caps w:val="false"/>
          <w:smallCaps w:val="false"/>
        </w:rPr>
        <w:t> </w:t>
      </w:r>
    </w:p>
    <w:tbl>
      <w:tblPr>
        <w:tblW w:w="7088" w:type="dxa"/>
        <w:jc w:val="left"/>
        <w:tblInd w:w="0" w:type="dxa"/>
        <w:tblCellMar>
          <w:top w:w="0" w:type="dxa"/>
          <w:left w:w="0" w:type="dxa"/>
          <w:bottom w:w="0" w:type="dxa"/>
          <w:right w:w="0" w:type="dxa"/>
        </w:tblCellMar>
      </w:tblPr>
      <w:tblGrid>
        <w:gridCol w:w="4310"/>
        <w:gridCol w:w="60"/>
        <w:gridCol w:w="279"/>
        <w:gridCol w:w="748"/>
        <w:gridCol w:w="134"/>
        <w:gridCol w:w="134"/>
        <w:gridCol w:w="279"/>
        <w:gridCol w:w="1084"/>
        <w:gridCol w:w="60"/>
      </w:tblGrid>
      <w:tr>
        <w:trPr/>
        <w:tc>
          <w:tcPr>
            <w:tcW w:w="43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43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34"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136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4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858</w:t>
            </w:r>
          </w:p>
        </w:tc>
        <w:tc>
          <w:tcPr>
            <w:tcW w:w="134"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8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1,138</w:t>
            </w:r>
          </w:p>
        </w:tc>
        <w:tc>
          <w:tcPr>
            <w:tcW w:w="60" w:type="dxa"/>
            <w:tcBorders/>
            <w:shd w:fill="CCEEFF" w:val="clear"/>
            <w:vAlign w:val="center"/>
          </w:tcPr>
          <w:p>
            <w:pPr>
              <w:pStyle w:val="TableContents"/>
              <w:spacing w:before="0" w:after="283"/>
              <w:rPr/>
            </w:pPr>
            <w:r>
              <w:rPr/>
              <w:t> </w:t>
            </w:r>
          </w:p>
        </w:tc>
      </w:tr>
      <w:tr>
        <w:trPr/>
        <w:tc>
          <w:tcPr>
            <w:tcW w:w="431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Accretion on long-term debt and amortization of fees</w:t>
            </w:r>
          </w:p>
        </w:tc>
        <w:tc>
          <w:tcPr>
            <w:tcW w:w="60" w:type="dxa"/>
            <w:tcBorders/>
            <w:shd w:fill="FFFFFF" w:val="clear"/>
            <w:vAlign w:val="center"/>
          </w:tcPr>
          <w:p>
            <w:pPr>
              <w:pStyle w:val="TableContents"/>
              <w:spacing w:before="0" w:after="283"/>
              <w:ind w:left="0" w:right="0" w:hanging="0"/>
              <w:rPr/>
            </w:pPr>
            <w:r>
              <w:rPr/>
              <w:t> </w:t>
            </w:r>
          </w:p>
        </w:tc>
        <w:tc>
          <w:tcPr>
            <w:tcW w:w="27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4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65</w:t>
            </w:r>
          </w:p>
        </w:tc>
        <w:tc>
          <w:tcPr>
            <w:tcW w:w="134"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27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4"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747</w:t>
            </w:r>
          </w:p>
        </w:tc>
        <w:tc>
          <w:tcPr>
            <w:tcW w:w="60" w:type="dxa"/>
            <w:tcBorders/>
            <w:shd w:fill="FFFFFF" w:val="clear"/>
            <w:vAlign w:val="center"/>
          </w:tcPr>
          <w:p>
            <w:pPr>
              <w:pStyle w:val="TableContents"/>
              <w:spacing w:before="0" w:after="283"/>
              <w:rPr/>
            </w:pPr>
            <w:r>
              <w:rPr/>
              <w:t> </w:t>
            </w:r>
          </w:p>
        </w:tc>
      </w:tr>
      <w:tr>
        <w:trPr/>
        <w:tc>
          <w:tcPr>
            <w:tcW w:w="43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finance expenses</w:t>
            </w:r>
          </w:p>
        </w:tc>
        <w:tc>
          <w:tcPr>
            <w:tcW w:w="60" w:type="dxa"/>
            <w:tcBorders/>
            <w:shd w:fill="CCEEFF" w:val="clear"/>
            <w:vAlign w:val="center"/>
          </w:tcPr>
          <w:p>
            <w:pPr>
              <w:pStyle w:val="TableContents"/>
              <w:spacing w:before="0" w:after="283"/>
              <w:ind w:left="0" w:right="0" w:hanging="0"/>
              <w:rPr/>
            </w:pPr>
            <w:r>
              <w:rPr/>
              <w:t> </w:t>
            </w:r>
          </w:p>
        </w:tc>
        <w:tc>
          <w:tcPr>
            <w:tcW w:w="2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923</w:t>
            </w:r>
          </w:p>
        </w:tc>
        <w:tc>
          <w:tcPr>
            <w:tcW w:w="134"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2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8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1,885</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INTANGIBLE ASSETS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Intangible assets net of accumulated amortization and goodwill were as follows:</w:t>
      </w:r>
    </w:p>
    <w:p>
      <w:pPr>
        <w:pStyle w:val="TextBody"/>
        <w:spacing w:before="0" w:after="0"/>
        <w:ind w:left="0" w:right="0" w:hanging="0"/>
        <w:rPr>
          <w:caps w:val="false"/>
          <w:smallCaps w:val="false"/>
        </w:rPr>
      </w:pPr>
      <w:r>
        <w:rPr>
          <w:caps w:val="false"/>
          <w:smallCaps w:val="false"/>
        </w:rPr>
        <w:t> </w:t>
      </w:r>
    </w:p>
    <w:tbl>
      <w:tblPr>
        <w:tblW w:w="6727" w:type="dxa"/>
        <w:jc w:val="left"/>
        <w:tblInd w:w="0" w:type="dxa"/>
        <w:tblCellMar>
          <w:top w:w="0" w:type="dxa"/>
          <w:left w:w="0" w:type="dxa"/>
          <w:bottom w:w="0" w:type="dxa"/>
          <w:right w:w="0" w:type="dxa"/>
        </w:tblCellMar>
      </w:tblPr>
      <w:tblGrid>
        <w:gridCol w:w="1895"/>
        <w:gridCol w:w="60"/>
        <w:gridCol w:w="208"/>
        <w:gridCol w:w="981"/>
        <w:gridCol w:w="60"/>
        <w:gridCol w:w="60"/>
        <w:gridCol w:w="420"/>
        <w:gridCol w:w="1834"/>
        <w:gridCol w:w="80"/>
        <w:gridCol w:w="60"/>
        <w:gridCol w:w="176"/>
        <w:gridCol w:w="833"/>
        <w:gridCol w:w="60"/>
      </w:tblGrid>
      <w:tr>
        <w:trPr/>
        <w:tc>
          <w:tcPr>
            <w:tcW w:w="18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712"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At March 31, 2022</w:t>
            </w:r>
          </w:p>
        </w:tc>
        <w:tc>
          <w:tcPr>
            <w:tcW w:w="60" w:type="dxa"/>
            <w:tcBorders/>
            <w:shd w:fill="FFFF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Net Amount</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Customer relationships</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2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83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(359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1,041</w:t>
            </w:r>
          </w:p>
        </w:tc>
        <w:tc>
          <w:tcPr>
            <w:tcW w:w="60" w:type="dxa"/>
            <w:tcBorders/>
            <w:shd w:fill="CCEE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Brand</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rPr/>
            </w:pPr>
            <w:r>
              <w:rPr/>
              <w:t> </w:t>
            </w:r>
          </w:p>
        </w:tc>
        <w:tc>
          <w:tcPr>
            <w:tcW w:w="98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183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(868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1,632</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Technology</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98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16,900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20" w:type="dxa"/>
            <w:tcBorders/>
            <w:shd w:fill="CCEEFF" w:val="clear"/>
            <w:vAlign w:val="center"/>
          </w:tcPr>
          <w:p>
            <w:pPr>
              <w:pStyle w:val="TableContents"/>
              <w:spacing w:before="0" w:after="283"/>
              <w:rPr/>
            </w:pPr>
            <w:r>
              <w:rPr/>
              <w:t> </w:t>
            </w:r>
          </w:p>
        </w:tc>
        <w:tc>
          <w:tcPr>
            <w:tcW w:w="183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(6,796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10,104</w:t>
            </w:r>
          </w:p>
        </w:tc>
        <w:tc>
          <w:tcPr>
            <w:tcW w:w="60" w:type="dxa"/>
            <w:tcBorders/>
            <w:shd w:fill="CCEE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Supplier agreement</w:t>
            </w:r>
          </w:p>
        </w:tc>
        <w:tc>
          <w:tcPr>
            <w:tcW w:w="60" w:type="dxa"/>
            <w:tcBorders/>
            <w:shd w:fill="FFFFFF" w:val="clear"/>
            <w:vAlign w:val="center"/>
          </w:tcPr>
          <w:p>
            <w:pPr>
              <w:pStyle w:val="TableContents"/>
              <w:spacing w:before="0" w:after="283"/>
              <w:ind w:left="0" w:right="0" w:hanging="0"/>
              <w:rPr/>
            </w:pPr>
            <w:r>
              <w:rPr/>
              <w:t> </w:t>
            </w:r>
          </w:p>
        </w:tc>
        <w:tc>
          <w:tcPr>
            <w:tcW w:w="20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81"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834"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(1,241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7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3"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1,759</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spacing w:before="0" w:after="283"/>
              <w:ind w:left="0" w:right="0" w:hanging="0"/>
              <w:rPr/>
            </w:pPr>
            <w:r>
              <w:rPr/>
              <w:t> </w:t>
            </w:r>
          </w:p>
        </w:tc>
        <w:tc>
          <w:tcPr>
            <w:tcW w:w="20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8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(9,264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14,536</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6727" w:type="dxa"/>
        <w:jc w:val="left"/>
        <w:tblInd w:w="0" w:type="dxa"/>
        <w:tblCellMar>
          <w:top w:w="0" w:type="dxa"/>
          <w:left w:w="0" w:type="dxa"/>
          <w:bottom w:w="0" w:type="dxa"/>
          <w:right w:w="0" w:type="dxa"/>
        </w:tblCellMar>
      </w:tblPr>
      <w:tblGrid>
        <w:gridCol w:w="1895"/>
        <w:gridCol w:w="60"/>
        <w:gridCol w:w="208"/>
        <w:gridCol w:w="981"/>
        <w:gridCol w:w="60"/>
        <w:gridCol w:w="60"/>
        <w:gridCol w:w="420"/>
        <w:gridCol w:w="1834"/>
        <w:gridCol w:w="80"/>
        <w:gridCol w:w="60"/>
        <w:gridCol w:w="176"/>
        <w:gridCol w:w="833"/>
        <w:gridCol w:w="60"/>
      </w:tblGrid>
      <w:tr>
        <w:trPr/>
        <w:tc>
          <w:tcPr>
            <w:tcW w:w="18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712"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At December 31, 2021</w:t>
            </w:r>
          </w:p>
        </w:tc>
        <w:tc>
          <w:tcPr>
            <w:tcW w:w="60" w:type="dxa"/>
            <w:tcBorders/>
            <w:shd w:fill="FFFF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Net Amount</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spacing w:before="0" w:after="283"/>
              <w:ind w:left="0" w:right="0" w:hanging="0"/>
              <w:rPr/>
            </w:pPr>
            <w:r>
              <w:rPr/>
              <w:t> </w:t>
            </w:r>
          </w:p>
        </w:tc>
        <w:tc>
          <w:tcPr>
            <w:tcW w:w="20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8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7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1,064</w:t>
            </w:r>
          </w:p>
        </w:tc>
        <w:tc>
          <w:tcPr>
            <w:tcW w:w="60" w:type="dxa"/>
            <w:tcBorders/>
            <w:shd w:fill="CCEE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Brand</w:t>
            </w:r>
          </w:p>
        </w:tc>
        <w:tc>
          <w:tcPr>
            <w:tcW w:w="60"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ind w:left="0" w:right="0" w:hanging="0"/>
              <w:rPr/>
            </w:pPr>
            <w:r>
              <w:rPr/>
              <w:t> </w:t>
            </w:r>
          </w:p>
        </w:tc>
        <w:tc>
          <w:tcPr>
            <w:tcW w:w="98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ind w:left="0" w:right="0" w:hanging="0"/>
              <w:rPr/>
            </w:pPr>
            <w:r>
              <w:rPr/>
              <w:t> </w:t>
            </w:r>
          </w:p>
        </w:tc>
        <w:tc>
          <w:tcPr>
            <w:tcW w:w="183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1,697</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Technology</w:t>
            </w:r>
          </w:p>
        </w:tc>
        <w:tc>
          <w:tcPr>
            <w:tcW w:w="6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ind w:left="0" w:right="0" w:hanging="0"/>
              <w:rPr/>
            </w:pPr>
            <w:r>
              <w:rPr/>
              <w:t> </w:t>
            </w:r>
          </w:p>
        </w:tc>
        <w:tc>
          <w:tcPr>
            <w:tcW w:w="9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20" w:type="dxa"/>
            <w:tcBorders/>
            <w:shd w:fill="CCEEFF" w:val="clear"/>
            <w:vAlign w:val="center"/>
          </w:tcPr>
          <w:p>
            <w:pPr>
              <w:pStyle w:val="TableContents"/>
              <w:spacing w:before="0" w:after="283"/>
              <w:ind w:left="0" w:right="0" w:hanging="0"/>
              <w:rPr/>
            </w:pPr>
            <w:r>
              <w:rPr/>
              <w:t> </w:t>
            </w:r>
          </w:p>
        </w:tc>
        <w:tc>
          <w:tcPr>
            <w:tcW w:w="18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(6,103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10,797</w:t>
            </w:r>
          </w:p>
        </w:tc>
        <w:tc>
          <w:tcPr>
            <w:tcW w:w="60" w:type="dxa"/>
            <w:tcBorders/>
            <w:shd w:fill="CCEE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Supplier agreement</w:t>
            </w:r>
          </w:p>
        </w:tc>
        <w:tc>
          <w:tcPr>
            <w:tcW w:w="60" w:type="dxa"/>
            <w:tcBorders/>
            <w:shd w:fill="FFFFFF" w:val="clear"/>
            <w:vAlign w:val="center"/>
          </w:tcPr>
          <w:p>
            <w:pPr>
              <w:pStyle w:val="TableContents"/>
              <w:spacing w:before="0" w:after="283"/>
              <w:rPr/>
            </w:pPr>
            <w:r>
              <w:rPr/>
              <w:t> </w:t>
            </w:r>
          </w:p>
        </w:tc>
        <w:tc>
          <w:tcPr>
            <w:tcW w:w="20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8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8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1,835</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spacing w:before="0" w:after="283"/>
              <w:ind w:left="0" w:right="0" w:hanging="0"/>
              <w:rPr/>
            </w:pPr>
            <w:r>
              <w:rPr/>
              <w:t> </w:t>
            </w:r>
          </w:p>
        </w:tc>
        <w:tc>
          <w:tcPr>
            <w:tcW w:w="20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2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8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(8,407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15,393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For the three months ended March 31, 2022 and 2021, amortization expense was $857 and $856, respectively.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Times New Roman" w:hAnsi="Times New Roman"/>
          <w:caps w:val="false"/>
          <w:smallCaps w:val="false"/>
          <w:sz w:val="20"/>
        </w:rPr>
        <w:t xml:space="preserve">Estimated amortization expense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fiscal years and all years thereafter are as follows:</w:t>
      </w:r>
    </w:p>
    <w:p>
      <w:pPr>
        <w:pStyle w:val="TextBody"/>
        <w:spacing w:before="0" w:after="0"/>
        <w:ind w:left="0" w:right="0" w:hanging="0"/>
        <w:rPr>
          <w:caps w:val="false"/>
          <w:smallCaps w:val="false"/>
        </w:rPr>
      </w:pPr>
      <w:r>
        <w:rPr>
          <w:caps w:val="false"/>
          <w:smallCaps w:val="false"/>
        </w:rPr>
        <w:t> </w:t>
      </w:r>
    </w:p>
    <w:tbl>
      <w:tblPr>
        <w:tblW w:w="3165" w:type="dxa"/>
        <w:jc w:val="left"/>
        <w:tblInd w:w="0" w:type="dxa"/>
        <w:tblCellMar>
          <w:top w:w="0" w:type="dxa"/>
          <w:left w:w="0" w:type="dxa"/>
          <w:bottom w:w="0" w:type="dxa"/>
          <w:right w:w="0" w:type="dxa"/>
        </w:tblCellMar>
      </w:tblPr>
      <w:tblGrid>
        <w:gridCol w:w="2330"/>
        <w:gridCol w:w="60"/>
        <w:gridCol w:w="125"/>
        <w:gridCol w:w="590"/>
        <w:gridCol w:w="60"/>
      </w:tblGrid>
      <w:tr>
        <w:trPr/>
        <w:tc>
          <w:tcPr>
            <w:tcW w:w="2330" w:type="dxa"/>
            <w:tcBorders/>
            <w:shd w:fill="FFFFFF" w:val="clear"/>
            <w:vAlign w:val="center"/>
          </w:tcPr>
          <w:p>
            <w:pPr>
              <w:pStyle w:val="TableContents"/>
              <w:spacing w:before="0" w:after="0"/>
              <w:rPr>
                <w:rFonts w:ascii="Times New Roman" w:hAnsi="Times New Roman"/>
                <w:b/>
                <w:caps w:val="false"/>
                <w:smallCaps w:val="false"/>
                <w:sz w:val="20"/>
                <w:u w:val="single"/>
              </w:rPr>
            </w:pPr>
            <w:r>
              <w:rPr>
                <w:rFonts w:ascii="Times New Roman" w:hAnsi="Times New Roman"/>
                <w:b/>
                <w:caps w:val="false"/>
                <w:smallCaps w:val="false"/>
                <w:sz w:val="20"/>
                <w:u w:val="single"/>
              </w:rPr>
              <w:t>Years ending December 31,</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2,617</w:t>
            </w:r>
          </w:p>
        </w:tc>
        <w:tc>
          <w:tcPr>
            <w:tcW w:w="60" w:type="dxa"/>
            <w:tcBorders/>
            <w:shd w:fill="CCEEFF" w:val="clear"/>
            <w:vAlign w:val="center"/>
          </w:tcPr>
          <w:p>
            <w:pPr>
              <w:pStyle w:val="TableContents"/>
              <w:spacing w:before="0" w:after="283"/>
              <w:rPr/>
            </w:pPr>
            <w:r>
              <w:rPr/>
              <w:t> </w:t>
            </w:r>
          </w:p>
        </w:tc>
      </w:tr>
      <w:tr>
        <w:trPr/>
        <w:tc>
          <w:tcPr>
            <w:tcW w:w="23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3,473</w:t>
            </w:r>
          </w:p>
        </w:tc>
        <w:tc>
          <w:tcPr>
            <w:tcW w:w="60" w:type="dxa"/>
            <w:tcBorders/>
            <w:shd w:fill="FFFFFF"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3,473</w:t>
            </w:r>
          </w:p>
        </w:tc>
        <w:tc>
          <w:tcPr>
            <w:tcW w:w="60" w:type="dxa"/>
            <w:tcBorders/>
            <w:shd w:fill="CCEEFF" w:val="clear"/>
            <w:vAlign w:val="center"/>
          </w:tcPr>
          <w:p>
            <w:pPr>
              <w:pStyle w:val="TableContents"/>
              <w:spacing w:before="0" w:after="283"/>
              <w:rPr/>
            </w:pPr>
            <w:r>
              <w:rPr/>
              <w:t> </w:t>
            </w:r>
          </w:p>
        </w:tc>
      </w:tr>
      <w:tr>
        <w:trPr/>
        <w:tc>
          <w:tcPr>
            <w:tcW w:w="23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2025</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3,004</w:t>
            </w:r>
          </w:p>
        </w:tc>
        <w:tc>
          <w:tcPr>
            <w:tcW w:w="60" w:type="dxa"/>
            <w:tcBorders/>
            <w:shd w:fill="FFFFFF"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2026</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657</w:t>
            </w:r>
          </w:p>
        </w:tc>
        <w:tc>
          <w:tcPr>
            <w:tcW w:w="60" w:type="dxa"/>
            <w:tcBorders/>
            <w:shd w:fill="CCEEFF" w:val="clear"/>
            <w:vAlign w:val="center"/>
          </w:tcPr>
          <w:p>
            <w:pPr>
              <w:pStyle w:val="TableContents"/>
              <w:spacing w:before="0" w:after="283"/>
              <w:ind w:left="0" w:right="0" w:hanging="0"/>
              <w:rPr/>
            </w:pPr>
            <w:r>
              <w:rPr/>
              <w:t> </w:t>
            </w:r>
          </w:p>
        </w:tc>
      </w:tr>
      <w:tr>
        <w:trPr/>
        <w:tc>
          <w:tcPr>
            <w:tcW w:w="233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spacing w:before="0" w:after="0"/>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1,312</w:t>
            </w:r>
          </w:p>
        </w:tc>
        <w:tc>
          <w:tcPr>
            <w:tcW w:w="60" w:type="dxa"/>
            <w:tcBorders/>
            <w:shd w:fill="FFFFFF" w:val="clear"/>
            <w:vAlign w:val="center"/>
          </w:tcPr>
          <w:p>
            <w:pPr>
              <w:pStyle w:val="TableContents"/>
              <w:spacing w:before="0" w:after="0"/>
              <w:rPr/>
            </w:pPr>
            <w:r>
              <w:rPr/>
              <w:t> </w:t>
            </w:r>
          </w:p>
        </w:tc>
      </w:tr>
      <w:tr>
        <w:trPr/>
        <w:tc>
          <w:tcPr>
            <w:tcW w:w="23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14,536</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r>
        <w:rPr>
          <w:rFonts w:ascii="Times New Roman" w:hAnsi="Times New Roman"/>
          <w:caps w:val="false"/>
          <w:smallCaps w:val="false"/>
          <w:sz w:val="20"/>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and its subsidiaries have various operating lease agreements, which expire on various 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Aggregate future minimum lease payments, and service and purchase commitments with manufacturers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are as follows:</w:t>
      </w:r>
    </w:p>
    <w:p>
      <w:pPr>
        <w:pStyle w:val="TextBody"/>
        <w:spacing w:before="0" w:after="0"/>
        <w:ind w:left="0" w:right="0" w:hanging="0"/>
        <w:jc w:val="both"/>
        <w:rPr>
          <w:caps w:val="false"/>
          <w:smallCaps w:val="false"/>
        </w:rPr>
      </w:pPr>
      <w:r>
        <w:rPr>
          <w:caps w:val="false"/>
          <w:smallCaps w:val="false"/>
        </w:rPr>
        <w:t> </w:t>
      </w:r>
    </w:p>
    <w:tbl>
      <w:tblPr>
        <w:tblW w:w="7418" w:type="dxa"/>
        <w:jc w:val="left"/>
        <w:tblInd w:w="0" w:type="dxa"/>
        <w:tblCellMar>
          <w:top w:w="0" w:type="dxa"/>
          <w:left w:w="0" w:type="dxa"/>
          <w:bottom w:w="0" w:type="dxa"/>
          <w:right w:w="0" w:type="dxa"/>
        </w:tblCellMar>
      </w:tblPr>
      <w:tblGrid>
        <w:gridCol w:w="2330"/>
        <w:gridCol w:w="60"/>
        <w:gridCol w:w="213"/>
        <w:gridCol w:w="826"/>
        <w:gridCol w:w="60"/>
        <w:gridCol w:w="60"/>
        <w:gridCol w:w="518"/>
        <w:gridCol w:w="2456"/>
        <w:gridCol w:w="60"/>
        <w:gridCol w:w="60"/>
        <w:gridCol w:w="125"/>
        <w:gridCol w:w="590"/>
        <w:gridCol w:w="60"/>
      </w:tblGrid>
      <w:tr>
        <w:trPr/>
        <w:tc>
          <w:tcPr>
            <w:tcW w:w="2330" w:type="dxa"/>
            <w:tcBorders/>
            <w:shd w:fill="FFFFFF" w:val="clear"/>
            <w:vAlign w:val="center"/>
          </w:tcPr>
          <w:p>
            <w:pPr>
              <w:pStyle w:val="TableContents"/>
              <w:spacing w:before="0" w:after="0"/>
              <w:rPr>
                <w:rFonts w:ascii="Times New Roman" w:hAnsi="Times New Roman"/>
                <w:b/>
                <w:caps w:val="false"/>
                <w:smallCaps w:val="false"/>
                <w:sz w:val="20"/>
                <w:u w:val="single"/>
              </w:rPr>
            </w:pPr>
            <w:r>
              <w:rPr>
                <w:rFonts w:ascii="Times New Roman" w:hAnsi="Times New Roman"/>
                <w:b/>
                <w:caps w:val="false"/>
                <w:smallCaps w:val="false"/>
                <w:sz w:val="20"/>
                <w:u w:val="single"/>
              </w:rPr>
              <w:t>Years ending December 31,</w:t>
            </w:r>
          </w:p>
        </w:tc>
        <w:tc>
          <w:tcPr>
            <w:tcW w:w="60" w:type="dxa"/>
            <w:tcBorders/>
            <w:shd w:fill="FFFFFF" w:val="clear"/>
            <w:vAlign w:val="center"/>
          </w:tcPr>
          <w:p>
            <w:pPr>
              <w:pStyle w:val="TableContents"/>
              <w:spacing w:before="0" w:after="283"/>
              <w:ind w:left="0" w:right="0" w:hanging="0"/>
              <w:rPr/>
            </w:pPr>
            <w:r>
              <w:rPr/>
              <w:t> </w:t>
            </w:r>
          </w:p>
        </w:tc>
        <w:tc>
          <w:tcPr>
            <w:tcW w:w="10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Office Lease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Purchase and Service Commitments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883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24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18,551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19,434</w:t>
            </w:r>
          </w:p>
        </w:tc>
        <w:tc>
          <w:tcPr>
            <w:tcW w:w="60" w:type="dxa"/>
            <w:tcBorders/>
            <w:shd w:fill="CCEEFF" w:val="clear"/>
            <w:vAlign w:val="center"/>
          </w:tcPr>
          <w:p>
            <w:pPr>
              <w:pStyle w:val="TableContents"/>
              <w:spacing w:before="0" w:after="283"/>
              <w:rPr/>
            </w:pPr>
            <w:r>
              <w:rPr/>
              <w:t> </w:t>
            </w:r>
          </w:p>
        </w:tc>
      </w:tr>
      <w:tr>
        <w:trPr/>
        <w:tc>
          <w:tcPr>
            <w:tcW w:w="23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1,255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18" w:type="dxa"/>
            <w:tcBorders/>
            <w:shd w:fill="FFFFFF" w:val="clear"/>
            <w:vAlign w:val="center"/>
          </w:tcPr>
          <w:p>
            <w:pPr>
              <w:pStyle w:val="TableContents"/>
              <w:spacing w:before="0" w:after="283"/>
              <w:rPr/>
            </w:pPr>
            <w:r>
              <w:rPr/>
              <w:t> </w:t>
            </w:r>
          </w:p>
        </w:tc>
        <w:tc>
          <w:tcPr>
            <w:tcW w:w="2456" w:type="dxa"/>
            <w:tcBorders/>
            <w:shd w:fill="FFFF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1,255</w:t>
            </w:r>
          </w:p>
        </w:tc>
        <w:tc>
          <w:tcPr>
            <w:tcW w:w="60" w:type="dxa"/>
            <w:tcBorders/>
            <w:shd w:fill="FFFFFF"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rPr/>
            </w:pPr>
            <w:r>
              <w:rPr/>
              <w:t> </w:t>
            </w:r>
          </w:p>
        </w:tc>
        <w:tc>
          <w:tcPr>
            <w:tcW w:w="2456" w:type="dxa"/>
            <w:tcBorders/>
            <w:shd w:fill="CCEE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1,112</w:t>
            </w:r>
          </w:p>
        </w:tc>
        <w:tc>
          <w:tcPr>
            <w:tcW w:w="60" w:type="dxa"/>
            <w:tcBorders/>
            <w:shd w:fill="CCEEFF" w:val="clear"/>
            <w:vAlign w:val="center"/>
          </w:tcPr>
          <w:p>
            <w:pPr>
              <w:pStyle w:val="TableContents"/>
              <w:spacing w:before="0" w:after="283"/>
              <w:rPr/>
            </w:pPr>
            <w:r>
              <w:rPr/>
              <w:t> </w:t>
            </w:r>
          </w:p>
        </w:tc>
      </w:tr>
      <w:tr>
        <w:trPr/>
        <w:tc>
          <w:tcPr>
            <w:tcW w:w="23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2025</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1,055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18" w:type="dxa"/>
            <w:tcBorders/>
            <w:shd w:fill="FFFFFF" w:val="clear"/>
            <w:vAlign w:val="center"/>
          </w:tcPr>
          <w:p>
            <w:pPr>
              <w:pStyle w:val="TableContents"/>
              <w:spacing w:before="0" w:after="283"/>
              <w:rPr/>
            </w:pPr>
            <w:r>
              <w:rPr/>
              <w:t> </w:t>
            </w:r>
          </w:p>
        </w:tc>
        <w:tc>
          <w:tcPr>
            <w:tcW w:w="2456" w:type="dxa"/>
            <w:tcBorders/>
            <w:shd w:fill="FFFF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1,055</w:t>
            </w:r>
          </w:p>
        </w:tc>
        <w:tc>
          <w:tcPr>
            <w:tcW w:w="60" w:type="dxa"/>
            <w:tcBorders/>
            <w:shd w:fill="FFFFFF"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2026</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1,036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rPr/>
            </w:pPr>
            <w:r>
              <w:rPr/>
              <w:t> </w:t>
            </w:r>
          </w:p>
        </w:tc>
        <w:tc>
          <w:tcPr>
            <w:tcW w:w="2456" w:type="dxa"/>
            <w:tcBorders/>
            <w:shd w:fill="CCEE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1,036</w:t>
            </w:r>
          </w:p>
        </w:tc>
        <w:tc>
          <w:tcPr>
            <w:tcW w:w="60" w:type="dxa"/>
            <w:tcBorders/>
            <w:shd w:fill="CCEEFF" w:val="clear"/>
            <w:vAlign w:val="center"/>
          </w:tcPr>
          <w:p>
            <w:pPr>
              <w:pStyle w:val="TableContents"/>
              <w:spacing w:before="0" w:after="283"/>
              <w:rPr/>
            </w:pPr>
            <w:r>
              <w:rPr/>
              <w:t> </w:t>
            </w:r>
          </w:p>
        </w:tc>
      </w:tr>
      <w:tr>
        <w:trPr/>
        <w:tc>
          <w:tcPr>
            <w:tcW w:w="23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spacing w:before="0" w:after="283"/>
              <w:ind w:left="0" w:right="0" w:hanging="0"/>
              <w:rPr/>
            </w:pPr>
            <w:r>
              <w:rPr/>
              <w:t> </w:t>
            </w:r>
          </w:p>
        </w:tc>
        <w:tc>
          <w:tcPr>
            <w:tcW w:w="21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1,307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1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2456" w:type="dxa"/>
            <w:tcBorders>
              <w:bottom w:val="single" w:sz="2" w:space="0" w:color="000000"/>
            </w:tcBorders>
            <w:shd w:fill="FFFFFF" w:val="clear"/>
            <w:tcMar>
              <w:bottom w:w="28" w:type="dxa"/>
            </w:tcMar>
            <w:vAlign w:val="center"/>
          </w:tcPr>
          <w:p>
            <w:pPr>
              <w:pStyle w:val="TableContents"/>
              <w:spacing w:before="0" w:after="0"/>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1,307</w:t>
            </w:r>
          </w:p>
        </w:tc>
        <w:tc>
          <w:tcPr>
            <w:tcW w:w="60" w:type="dxa"/>
            <w:tcBorders/>
            <w:shd w:fill="FFFFFF"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21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6,648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1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45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25,199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total rent expense for all operating leases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were $678 and $571,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the Company has non-cancellable purchase orders placed with its contract manufacturers in the amount of $16,602. In addition,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the Company had $5,744 of open purchase orders that can be cancelled with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days’ notice, except for a portion equal to 25% of the total amount representing the purchase of “long lead items”.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25, 2021, </w:t>
      </w:r>
      <w:r>
        <w:rPr>
          <w:rFonts w:ascii="Times New Roman" w:hAnsi="Times New Roman"/>
          <w:caps w:val="false"/>
          <w:smallCaps w:val="false"/>
          <w:sz w:val="20"/>
        </w:rPr>
        <w:t xml:space="preserve">the Company entered into an endorsement agreement for the services of Venus Williams,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-time Olympic Gold Medalist,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-time Grand Slam Champion and entrepreneur, pursuant to which Ms. Williams will act as a brand ambassador for Venus Bliss. The endorsement agreement will expire </w:t>
      </w:r>
      <w:r>
        <w:rPr>
          <w:rStyle w:val="Emphasis"/>
          <w:rFonts w:ascii="Times New Roman" w:hAnsi="Times New Roman"/>
          <w:caps w:val="false"/>
          <w:smallCaps w:val="false"/>
          <w:sz w:val="20"/>
        </w:rPr>
        <w:t xml:space="preserve">November 1, 2022, </w:t>
      </w:r>
      <w:r>
        <w:rPr>
          <w:rFonts w:ascii="Times New Roman" w:hAnsi="Times New Roman"/>
          <w:caps w:val="false"/>
          <w:smallCaps w:val="false"/>
          <w:sz w:val="20"/>
        </w:rPr>
        <w:t>unless the Company exercises an optional term extension for an additional cost.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Purported Shareholder Class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putative shareholder class action complaints were filed against Restoration Robotics, Inc., certain of its former officers and directors, certain of its venture capital investors, and the underwriters of the initial public offering (“IPO”). Two claims, captioned Wong v. Restoration Robotics, Inc., et al.,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18CIV02609,</w:t>
      </w:r>
      <w:r>
        <w:rPr>
          <w:rFonts w:ascii="Times New Roman" w:hAnsi="Times New Roman"/>
          <w:caps w:val="false"/>
          <w:smallCaps w:val="false"/>
          <w:sz w:val="20"/>
        </w:rPr>
        <w:t xml:space="preserve"> and Li v. Restoration Robotics, Inc., et al.,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19CIV08173</w:t>
      </w:r>
      <w:r>
        <w:rPr>
          <w:rFonts w:ascii="Times New Roman" w:hAnsi="Times New Roman"/>
          <w:caps w:val="false"/>
          <w:smallCaps w:val="false"/>
          <w:sz w:val="20"/>
        </w:rPr>
        <w:t xml:space="preserve"> (together, the “State Actions”), were filed in the Superior Court of the State of California, County of San Mateo, and assert claims under Sections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Act. Two additional claims, captioned Guerrini v. Restoration Robotics, Inc., et al.,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5:18</w:t>
      </w:r>
      <w:r>
        <w:rPr>
          <w:rFonts w:ascii="Times New Roman" w:hAnsi="Times New Roman"/>
          <w:caps w:val="false"/>
          <w:smallCaps w:val="false"/>
          <w:sz w:val="20"/>
        </w:rPr>
        <w:t>-cv-</w:t>
      </w:r>
      <w:r>
        <w:rPr>
          <w:rStyle w:val="Emphasis"/>
          <w:rFonts w:ascii="Times New Roman" w:hAnsi="Times New Roman"/>
          <w:caps w:val="false"/>
          <w:smallCaps w:val="false"/>
          <w:sz w:val="20"/>
        </w:rPr>
        <w:t>03712</w:t>
      </w:r>
      <w:r>
        <w:rPr>
          <w:rFonts w:ascii="Times New Roman" w:hAnsi="Times New Roman"/>
          <w:caps w:val="false"/>
          <w:smallCaps w:val="false"/>
          <w:sz w:val="20"/>
        </w:rPr>
        <w:t xml:space="preserve">-EJD and Yzeiraj v. Restoration Robotics, Inc., et al.,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5:18</w:t>
      </w:r>
      <w:r>
        <w:rPr>
          <w:rFonts w:ascii="Times New Roman" w:hAnsi="Times New Roman"/>
          <w:caps w:val="false"/>
          <w:smallCaps w:val="false"/>
          <w:sz w:val="20"/>
        </w:rPr>
        <w:t>-cv-</w:t>
      </w:r>
      <w:r>
        <w:rPr>
          <w:rStyle w:val="Emphasis"/>
          <w:rFonts w:ascii="Times New Roman" w:hAnsi="Times New Roman"/>
          <w:caps w:val="false"/>
          <w:smallCaps w:val="false"/>
          <w:sz w:val="20"/>
        </w:rPr>
        <w:t>03883</w:t>
      </w:r>
      <w:r>
        <w:rPr>
          <w:rFonts w:ascii="Times New Roman" w:hAnsi="Times New Roman"/>
          <w:caps w:val="false"/>
          <w:smallCaps w:val="false"/>
          <w:sz w:val="20"/>
        </w:rPr>
        <w:t xml:space="preserve">-BLF (together, the “Federal Actions”), were filed in the United States District Court for the Northern District of California and assert claims under Sections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Act. The complaints in both the State Actions and Federal Actions alleged, among other things, that the Restoration Robotics’ Registration Statement filed with the SEC on </w:t>
      </w:r>
      <w:r>
        <w:rPr>
          <w:rStyle w:val="Emphasis"/>
          <w:rFonts w:ascii="Times New Roman" w:hAnsi="Times New Roman"/>
          <w:caps w:val="false"/>
          <w:smallCaps w:val="false"/>
          <w:sz w:val="20"/>
        </w:rPr>
        <w:t xml:space="preserve">September 1, 2017 </w:t>
      </w:r>
      <w:r>
        <w:rPr>
          <w:rFonts w:ascii="Times New Roman" w:hAnsi="Times New Roman"/>
          <w:caps w:val="false"/>
          <w:smallCaps w:val="false"/>
          <w:sz w:val="20"/>
        </w:rPr>
        <w:t xml:space="preserve">and the Prospectus filed with the SEC on </w:t>
      </w:r>
      <w:r>
        <w:rPr>
          <w:rStyle w:val="Emphasis"/>
          <w:rFonts w:ascii="Times New Roman" w:hAnsi="Times New Roman"/>
          <w:caps w:val="false"/>
          <w:smallCaps w:val="false"/>
          <w:sz w:val="20"/>
        </w:rPr>
        <w:t xml:space="preserve">October 13, 2017 </w:t>
      </w:r>
      <w:r>
        <w:rPr>
          <w:rFonts w:ascii="Times New Roman" w:hAnsi="Times New Roman"/>
          <w:caps w:val="false"/>
          <w:smallCaps w:val="false"/>
          <w:sz w:val="20"/>
        </w:rPr>
        <w:t xml:space="preserve">in connection with Restoration Robotics’ IPO were inaccurate and misleading, contained untrue statements of material facts, omitted to state other facts necessary to make the statements made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misleading and omitted to state material facts required to be stated therein. The complaints sought unspecified monetary damages, other equitable relief and attorneys’ fees and costs. A settlement in the Federal Actions was granted final approval in the District Court on </w:t>
      </w:r>
      <w:r>
        <w:rPr>
          <w:rStyle w:val="Emphasis"/>
          <w:rFonts w:ascii="Times New Roman" w:hAnsi="Times New Roman"/>
          <w:caps w:val="false"/>
          <w:smallCaps w:val="false"/>
          <w:sz w:val="20"/>
        </w:rPr>
        <w:t>September 9, 2021.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the State Actions, the Plaintiffs filed a consolidated amended complaint on </w:t>
      </w:r>
      <w:r>
        <w:rPr>
          <w:rStyle w:val="Emphasis"/>
          <w:rFonts w:ascii="Times New Roman" w:hAnsi="Times New Roman"/>
          <w:caps w:val="false"/>
          <w:smallCaps w:val="false"/>
          <w:sz w:val="20"/>
        </w:rPr>
        <w:t xml:space="preserve">January 17, 2020 </w:t>
      </w:r>
      <w:r>
        <w:rPr>
          <w:rFonts w:ascii="Times New Roman" w:hAnsi="Times New Roman"/>
          <w:caps w:val="false"/>
          <w:smallCaps w:val="false"/>
          <w:sz w:val="20"/>
        </w:rPr>
        <w:t xml:space="preserve">seeking unspecified monetary damages, other equitable relief and attorneys’ fees and costs. Following the Delaware Supreme Court reversal of the Chancery Court’s decision in Sciabacucchi v. Salzberg which held that exclusive federal forum provisions are valid under Delaware law, the Company filed a renewed motion to dismiss based on its federal forum selection clause on </w:t>
      </w:r>
      <w:r>
        <w:rPr>
          <w:rStyle w:val="Emphasis"/>
          <w:rFonts w:ascii="Times New Roman" w:hAnsi="Times New Roman"/>
          <w:caps w:val="false"/>
          <w:smallCaps w:val="false"/>
          <w:sz w:val="20"/>
        </w:rPr>
        <w:t xml:space="preserve">March 30, 2020, </w:t>
      </w:r>
      <w:r>
        <w:rPr>
          <w:rFonts w:ascii="Times New Roman" w:hAnsi="Times New Roman"/>
          <w:caps w:val="false"/>
          <w:smallCaps w:val="false"/>
          <w:sz w:val="20"/>
        </w:rPr>
        <w:t xml:space="preserve">which was granted as to the Company and the individual defendants on </w:t>
      </w:r>
      <w:r>
        <w:rPr>
          <w:rStyle w:val="Emphasis"/>
          <w:rFonts w:ascii="Times New Roman" w:hAnsi="Times New Roman"/>
          <w:caps w:val="false"/>
          <w:smallCaps w:val="false"/>
          <w:sz w:val="20"/>
        </w:rPr>
        <w:t xml:space="preserve">September 1, 2020 </w:t>
      </w:r>
      <w:r>
        <w:rPr>
          <w:rFonts w:ascii="Times New Roman" w:hAnsi="Times New Roman"/>
          <w:caps w:val="false"/>
          <w:smallCaps w:val="false"/>
          <w:sz w:val="20"/>
        </w:rPr>
        <w:t xml:space="preserve">and a judgement of dismissal was entered by the Court on </w:t>
      </w:r>
      <w:r>
        <w:rPr>
          <w:rStyle w:val="Emphasis"/>
          <w:rFonts w:ascii="Times New Roman" w:hAnsi="Times New Roman"/>
          <w:caps w:val="false"/>
          <w:smallCaps w:val="false"/>
          <w:sz w:val="20"/>
        </w:rPr>
        <w:t xml:space="preserve">September 22, 2020.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23, 2020, </w:t>
      </w:r>
      <w:r>
        <w:rPr>
          <w:rFonts w:ascii="Times New Roman" w:hAnsi="Times New Roman"/>
          <w:caps w:val="false"/>
          <w:smallCaps w:val="false"/>
          <w:sz w:val="20"/>
        </w:rPr>
        <w:t xml:space="preserve">plaintiff filed a notice of appeal of the Court’s order granting the renewed motion to dismiss. The court of appeal heard oral argument related to the appeal on </w:t>
      </w:r>
      <w:r>
        <w:rPr>
          <w:rStyle w:val="Emphasis"/>
          <w:rFonts w:ascii="Times New Roman" w:hAnsi="Times New Roman"/>
          <w:caps w:val="false"/>
          <w:smallCaps w:val="false"/>
          <w:sz w:val="20"/>
        </w:rPr>
        <w:t xml:space="preserve">April 20, 2022, </w:t>
      </w:r>
      <w:r>
        <w:rPr>
          <w:rFonts w:ascii="Times New Roman" w:hAnsi="Times New Roman"/>
          <w:caps w:val="false"/>
          <w:smallCaps w:val="false"/>
          <w:sz w:val="20"/>
        </w:rPr>
        <w:t xml:space="preserve">and on </w:t>
      </w:r>
      <w:r>
        <w:rPr>
          <w:rStyle w:val="Emphasis"/>
          <w:rFonts w:ascii="Times New Roman" w:hAnsi="Times New Roman"/>
          <w:caps w:val="false"/>
          <w:smallCaps w:val="false"/>
          <w:sz w:val="20"/>
        </w:rPr>
        <w:t xml:space="preserve">April 28, 2022, </w:t>
      </w:r>
      <w:r>
        <w:rPr>
          <w:rFonts w:ascii="Times New Roman" w:hAnsi="Times New Roman"/>
          <w:caps w:val="false"/>
          <w:smallCaps w:val="false"/>
          <w:sz w:val="20"/>
        </w:rPr>
        <w:t xml:space="preserve">issued its opinion affirming the trial court’s dismissal of the State Actions based on the federal forum selection clause. Plaintiff-Appellant Wong has until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to petition the California Supreme Court to review the appellate court’s opinion.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11, 2019, </w:t>
      </w:r>
      <w:r>
        <w:rPr>
          <w:rFonts w:ascii="Times New Roman" w:hAnsi="Times New Roman"/>
          <w:caps w:val="false"/>
          <w:smallCaps w:val="false"/>
          <w:sz w:val="20"/>
        </w:rPr>
        <w:t xml:space="preserve">a verified shareholder derivative complaint was filed in the United States District Court for the Northern District of California, captioned Mason v. Rhodes,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5:19</w:t>
      </w:r>
      <w:r>
        <w:rPr>
          <w:rFonts w:ascii="Times New Roman" w:hAnsi="Times New Roman"/>
          <w:caps w:val="false"/>
          <w:smallCaps w:val="false"/>
          <w:sz w:val="20"/>
        </w:rPr>
        <w:t>-cv-</w:t>
      </w:r>
      <w:r>
        <w:rPr>
          <w:rStyle w:val="Emphasis"/>
          <w:rFonts w:ascii="Times New Roman" w:hAnsi="Times New Roman"/>
          <w:caps w:val="false"/>
          <w:smallCaps w:val="false"/>
          <w:sz w:val="20"/>
        </w:rPr>
        <w:t>03997</w:t>
      </w:r>
      <w:r>
        <w:rPr>
          <w:rFonts w:ascii="Times New Roman" w:hAnsi="Times New Roman"/>
          <w:caps w:val="false"/>
          <w:smallCaps w:val="false"/>
          <w:sz w:val="20"/>
        </w:rPr>
        <w:t xml:space="preserve">-NC. The complaint alleges that certain of Restoration Robotics’ former officers and directors breached their fiduciary duties, have been unjustly enriched and violated Section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of the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Act in connection with the IPO and Restoration Robotics’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proxy statement. The complaint seeks unspecified damages, declaratory relief, other equitable relief and attorneys’ fees and costs. On </w:t>
      </w:r>
      <w:r>
        <w:rPr>
          <w:rStyle w:val="Emphasis"/>
          <w:rFonts w:ascii="Times New Roman" w:hAnsi="Times New Roman"/>
          <w:caps w:val="false"/>
          <w:smallCaps w:val="false"/>
          <w:sz w:val="20"/>
        </w:rPr>
        <w:t xml:space="preserve">August 21, 2019, </w:t>
      </w:r>
      <w:r>
        <w:rPr>
          <w:rFonts w:ascii="Times New Roman" w:hAnsi="Times New Roman"/>
          <w:caps w:val="false"/>
          <w:smallCaps w:val="false"/>
          <w:sz w:val="20"/>
        </w:rPr>
        <w:t xml:space="preserve">the District Court granted the parties’ joint stipulation to stay the Mason action. On </w:t>
      </w:r>
      <w:r>
        <w:rPr>
          <w:rStyle w:val="Emphasis"/>
          <w:rFonts w:ascii="Times New Roman" w:hAnsi="Times New Roman"/>
          <w:caps w:val="false"/>
          <w:smallCaps w:val="false"/>
          <w:sz w:val="20"/>
        </w:rPr>
        <w:t xml:space="preserve">June 21, 2021, </w:t>
      </w:r>
      <w:r>
        <w:rPr>
          <w:rFonts w:ascii="Times New Roman" w:hAnsi="Times New Roman"/>
          <w:caps w:val="false"/>
          <w:smallCaps w:val="false"/>
          <w:sz w:val="20"/>
        </w:rPr>
        <w:t>the District Court granted the parties’ further stipulation to stay the Mason action and the case remains stayed.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MAIN STREET TERM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w:t>
      </w:r>
      <w:r>
        <w:rPr>
          <w:rStyle w:val="Emphasis"/>
          <w:rFonts w:ascii="Times New Roman" w:hAnsi="Times New Roman"/>
          <w:caps w:val="false"/>
          <w:smallCaps w:val="false"/>
          <w:sz w:val="20"/>
        </w:rPr>
        <w:t>13</w:t>
      </w: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Federal Reserve Act (the “MSLP Loan”). On </w:t>
      </w:r>
      <w:r>
        <w:rPr>
          <w:rStyle w:val="Emphasis"/>
          <w:rFonts w:ascii="Times New Roman" w:hAnsi="Times New Roman"/>
          <w:caps w:val="false"/>
          <w:smallCaps w:val="false"/>
          <w:sz w:val="20"/>
        </w:rPr>
        <w:t>December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MSLP Loan had been funded and the transaction was closed. The MSLP Note has a term of five years and bears interest at a rate per annum equal to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LIBOR plus 3%. On </w:t>
      </w:r>
      <w:r>
        <w:rPr>
          <w:rStyle w:val="Emphasis"/>
          <w:rFonts w:ascii="Times New Roman" w:hAnsi="Times New Roman"/>
          <w:caps w:val="false"/>
          <w:smallCaps w:val="false"/>
          <w:sz w:val="20"/>
        </w:rPr>
        <w:t>December 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must make an annual payment of principal plus accrued but unpaid interest in an amount equal to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percent (15%) of the outstanding principal balance of the MSLP Note (inclusive of accrued but unpaid interest). The entire outstanding principal balance of the MSLP Note together with all accrued and unpaid interest is due and payable in full on </w:t>
      </w:r>
      <w:r>
        <w:rPr>
          <w:rStyle w:val="Emphasis"/>
          <w:rFonts w:ascii="Times New Roman" w:hAnsi="Times New Roman"/>
          <w:caps w:val="false"/>
          <w:smallCaps w:val="false"/>
          <w:sz w:val="20"/>
        </w:rPr>
        <w:t xml:space="preserve"> December 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the Company was in compliance with all required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scheduled payments on the outstanding borrowings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are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3030" w:type="dxa"/>
        <w:jc w:val="left"/>
        <w:tblInd w:w="0" w:type="dxa"/>
        <w:tblCellMar>
          <w:top w:w="0" w:type="dxa"/>
          <w:left w:w="0" w:type="dxa"/>
          <w:bottom w:w="0" w:type="dxa"/>
          <w:right w:w="0" w:type="dxa"/>
        </w:tblCellMar>
      </w:tblPr>
      <w:tblGrid>
        <w:gridCol w:w="2195"/>
        <w:gridCol w:w="60"/>
        <w:gridCol w:w="125"/>
        <w:gridCol w:w="590"/>
        <w:gridCol w:w="60"/>
      </w:tblGrid>
      <w:tr>
        <w:trPr/>
        <w:tc>
          <w:tcPr>
            <w:tcW w:w="2195" w:type="dxa"/>
            <w:tcBorders/>
            <w:shd w:fill="auto"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1,354</w:t>
            </w:r>
          </w:p>
        </w:tc>
        <w:tc>
          <w:tcPr>
            <w:tcW w:w="60"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9,541</w:t>
            </w:r>
          </w:p>
        </w:tc>
        <w:tc>
          <w:tcPr>
            <w:tcW w:w="60" w:type="dxa"/>
            <w:tcBorders/>
            <w:shd w:fill="FFFFFF"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8,114</w:t>
            </w:r>
          </w:p>
        </w:tc>
        <w:tc>
          <w:tcPr>
            <w:tcW w:w="60"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38,563</w:t>
            </w:r>
          </w:p>
        </w:tc>
        <w:tc>
          <w:tcPr>
            <w:tcW w:w="60" w:type="dxa"/>
            <w:tcBorders/>
            <w:shd w:fill="FFFFFF"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57,572</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MADRYN LONG-TERM DEBT AND CONVERTIBLE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11, 2016, </w:t>
      </w:r>
      <w:r>
        <w:rPr>
          <w:rFonts w:ascii="Times New Roman" w:hAnsi="Times New Roman"/>
          <w:caps w:val="false"/>
          <w:smallCaps w:val="false"/>
          <w:sz w:val="20"/>
        </w:rPr>
        <w:t xml:space="preserve">Venus Concept Ltd., a wholly owned subsidiary of the Company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Ltd.’s subsidiaries (the “Subsidiary Obligors”). The Madryn Credit Agreement was comprised of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tranches of debt aggregating $70,000. As of </w:t>
      </w:r>
      <w:r>
        <w:rPr>
          <w:rStyle w:val="Emphasis"/>
          <w:rFonts w:ascii="Times New Roman" w:hAnsi="Times New Roman"/>
          <w:caps w:val="false"/>
          <w:smallCaps w:val="false"/>
          <w:sz w:val="20"/>
        </w:rPr>
        <w:t xml:space="preserve">September 30, 2020, </w:t>
      </w:r>
      <w:r>
        <w:rPr>
          <w:rFonts w:ascii="Times New Roman" w:hAnsi="Times New Roman"/>
          <w:caps w:val="false"/>
          <w:smallCaps w:val="false"/>
          <w:sz w:val="20"/>
        </w:rPr>
        <w:t>the Subsidiary Obligors had borrowed $60,000 under the term 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B tranches of the Madryn Credit Agreement. Borrowings under the Madryn Credit Agreement were secured by substantially all of the Company’s assets and the assets of the Subsidiary Obligors. On the </w:t>
      </w:r>
      <w:r>
        <w:rPr>
          <w:rStyle w:val="Emphasis"/>
          <w:rFonts w:ascii="Times New Roman" w:hAnsi="Times New Roman"/>
          <w:caps w:val="false"/>
          <w:smallCaps w:val="false"/>
          <w:sz w:val="20"/>
        </w:rPr>
        <w:t>24th</w:t>
      </w:r>
      <w:r>
        <w:rPr>
          <w:rFonts w:ascii="Times New Roman" w:hAnsi="Times New Roman"/>
          <w:caps w:val="false"/>
          <w:smallCaps w:val="false"/>
          <w:sz w:val="20"/>
        </w:rPr>
        <w:t xml:space="preserve"> payment date, which is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the aggregate outstanding principal amount of the loans, together with any accrued and unpaid interest thereon and all other amounts due and owing under the loan agreement were to become due and payable in full.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connection with the Merger (as defined below), the Company entered into an amendment to the Madryn Credit Agreement, dated as of </w:t>
      </w:r>
      <w:r>
        <w:rPr>
          <w:rStyle w:val="Emphasis"/>
          <w:rFonts w:ascii="Times New Roman" w:hAnsi="Times New Roman"/>
          <w:caps w:val="false"/>
          <w:smallCaps w:val="false"/>
          <w:sz w:val="20"/>
        </w:rPr>
        <w:t>November 7, 2019, (</w:t>
      </w:r>
      <w:r>
        <w:rPr>
          <w:rFonts w:ascii="Times New Roman" w:hAnsi="Times New Roman"/>
          <w:caps w:val="false"/>
          <w:smallCaps w:val="false"/>
          <w:sz w:val="20"/>
        </w:rPr>
        <w:t xml:space="preserve">the “Amendment”), pursuant to which the Company joined as (i) a guarantor to the Madryn Credit Agreement and (ii) a grantor to the certain security agreement, dated </w:t>
      </w:r>
      <w:r>
        <w:rPr>
          <w:rStyle w:val="Emphasis"/>
          <w:rFonts w:ascii="Times New Roman" w:hAnsi="Times New Roman"/>
          <w:caps w:val="false"/>
          <w:smallCaps w:val="false"/>
          <w:sz w:val="20"/>
        </w:rPr>
        <w:t>October 11, 2016, (</w:t>
      </w:r>
      <w:r>
        <w:rPr>
          <w:rFonts w:ascii="Times New Roman" w:hAnsi="Times New Roman"/>
          <w:caps w:val="false"/>
          <w:smallCaps w:val="false"/>
          <w:sz w:val="20"/>
        </w:rPr>
        <w:t xml:space="preserve">as amended, restated, supplemented or otherwise modified from time to time), by and among the grantors from time to time party thereto and the administrative agent (the “U.S. Security Agreement”). Effective </w:t>
      </w:r>
      <w:r>
        <w:rPr>
          <w:rStyle w:val="Emphasis"/>
          <w:rFonts w:ascii="Times New Roman" w:hAnsi="Times New Roman"/>
          <w:caps w:val="false"/>
          <w:smallCaps w:val="false"/>
          <w:sz w:val="20"/>
        </w:rPr>
        <w:t xml:space="preserve">August 14, 2018, </w:t>
      </w:r>
      <w:r>
        <w:rPr>
          <w:rFonts w:ascii="Times New Roman" w:hAnsi="Times New Roman"/>
          <w:caps w:val="false"/>
          <w:smallCaps w:val="false"/>
          <w:sz w:val="20"/>
        </w:rPr>
        <w:t>interest on the Madryn loan was 9.00%, payable quarterly.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had the option of settling the paid in kind (“PIK”) interest in cash or adding the owed interest to the principal amount of the loan. On </w:t>
      </w:r>
      <w:r>
        <w:rPr>
          <w:rStyle w:val="Emphasis"/>
          <w:rFonts w:ascii="Times New Roman" w:hAnsi="Times New Roman"/>
          <w:caps w:val="false"/>
          <w:smallCaps w:val="false"/>
          <w:sz w:val="20"/>
        </w:rPr>
        <w:t xml:space="preserve">April 29, 2020, </w:t>
      </w:r>
      <w:r>
        <w:rPr>
          <w:rFonts w:ascii="Times New Roman" w:hAnsi="Times New Roman"/>
          <w:caps w:val="false"/>
          <w:smallCaps w:val="false"/>
          <w:sz w:val="20"/>
        </w:rPr>
        <w:t xml:space="preserve">the Company entered into the Twelfth Amendment to the Madryn Credit Agreement that (i) required that interest payments for the period beginning </w:t>
      </w:r>
      <w:r>
        <w:rPr>
          <w:rStyle w:val="Emphasis"/>
          <w:rFonts w:ascii="Times New Roman" w:hAnsi="Times New Roman"/>
          <w:caps w:val="false"/>
          <w:smallCaps w:val="false"/>
          <w:sz w:val="20"/>
        </w:rPr>
        <w:t xml:space="preserve">January 1, 2020 </w:t>
      </w:r>
      <w:r>
        <w:rPr>
          <w:rFonts w:ascii="Times New Roman" w:hAnsi="Times New Roman"/>
          <w:caps w:val="false"/>
          <w:smallCaps w:val="false"/>
          <w:sz w:val="20"/>
        </w:rPr>
        <w:t xml:space="preserve">and ending on, and including, </w:t>
      </w:r>
      <w:r>
        <w:rPr>
          <w:rStyle w:val="Emphasis"/>
          <w:rFonts w:ascii="Times New Roman" w:hAnsi="Times New Roman"/>
          <w:caps w:val="false"/>
          <w:smallCaps w:val="false"/>
          <w:sz w:val="20"/>
        </w:rPr>
        <w:t>April 29, 2020 (</w:t>
      </w:r>
      <w:r>
        <w:rPr>
          <w:rFonts w:ascii="Times New Roman" w:hAnsi="Times New Roman"/>
          <w:caps w:val="false"/>
          <w:smallCaps w:val="false"/>
          <w:sz w:val="20"/>
        </w:rPr>
        <w:t>the “PIK Period”), be paid-in-kind, (ii) increased the interest rate from 9.00% per annum to 12.00% per annum during the PIK Period and (iii) require the Company to provide certain additional financial and other reporting information to the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2020, </w:t>
      </w:r>
      <w:r>
        <w:rPr>
          <w:rFonts w:ascii="Times New Roman" w:hAnsi="Times New Roman"/>
          <w:caps w:val="false"/>
          <w:smallCaps w:val="false"/>
          <w:sz w:val="20"/>
        </w:rPr>
        <w:t xml:space="preserve">the Company entered into the Thirteenth Amendment to the Madryn Credit Agreement that (i) extended the PIK Period through </w:t>
      </w:r>
      <w:r>
        <w:rPr>
          <w:rStyle w:val="Emphasis"/>
          <w:rFonts w:ascii="Times New Roman" w:hAnsi="Times New Roman"/>
          <w:caps w:val="false"/>
          <w:smallCaps w:val="false"/>
          <w:sz w:val="20"/>
        </w:rPr>
        <w:t>June 30, 2020, (</w:t>
      </w:r>
      <w:r>
        <w:rPr>
          <w:rFonts w:ascii="Times New Roman" w:hAnsi="Times New Roman"/>
          <w:caps w:val="false"/>
          <w:smallCaps w:val="false"/>
          <w:sz w:val="20"/>
        </w:rPr>
        <w:t xml:space="preserve">ii) reduced the consolidated minimum revenue threshold requirement (a) for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consecutive fiscal quarter period ended </w:t>
      </w:r>
      <w:r>
        <w:rPr>
          <w:rStyle w:val="Emphasis"/>
          <w:rFonts w:ascii="Times New Roman" w:hAnsi="Times New Roman"/>
          <w:caps w:val="false"/>
          <w:smallCaps w:val="false"/>
          <w:sz w:val="20"/>
        </w:rPr>
        <w:t xml:space="preserve">June 30, 2020, </w:t>
      </w:r>
      <w:r>
        <w:rPr>
          <w:rFonts w:ascii="Times New Roman" w:hAnsi="Times New Roman"/>
          <w:caps w:val="false"/>
          <w:smallCaps w:val="false"/>
          <w:sz w:val="20"/>
        </w:rPr>
        <w:t xml:space="preserve">to at least $85,000 and (b) for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consecutive fiscal quarter period ending </w:t>
      </w:r>
      <w:r>
        <w:rPr>
          <w:rStyle w:val="Emphasis"/>
          <w:rFonts w:ascii="Times New Roman" w:hAnsi="Times New Roman"/>
          <w:caps w:val="false"/>
          <w:smallCaps w:val="false"/>
          <w:sz w:val="20"/>
        </w:rPr>
        <w:t xml:space="preserve">September 30, 2020, </w:t>
      </w:r>
      <w:r>
        <w:rPr>
          <w:rFonts w:ascii="Times New Roman" w:hAnsi="Times New Roman"/>
          <w:caps w:val="false"/>
          <w:smallCaps w:val="false"/>
          <w:sz w:val="20"/>
        </w:rPr>
        <w:t xml:space="preserve">to at least $75,000, (iii) required the Company to raise at least $5,000 of cash proceeds from the issuance of equity during the period </w:t>
      </w:r>
      <w:r>
        <w:rPr>
          <w:rStyle w:val="Emphasis"/>
          <w:rFonts w:ascii="Times New Roman" w:hAnsi="Times New Roman"/>
          <w:caps w:val="false"/>
          <w:smallCaps w:val="false"/>
          <w:sz w:val="20"/>
        </w:rPr>
        <w:t xml:space="preserve">June 1, 2020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September 30, 2020 </w:t>
      </w:r>
      <w:r>
        <w:rPr>
          <w:rFonts w:ascii="Times New Roman" w:hAnsi="Times New Roman"/>
          <w:caps w:val="false"/>
          <w:smallCaps w:val="false"/>
          <w:sz w:val="20"/>
        </w:rPr>
        <w:t xml:space="preserve">and (iv) obligated the Company to use its best efforts to raise an additional $2,000 of cash proceeds from the issuance of equity during the period </w:t>
      </w:r>
      <w:r>
        <w:rPr>
          <w:rStyle w:val="Emphasis"/>
          <w:rFonts w:ascii="Times New Roman" w:hAnsi="Times New Roman"/>
          <w:caps w:val="false"/>
          <w:smallCaps w:val="false"/>
          <w:sz w:val="20"/>
        </w:rPr>
        <w:t xml:space="preserve">June 1, 2020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September 30,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30, 2020, </w:t>
      </w:r>
      <w:r>
        <w:rPr>
          <w:rFonts w:ascii="Times New Roman" w:hAnsi="Times New Roman"/>
          <w:caps w:val="false"/>
          <w:smallCaps w:val="false"/>
          <w:sz w:val="20"/>
        </w:rPr>
        <w:t xml:space="preserve">the Company entered into the Fourteenth Amendment to the Madryn Credit Agreement that (i) required that </w:t>
      </w:r>
      <w:r>
        <w:rPr>
          <w:rStyle w:val="Emphasis"/>
          <w:rFonts w:ascii="Times New Roman" w:hAnsi="Times New Roman"/>
          <w:caps w:val="false"/>
          <w:smallCaps w:val="false"/>
          <w:sz w:val="20"/>
        </w:rPr>
        <w:t>fifty</w:t>
      </w:r>
      <w:r>
        <w:rPr>
          <w:rFonts w:ascii="Times New Roman" w:hAnsi="Times New Roman"/>
          <w:caps w:val="false"/>
          <w:smallCaps w:val="false"/>
          <w:sz w:val="20"/>
        </w:rPr>
        <w:t xml:space="preserve"> percent (50%) of the interest payments for the period beginning </w:t>
      </w:r>
      <w:r>
        <w:rPr>
          <w:rStyle w:val="Emphasis"/>
          <w:rFonts w:ascii="Times New Roman" w:hAnsi="Times New Roman"/>
          <w:caps w:val="false"/>
          <w:smallCaps w:val="false"/>
          <w:sz w:val="20"/>
        </w:rPr>
        <w:t xml:space="preserve">July 1, 2020 </w:t>
      </w:r>
      <w:r>
        <w:rPr>
          <w:rFonts w:ascii="Times New Roman" w:hAnsi="Times New Roman"/>
          <w:caps w:val="false"/>
          <w:smallCaps w:val="false"/>
          <w:sz w:val="20"/>
        </w:rPr>
        <w:t xml:space="preserve">and ending on, and including, </w:t>
      </w:r>
      <w:r>
        <w:rPr>
          <w:rStyle w:val="Emphasis"/>
          <w:rFonts w:ascii="Times New Roman" w:hAnsi="Times New Roman"/>
          <w:caps w:val="false"/>
          <w:smallCaps w:val="false"/>
          <w:sz w:val="20"/>
        </w:rPr>
        <w:t>September 30, 2020 (</w:t>
      </w:r>
      <w:r>
        <w:rPr>
          <w:rFonts w:ascii="Times New Roman" w:hAnsi="Times New Roman"/>
          <w:caps w:val="false"/>
          <w:smallCaps w:val="false"/>
          <w:sz w:val="20"/>
        </w:rPr>
        <w:t xml:space="preserve">the “Second PIK Period”), be paid in cash, (ii) the remaining </w:t>
      </w:r>
      <w:r>
        <w:rPr>
          <w:rStyle w:val="Emphasis"/>
          <w:rFonts w:ascii="Times New Roman" w:hAnsi="Times New Roman"/>
          <w:caps w:val="false"/>
          <w:smallCaps w:val="false"/>
          <w:sz w:val="20"/>
        </w:rPr>
        <w:t>fifty</w:t>
      </w:r>
      <w:r>
        <w:rPr>
          <w:rFonts w:ascii="Times New Roman" w:hAnsi="Times New Roman"/>
          <w:caps w:val="false"/>
          <w:smallCaps w:val="false"/>
          <w:sz w:val="20"/>
        </w:rPr>
        <w:t xml:space="preserve"> percent (50%) of the interest payments for the Second PIK Period, to be paid in kind, and (iii) increased the interest rate applicable to the Second PIK Period from 9.00% per annum to 10.50% per annum during the Second PIK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contemporaneously with the MSLP Loan Agreement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the Company and its subsidiaries, Venus Concept USA, Inc., a Delaware corporation (“Venus USA”), Venus Concept Canada Corp., an Ontario corporation (“Venus Canada”), Venus Ltd., and the Madryn Noteholders (as defined below), entered into a Securities Exchange Agreement (the “Exchange Agreement”) dated as of </w:t>
      </w:r>
      <w:r>
        <w:rPr>
          <w:rStyle w:val="Emphasis"/>
          <w:rFonts w:ascii="Times New Roman" w:hAnsi="Times New Roman"/>
          <w:caps w:val="false"/>
          <w:smallCaps w:val="false"/>
          <w:sz w:val="20"/>
        </w:rPr>
        <w:t xml:space="preserve">December 8, 2020, </w:t>
      </w:r>
      <w:r>
        <w:rPr>
          <w:rFonts w:ascii="Times New Roman" w:hAnsi="Times New Roman"/>
          <w:caps w:val="false"/>
          <w:smallCaps w:val="false"/>
          <w:sz w:val="20"/>
        </w:rPr>
        <w:t>pursuant to which the Company (i) repaid $42,500 aggregate principal amount owed under the Madryn Credit Agreement, and (ii) issued, to the Madryn Health Partners (Cayman Master), LP and Madryn Health Partners, LP (together the “Madryn Noteholders”) secured subordinated convertible notes in the aggregate principal amount of $26,695 (the “Notes”). The Madryn Credit Agreement was terminated effective </w:t>
      </w:r>
      <w:r>
        <w:rPr>
          <w:rStyle w:val="Emphasis"/>
          <w:rFonts w:ascii="Times New Roman" w:hAnsi="Times New Roman"/>
          <w:caps w:val="false"/>
          <w:smallCaps w:val="false"/>
          <w:sz w:val="20"/>
        </w:rPr>
        <w:t xml:space="preserve"> December 9, 2020 </w:t>
      </w:r>
      <w:r>
        <w:rPr>
          <w:rFonts w:ascii="Times New Roman" w:hAnsi="Times New Roman"/>
          <w:caps w:val="false"/>
          <w:smallCaps w:val="false"/>
          <w:sz w:val="20"/>
        </w:rPr>
        <w:t>upon the funding and closing of the MSLP Loan and the issuance of the Notes.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Notes will accrue interest at a rate of 8.0% per annum from the date of original issuance of the Notes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date of the original issuance and thereafter interest will accrue at a rate of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w:t>
      </w:r>
      <w:r>
        <w:rPr>
          <w:rStyle w:val="Emphasis"/>
          <w:rFonts w:ascii="Times New Roman" w:hAnsi="Times New Roman"/>
          <w:caps w:val="false"/>
          <w:smallCaps w:val="false"/>
          <w:sz w:val="20"/>
        </w:rPr>
        <w:t xml:space="preserve"> December 31, 2020. </w:t>
      </w:r>
      <w:r>
        <w:rPr>
          <w:rFonts w:ascii="Times New Roman" w:hAnsi="Times New Roman"/>
          <w:caps w:val="false"/>
          <w:smallCaps w:val="false"/>
          <w:sz w:val="20"/>
        </w:rPr>
        <w:t>The Notes will mature on </w:t>
      </w:r>
      <w:r>
        <w:rPr>
          <w:rStyle w:val="Emphasis"/>
          <w:rFonts w:ascii="Times New Roman" w:hAnsi="Times New Roman"/>
          <w:caps w:val="false"/>
          <w:smallCaps w:val="false"/>
          <w:sz w:val="20"/>
        </w:rPr>
        <w:t xml:space="preserve"> December 9, 2025, </w:t>
      </w:r>
      <w:r>
        <w:rPr>
          <w:rFonts w:ascii="Times New Roman" w:hAnsi="Times New Roman"/>
          <w:caps w:val="false"/>
          <w:smallCaps w:val="false"/>
          <w:sz w:val="20"/>
        </w:rPr>
        <w:t xml:space="preserve">unless earlier redeemed or converted. In connection with the Exchange Agreement, the Company also entered into, by and among the Company, Venus USA, Venus Canada, Venus Ltd., and the Madryn Noteholders, (i) the Madryn Security Agreement, pursuant to which the Company agreed to grant Madryn a security interest in substantially all of its assets to secure the obligations under the Notes and (ii)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pursuant to the MSLP Loan Agreement and the CNB Loan Agreement,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$534 and $527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The conversion feature, providing the Madryn Noteholders with a right to receive the Company’s shares upon conversion of the Notes, was qualified for a scope exception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and determined that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therefore a nominal value was allocated to the underlying embedded derivative liabilities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scheduled payments on the outstanding borrowings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are as follows:</w:t>
      </w:r>
    </w:p>
    <w:p>
      <w:pPr>
        <w:pStyle w:val="TextBody"/>
        <w:spacing w:before="0" w:after="0"/>
        <w:ind w:left="0" w:right="0" w:hanging="0"/>
        <w:jc w:val="both"/>
        <w:rPr>
          <w:caps w:val="false"/>
          <w:smallCaps w:val="false"/>
        </w:rPr>
      </w:pPr>
      <w:r>
        <w:rPr>
          <w:caps w:val="false"/>
          <w:smallCaps w:val="false"/>
        </w:rPr>
        <w:t> </w:t>
      </w:r>
    </w:p>
    <w:tbl>
      <w:tblPr>
        <w:tblW w:w="3030" w:type="dxa"/>
        <w:jc w:val="left"/>
        <w:tblInd w:w="0" w:type="dxa"/>
        <w:tblCellMar>
          <w:top w:w="0" w:type="dxa"/>
          <w:left w:w="0" w:type="dxa"/>
          <w:bottom w:w="0" w:type="dxa"/>
          <w:right w:w="0" w:type="dxa"/>
        </w:tblCellMar>
      </w:tblPr>
      <w:tblGrid>
        <w:gridCol w:w="2195"/>
        <w:gridCol w:w="60"/>
        <w:gridCol w:w="125"/>
        <w:gridCol w:w="590"/>
        <w:gridCol w:w="60"/>
      </w:tblGrid>
      <w:tr>
        <w:trPr/>
        <w:tc>
          <w:tcPr>
            <w:tcW w:w="2195" w:type="dxa"/>
            <w:tcBorders/>
            <w:shd w:fill="auto"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1,631</w:t>
            </w:r>
          </w:p>
        </w:tc>
        <w:tc>
          <w:tcPr>
            <w:tcW w:w="60"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2,131</w:t>
            </w:r>
          </w:p>
        </w:tc>
        <w:tc>
          <w:tcPr>
            <w:tcW w:w="60" w:type="dxa"/>
            <w:tcBorders/>
            <w:shd w:fill="FFFFFF"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1,628</w:t>
            </w:r>
          </w:p>
        </w:tc>
        <w:tc>
          <w:tcPr>
            <w:tcW w:w="60"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28,217</w:t>
            </w:r>
          </w:p>
        </w:tc>
        <w:tc>
          <w:tcPr>
            <w:tcW w:w="60" w:type="dxa"/>
            <w:tcBorders/>
            <w:shd w:fill="FFFFFF"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33,607</w:t>
            </w:r>
          </w:p>
        </w:tc>
        <w:tc>
          <w:tcPr>
            <w:tcW w:w="60" w:type="dxa"/>
            <w:tcBorders/>
            <w:shd w:fill="CCEEFF" w:val="clear"/>
            <w:vAlign w:val="center"/>
          </w:tcPr>
          <w:p>
            <w:pPr>
              <w:pStyle w:val="TableContents"/>
              <w:spacing w:before="0" w:after="283"/>
              <w:rPr/>
            </w:pPr>
            <w:r>
              <w:rPr/>
              <w:t> </w:t>
            </w:r>
          </w:p>
        </w:tc>
      </w:tr>
    </w:tbl>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make any principal repayments.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CREDIT FACILITY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29, 2018, </w:t>
      </w:r>
      <w:r>
        <w:rPr>
          <w:rFonts w:ascii="Times New Roman" w:hAnsi="Times New Roman"/>
          <w:caps w:val="false"/>
          <w:smallCaps w:val="false"/>
          <w:sz w:val="20"/>
        </w:rPr>
        <w:t xml:space="preserve">Venus Ltd. entered into an Amended and Restated Loan Agreement as a guarantor with CNB, as amended on </w:t>
      </w:r>
      <w:r>
        <w:rPr>
          <w:rStyle w:val="Emphasis"/>
          <w:rFonts w:ascii="Times New Roman" w:hAnsi="Times New Roman"/>
          <w:caps w:val="false"/>
          <w:smallCaps w:val="false"/>
          <w:sz w:val="20"/>
        </w:rPr>
        <w:t xml:space="preserve">March 20, 2020, 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26, 2021 (</w:t>
      </w:r>
      <w:r>
        <w:rPr>
          <w:rFonts w:ascii="Times New Roman" w:hAnsi="Times New Roman"/>
          <w:caps w:val="false"/>
          <w:smallCaps w:val="false"/>
          <w:sz w:val="20"/>
        </w:rPr>
        <w:t xml:space="preserve">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w:t>
      </w:r>
      <w:r>
        <w:rPr>
          <w:rStyle w:val="Emphasis"/>
          <w:rFonts w:ascii="Times New Roman" w:hAnsi="Times New Roman"/>
          <w:caps w:val="false"/>
          <w:smallCaps w:val="false"/>
          <w:sz w:val="20"/>
        </w:rPr>
        <w:t xml:space="preserve">August 29, 2018, </w:t>
      </w:r>
      <w:r>
        <w:rPr>
          <w:rFonts w:ascii="Times New Roman" w:hAnsi="Times New Roman"/>
          <w:caps w:val="false"/>
          <w:smallCaps w:val="false"/>
          <w:sz w:val="20"/>
        </w:rPr>
        <w:t xml:space="preserve">as amended on </w:t>
      </w:r>
      <w:r>
        <w:rPr>
          <w:rStyle w:val="Emphasis"/>
          <w:rFonts w:ascii="Times New Roman" w:hAnsi="Times New Roman"/>
          <w:caps w:val="false"/>
          <w:smallCaps w:val="false"/>
          <w:sz w:val="20"/>
        </w:rPr>
        <w:t xml:space="preserve">March 20, 2020, 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26, 2021 (</w:t>
      </w:r>
      <w:r>
        <w:rPr>
          <w:rFonts w:ascii="Times New Roman" w:hAnsi="Times New Roman"/>
          <w:caps w:val="false"/>
          <w:smallCaps w:val="false"/>
          <w:sz w:val="20"/>
        </w:rPr>
        <w:t xml:space="preserve">the “CNB Guaranty”), pursuant to which Venus Ltd. agreed to guaranty the obligations of its subsidiaries under the CNB Loan Agreement. On </w:t>
      </w:r>
      <w:r>
        <w:rPr>
          <w:rStyle w:val="Emphasis"/>
          <w:rFonts w:ascii="Times New Roman" w:hAnsi="Times New Roman"/>
          <w:caps w:val="false"/>
          <w:smallCaps w:val="false"/>
          <w:sz w:val="20"/>
        </w:rPr>
        <w:t xml:space="preserve">March 20, 2020, </w:t>
      </w:r>
      <w:r>
        <w:rPr>
          <w:rFonts w:ascii="Times New Roman" w:hAnsi="Times New Roman"/>
          <w:caps w:val="false"/>
          <w:smallCaps w:val="false"/>
          <w:sz w:val="20"/>
        </w:rPr>
        <w:t xml:space="preserve">the Company also entered into a Security Agreement with CNB (the “CNB Security Agreement”), as amended on </w:t>
      </w:r>
      <w:r>
        <w:rPr>
          <w:rStyle w:val="Emphasis"/>
          <w:rFonts w:ascii="Times New Roman" w:hAnsi="Times New Roman"/>
          <w:caps w:val="false"/>
          <w:smallCaps w:val="false"/>
          <w:sz w:val="20"/>
        </w:rPr>
        <w:t xml:space="preserve">December 9,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pursuant to which it agreed to grant CNB a security interest in substantially all of our assets to secure the obligations under the CNB Loan Agreement.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w:t>
      </w:r>
      <w:r>
        <w:rPr>
          <w:rStyle w:val="Emphasis"/>
          <w:rFonts w:ascii="Times New Roman" w:hAnsi="Times New Roman"/>
          <w:caps w:val="false"/>
          <w:smallCaps w:val="false"/>
          <w:sz w:val="20"/>
        </w:rPr>
        <w:t xml:space="preserve"> January 25,  February 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March 25,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the Company, Venus USA and Venus Canada entered into a Fourth Amended and Restated Loan Agreement (the “Amended CNB Loan Agreement”) with CNB, pursuant to which, among other things, (i) the maximum principal amount the revolving credit facility was reduced from $10,000 to $5,000 at the LIBOR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rate plus 3.25%, subject to a minimum LIBOR rate floor of 0.50%, and (ii) beginning </w:t>
      </w:r>
      <w:r>
        <w:rPr>
          <w:rStyle w:val="Emphasis"/>
          <w:rFonts w:ascii="Times New Roman" w:hAnsi="Times New Roman"/>
          <w:caps w:val="false"/>
          <w:smallCaps w:val="false"/>
          <w:sz w:val="20"/>
        </w:rPr>
        <w:t xml:space="preserve">December 10, 2021, </w:t>
      </w:r>
      <w:r>
        <w:rPr>
          <w:rFonts w:ascii="Times New Roman" w:hAnsi="Times New Roman"/>
          <w:caps w:val="false"/>
          <w:smallCaps w:val="false"/>
          <w:sz w:val="20"/>
        </w:rPr>
        <w:t>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the Company was in compliance with all required covenants. An event of default under this agreement would cause a default under the MSLP Loan (see Note </w:t>
      </w:r>
      <w:r>
        <w:rPr>
          <w:rStyle w:val="Emphasis"/>
          <w:rFonts w:ascii="Times New Roman" w:hAnsi="Times New Roman"/>
          <w:caps w:val="false"/>
          <w:smallCaps w:val="false"/>
          <w:sz w:val="20"/>
        </w:rPr>
        <w:t>9</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connection with the Amended CNB Loan Agreement, the Company, Venus USA and Venus Canada issued a promissory note dated </w:t>
      </w:r>
      <w:r>
        <w:rPr>
          <w:rStyle w:val="Emphasis"/>
          <w:rFonts w:ascii="Times New Roman" w:hAnsi="Times New Roman"/>
          <w:caps w:val="false"/>
          <w:smallCaps w:val="false"/>
          <w:sz w:val="20"/>
        </w:rPr>
        <w:t xml:space="preserve">August 26, 2021, </w:t>
      </w:r>
      <w:r>
        <w:rPr>
          <w:rFonts w:ascii="Times New Roman" w:hAnsi="Times New Roman"/>
          <w:caps w:val="false"/>
          <w:smallCaps w:val="false"/>
          <w:sz w:val="20"/>
        </w:rPr>
        <w:t>in favor of CNB (the “CNB Note”) in the amount of $5,000 with a maturity date of </w:t>
      </w:r>
      <w:r>
        <w:rPr>
          <w:rStyle w:val="Emphasis"/>
          <w:rFonts w:ascii="Times New Roman" w:hAnsi="Times New Roman"/>
          <w:caps w:val="false"/>
          <w:smallCaps w:val="false"/>
          <w:sz w:val="20"/>
        </w:rPr>
        <w:t xml:space="preserve"> July 24, 2023 </w:t>
      </w:r>
      <w:r>
        <w:rPr>
          <w:rFonts w:ascii="Times New Roman" w:hAnsi="Times New Roman"/>
          <w:caps w:val="false"/>
          <w:smallCaps w:val="false"/>
          <w:sz w:val="20"/>
        </w:rPr>
        <w:t xml:space="preserve">and the obligations of the Company pursuant to certain of the Company’s outstanding promissory notes were reaffirmed as subordinated to the indebtedness of the Company owing to CNB pursuant to a Supplement to Subordination of Debt Agreements dated as of </w:t>
      </w:r>
      <w:r>
        <w:rPr>
          <w:rStyle w:val="Emphasis"/>
          <w:rFonts w:ascii="Times New Roman" w:hAnsi="Times New Roman"/>
          <w:caps w:val="false"/>
          <w:smallCaps w:val="false"/>
          <w:sz w:val="20"/>
        </w:rPr>
        <w:t>August 26, 2021 (</w:t>
      </w:r>
      <w:r>
        <w:rPr>
          <w:rFonts w:ascii="Times New Roman" w:hAnsi="Times New Roman"/>
          <w:caps w:val="false"/>
          <w:smallCaps w:val="false"/>
          <w:sz w:val="20"/>
        </w:rPr>
        <w:t>the “Subordination Supplement”) by and among Madryn Health Partners, LP, Madryn Health Partners (Cayman Master), LP, the Company and CNB.</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GOVERNMENT ASSISTANCE PROGRAMS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Venus Concept Inc. and Venus USA, received funding in the total amount of $4,048 in connection with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Small Business Loans under the federal Paycheck Protection Program provided in Section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(a) of the Small Business Act of </w:t>
      </w:r>
      <w:r>
        <w:rPr>
          <w:rStyle w:val="Emphasis"/>
          <w:rFonts w:ascii="Times New Roman" w:hAnsi="Times New Roman"/>
          <w:caps w:val="false"/>
          <w:smallCaps w:val="false"/>
          <w:sz w:val="20"/>
        </w:rPr>
        <w:t>1953,</w:t>
      </w:r>
      <w:r>
        <w:rPr>
          <w:rFonts w:ascii="Times New Roman" w:hAnsi="Times New Roman"/>
          <w:caps w:val="false"/>
          <w:smallCaps w:val="false"/>
          <w:sz w:val="20"/>
        </w:rPr>
        <w:t xml:space="preserve"> as amended by the Coronavirus Aid, Relief, and Economic Security Act, as amended from time to time (the “PPP”).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Venus Concept Inc. entered into a U.S. Small Business Administration Note dated as of </w:t>
      </w:r>
      <w:r>
        <w:rPr>
          <w:rStyle w:val="Emphasis"/>
          <w:rFonts w:ascii="Times New Roman" w:hAnsi="Times New Roman"/>
          <w:caps w:val="false"/>
          <w:smallCaps w:val="false"/>
          <w:sz w:val="20"/>
        </w:rPr>
        <w:t xml:space="preserve">April 21, 2020 </w:t>
      </w:r>
      <w:r>
        <w:rPr>
          <w:rFonts w:ascii="Times New Roman" w:hAnsi="Times New Roman"/>
          <w:caps w:val="false"/>
          <w:smallCaps w:val="false"/>
          <w:sz w:val="20"/>
        </w:rPr>
        <w:t xml:space="preserve">in favor of CNB pursuant to which the Company borrowed $1,665 original principal amount, which was funded on </w:t>
      </w:r>
      <w:r>
        <w:rPr>
          <w:rStyle w:val="Emphasis"/>
          <w:rFonts w:ascii="Times New Roman" w:hAnsi="Times New Roman"/>
          <w:caps w:val="false"/>
          <w:smallCaps w:val="false"/>
          <w:sz w:val="20"/>
        </w:rPr>
        <w:t>April 29, 2020 (</w:t>
      </w:r>
      <w:r>
        <w:rPr>
          <w:rFonts w:ascii="Times New Roman" w:hAnsi="Times New Roman"/>
          <w:caps w:val="false"/>
          <w:smallCaps w:val="false"/>
          <w:sz w:val="20"/>
        </w:rPr>
        <w:t>the “Venus Concept PPP Loan”). The Venus Concept PPP Loan bears interest at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per annum and matures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from the date of disbursement of funds under the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Venus Concept PPP Loan contains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Venus USA entered into a U.S. Small Business Administration Note dated as of </w:t>
      </w:r>
      <w:r>
        <w:rPr>
          <w:rStyle w:val="Emphasis"/>
          <w:rFonts w:ascii="Times New Roman" w:hAnsi="Times New Roman"/>
          <w:caps w:val="false"/>
          <w:smallCaps w:val="false"/>
          <w:sz w:val="20"/>
        </w:rPr>
        <w:t xml:space="preserve">April 15, 2020 </w:t>
      </w:r>
      <w:r>
        <w:rPr>
          <w:rFonts w:ascii="Times New Roman" w:hAnsi="Times New Roman"/>
          <w:caps w:val="false"/>
          <w:smallCaps w:val="false"/>
          <w:sz w:val="20"/>
        </w:rPr>
        <w:t xml:space="preserve">in favor of CNB. Venus USA borrowed $2,383 original principal amount, which was funded on </w:t>
      </w:r>
      <w:r>
        <w:rPr>
          <w:rStyle w:val="Emphasis"/>
          <w:rFonts w:ascii="Times New Roman" w:hAnsi="Times New Roman"/>
          <w:caps w:val="false"/>
          <w:smallCaps w:val="false"/>
          <w:sz w:val="20"/>
        </w:rPr>
        <w:t>April 20, 2020 (</w:t>
      </w:r>
      <w:r>
        <w:rPr>
          <w:rFonts w:ascii="Times New Roman" w:hAnsi="Times New Roman"/>
          <w:caps w:val="false"/>
          <w:smallCaps w:val="false"/>
          <w:sz w:val="20"/>
        </w:rPr>
        <w:t>the “Venus USA PPP Loan” and together with the Venus Concept PPP Loan, individually each a “PPP Loan” and collectively, the “PPP Loans”). The terms of the Venus USA PPP Loan are substantially similar to the terms of the Venus Concept PPP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Under certain circumstances, all or a portion of the PPP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forgiven. Through CNB, the Company applied for and received partial forgiveness of the Venus USA PPP Loan in the amount of $1,689 and the Venus Concept PPP Loan in the amount of $1,086. The remaining portion of the PPP Loans of the Company is recorded within the current liabilities in the unaudited condensed consolidated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Under the CNB Loan Agreement and the MSLP Loan Agreement, each PPP Loan is permitted to be incurred by Venus Concept Inc. and Venus USA as long as certain conditions remain satisfied. If Venus Concept Inc. and/or Venus USA defaults on the respective PPP Loan (i) events of default will occur under the CNB Loan Agreement and the MSLP Loan Agreement and (ii) Venus Concept Inc. and Venus USA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to immediately repay their respective PPP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repaid $407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2022</w:t>
      </w:r>
      <w:r>
        <w:rPr>
          <w:rFonts w:ascii="Times New Roman" w:hAnsi="Times New Roman"/>
          <w:caps w:val="false"/>
          <w:smallCaps w:val="false"/>
          <w:sz w:val="20"/>
        </w:rPr>
        <w:t>. As of </w:t>
      </w:r>
      <w:r>
        <w:rPr>
          <w:rStyle w:val="Emphasis"/>
          <w:rFonts w:ascii="Times New Roman" w:hAnsi="Times New Roman"/>
          <w:caps w:val="false"/>
          <w:smallCaps w:val="false"/>
          <w:sz w:val="20"/>
        </w:rPr>
        <w:t xml:space="preserve"> March 31, 2022</w:t>
      </w:r>
      <w:r>
        <w:rPr>
          <w:rFonts w:ascii="Times New Roman" w:hAnsi="Times New Roman"/>
          <w:caps w:val="false"/>
          <w:smallCaps w:val="false"/>
          <w:sz w:val="20"/>
        </w:rPr>
        <w:t xml:space="preserve">, the Company had $136 outstanding under the PPP Loans ($543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remaining portion of the PPP Loans of the Company was fully repaid in </w:t>
      </w:r>
      <w:r>
        <w:rPr>
          <w:rStyle w:val="Emphasis"/>
          <w:rFonts w:ascii="Times New Roman" w:hAnsi="Times New Roman"/>
          <w:caps w:val="false"/>
          <w:smallCaps w:val="false"/>
          <w:sz w:val="20"/>
        </w:rPr>
        <w:t>April 2022.</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COMMON STOCK RESERVED FOR ISSUANCE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required to reserve and keep available out of its authorized but unissued shares of common stock a number of shares sufficient to affect the exercise of all options granted and available for grant under the incentive plans, warrants to purchase common stock and preferred shares which are convertible to common stock.</w:t>
      </w:r>
    </w:p>
    <w:p>
      <w:pPr>
        <w:pStyle w:val="TextBody"/>
        <w:spacing w:before="0" w:after="0"/>
        <w:ind w:left="0" w:right="0" w:hanging="0"/>
        <w:rPr>
          <w:caps w:val="false"/>
          <w:smallCaps w:val="false"/>
        </w:rPr>
      </w:pPr>
      <w:r>
        <w:rPr>
          <w:caps w:val="false"/>
          <w:smallCaps w:val="false"/>
        </w:rPr>
        <w:t> </w:t>
      </w:r>
    </w:p>
    <w:tbl>
      <w:tblPr>
        <w:tblW w:w="8368" w:type="dxa"/>
        <w:jc w:val="left"/>
        <w:tblInd w:w="0" w:type="dxa"/>
        <w:tblCellMar>
          <w:top w:w="0" w:type="dxa"/>
          <w:left w:w="0" w:type="dxa"/>
          <w:bottom w:w="0" w:type="dxa"/>
          <w:right w:w="0" w:type="dxa"/>
        </w:tblCellMar>
      </w:tblPr>
      <w:tblGrid>
        <w:gridCol w:w="5180"/>
        <w:gridCol w:w="60"/>
        <w:gridCol w:w="79"/>
        <w:gridCol w:w="1260"/>
        <w:gridCol w:w="60"/>
        <w:gridCol w:w="60"/>
        <w:gridCol w:w="95"/>
        <w:gridCol w:w="1514"/>
        <w:gridCol w:w="60"/>
      </w:tblGrid>
      <w:tr>
        <w:trPr/>
        <w:tc>
          <w:tcPr>
            <w:tcW w:w="51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March 31, 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2021</w:t>
            </w:r>
          </w:p>
        </w:tc>
        <w:tc>
          <w:tcPr>
            <w:tcW w:w="60" w:type="dxa"/>
            <w:tcBorders/>
            <w:shd w:fill="FFFFFF"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common stock warrants</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12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15,928,867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15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15,928,867</w:t>
            </w:r>
          </w:p>
        </w:tc>
        <w:tc>
          <w:tcPr>
            <w:tcW w:w="60" w:type="dxa"/>
            <w:tcBorders/>
            <w:shd w:fill="CCEEFF" w:val="clear"/>
            <w:vAlign w:val="center"/>
          </w:tcPr>
          <w:p>
            <w:pPr>
              <w:pStyle w:val="TableContents"/>
              <w:spacing w:before="0" w:after="283"/>
              <w:rPr/>
            </w:pPr>
            <w:r>
              <w:rPr/>
              <w:t> </w:t>
            </w:r>
          </w:p>
        </w:tc>
      </w:tr>
      <w:tr>
        <w:trPr/>
        <w:tc>
          <w:tcPr>
            <w:tcW w:w="518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stock options and RSUs</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12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7,878,714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15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5,977,179</w:t>
            </w:r>
          </w:p>
        </w:tc>
        <w:tc>
          <w:tcPr>
            <w:tcW w:w="60" w:type="dxa"/>
            <w:tcBorders/>
            <w:shd w:fill="FFFFFF"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Preferred shares</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12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3,790,755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15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3,790,755</w:t>
            </w:r>
          </w:p>
        </w:tc>
        <w:tc>
          <w:tcPr>
            <w:tcW w:w="60" w:type="dxa"/>
            <w:tcBorders/>
            <w:shd w:fill="CCEEFF" w:val="clear"/>
            <w:vAlign w:val="center"/>
          </w:tcPr>
          <w:p>
            <w:pPr>
              <w:pStyle w:val="TableContents"/>
              <w:spacing w:before="0" w:after="283"/>
              <w:rPr/>
            </w:pPr>
            <w:r>
              <w:rPr/>
              <w:t> </w:t>
            </w:r>
          </w:p>
        </w:tc>
      </w:tr>
      <w:tr>
        <w:trPr/>
        <w:tc>
          <w:tcPr>
            <w:tcW w:w="518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Shares reserved for conversion of future preferred share issuance</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12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1,209,245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51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1,209,245</w:t>
            </w:r>
          </w:p>
        </w:tc>
        <w:tc>
          <w:tcPr>
            <w:tcW w:w="60" w:type="dxa"/>
            <w:tcBorders/>
            <w:shd w:fill="FFFFFF"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Shares reserved for future option grants and RSUs</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2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1,230,036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51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589,064</w:t>
            </w:r>
          </w:p>
        </w:tc>
        <w:tc>
          <w:tcPr>
            <w:tcW w:w="60" w:type="dxa"/>
            <w:tcBorders/>
            <w:shd w:fill="CCEEFF" w:val="clear"/>
            <w:vAlign w:val="center"/>
          </w:tcPr>
          <w:p>
            <w:pPr>
              <w:pStyle w:val="TableContents"/>
              <w:spacing w:before="0" w:after="283"/>
              <w:rPr/>
            </w:pPr>
            <w:r>
              <w:rPr/>
              <w:t> </w:t>
            </w:r>
          </w:p>
        </w:tc>
      </w:tr>
      <w:tr>
        <w:trPr/>
        <w:tc>
          <w:tcPr>
            <w:tcW w:w="518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Shares reserved for Lincoln Park</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12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5,222,867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51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5,222,867</w:t>
            </w:r>
          </w:p>
        </w:tc>
        <w:tc>
          <w:tcPr>
            <w:tcW w:w="60" w:type="dxa"/>
            <w:tcBorders/>
            <w:shd w:fill="FFFFFF"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Shares reserved for Madryn Noteholders</w:t>
            </w:r>
          </w:p>
        </w:tc>
        <w:tc>
          <w:tcPr>
            <w:tcW w:w="60" w:type="dxa"/>
            <w:tcBorders/>
            <w:shd w:fill="CCEEFF" w:val="clear"/>
            <w:vAlign w:val="center"/>
          </w:tcPr>
          <w:p>
            <w:pPr>
              <w:pStyle w:val="TableContents"/>
              <w:spacing w:before="0" w:after="283"/>
              <w:ind w:left="0" w:right="0" w:hanging="0"/>
              <w:rPr/>
            </w:pPr>
            <w:r>
              <w:rPr/>
              <w:t> </w:t>
            </w:r>
          </w:p>
        </w:tc>
        <w:tc>
          <w:tcPr>
            <w:tcW w:w="7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6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8,213,880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514"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8,213,880</w:t>
            </w:r>
          </w:p>
        </w:tc>
        <w:tc>
          <w:tcPr>
            <w:tcW w:w="60" w:type="dxa"/>
            <w:tcBorders/>
            <w:shd w:fill="CCEEFF" w:val="clear"/>
            <w:vAlign w:val="center"/>
          </w:tcPr>
          <w:p>
            <w:pPr>
              <w:pStyle w:val="TableContents"/>
              <w:spacing w:before="0" w:after="283"/>
              <w:rPr/>
            </w:pPr>
            <w:r>
              <w:rPr/>
              <w:t> </w:t>
            </w:r>
          </w:p>
        </w:tc>
      </w:tr>
      <w:tr>
        <w:trPr/>
        <w:tc>
          <w:tcPr>
            <w:tcW w:w="518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common stock reserved for issuance</w:t>
            </w:r>
          </w:p>
        </w:tc>
        <w:tc>
          <w:tcPr>
            <w:tcW w:w="60" w:type="dxa"/>
            <w:tcBorders/>
            <w:shd w:fill="FFFFFF" w:val="clear"/>
            <w:vAlign w:val="center"/>
          </w:tcPr>
          <w:p>
            <w:pPr>
              <w:pStyle w:val="TableContents"/>
              <w:spacing w:before="0" w:after="283"/>
              <w:rPr/>
            </w:pPr>
            <w:r>
              <w:rPr/>
              <w:t> </w:t>
            </w:r>
          </w:p>
        </w:tc>
        <w:tc>
          <w:tcPr>
            <w:tcW w:w="79"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2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43,474,364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51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40,931,857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STOCKHOLDERS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common stock confers upon its holders the following rights: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pPr>
            <w:r>
              <w:rPr>
                <w:rFonts w:ascii="Times New Roman" w:hAnsi="Times New Roman"/>
                <w:caps w:val="false"/>
                <w:smallCaps w:val="false"/>
                <w:sz w:val="20"/>
              </w:rPr>
              <w:t xml:space="preserve">The right to participate and vote in the Company’s stockholder meetings, whether annual or special. Each share will entitle its holder, when attending and participating in the voting in person or via proxy,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vote;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right to a share in the distribution of dividends, whether in cash or in the form of bonus shares, the distribution of assets or any other distribution pro rata to the par value of the shares held by them;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right to a share in the distribution of the Company’s excess assets upon liquidation pro rata to the par value of the shares held by them.</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The </w:t>
      </w:r>
      <w:r>
        <w:rPr>
          <w:rStyle w:val="Emphasis"/>
          <w:rFonts w:ascii="Times New Roman" w:hAnsi="Times New Roman"/>
          <w:i/>
          <w:caps w:val="false"/>
          <w:smallCaps w:val="false"/>
          <w:sz w:val="20"/>
        </w:rPr>
        <w:t>2021</w:t>
      </w:r>
      <w:r>
        <w:rPr>
          <w:rFonts w:ascii="Times New Roman" w:hAnsi="Times New Roman"/>
          <w:i/>
          <w:caps w:val="false"/>
          <w:smallCaps w:val="false"/>
          <w:sz w:val="20"/>
        </w:rPr>
        <w:t xml:space="preserve"> Private Placement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the Company entered into a securities purchase agreement with certain investors (collectively, the “Investors”) pursuant to which the Company issued and sold to the Investors an aggregate of 9,808,418 shares of common stock, par value $0.0001 per share, and 3,790,755 shares of the convertible preferred stock, par value $0.0001 per share (the “Preferred Stock”), which are convertible into 3,790,755 shares of common stock upon receipt of stockholder approval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Private Placement”).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Private Placement was completed on </w:t>
      </w:r>
      <w:r>
        <w:rPr>
          <w:rStyle w:val="Emphasis"/>
          <w:rFonts w:ascii="Times New Roman" w:hAnsi="Times New Roman"/>
          <w:caps w:val="false"/>
          <w:smallCaps w:val="false"/>
          <w:sz w:val="20"/>
        </w:rPr>
        <w:t>December 15, 2021. </w:t>
      </w:r>
      <w:r>
        <w:rPr>
          <w:rFonts w:ascii="Times New Roman" w:hAnsi="Times New Roman"/>
          <w:caps w:val="false"/>
          <w:smallCaps w:val="false"/>
          <w:sz w:val="20"/>
        </w:rPr>
        <w:t xml:space="preserve">The gross proceeds from the securities sold in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Private Placement was $16,999. The costs incurred with respect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Private Placement totaled $259 and were recorded as a reduction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Private Placement proceeds in the consolidated statements of stockholders’ equity as presented in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 on </w:t>
      </w:r>
      <w:r>
        <w:rPr>
          <w:rStyle w:val="Emphasis"/>
          <w:rFonts w:ascii="Times New Roman" w:hAnsi="Times New Roman"/>
          <w:caps w:val="false"/>
          <w:smallCaps w:val="false"/>
          <w:sz w:val="20"/>
        </w:rPr>
        <w:t>March 28,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 xml:space="preserve">Preferred Stock issued in </w:t>
      </w:r>
      <w:r>
        <w:rPr>
          <w:rStyle w:val="Emphasis"/>
          <w:rFonts w:ascii="Times New Roman" w:hAnsi="Times New Roman"/>
          <w:i/>
          <w:caps w:val="false"/>
          <w:smallCaps w:val="false"/>
          <w:sz w:val="20"/>
        </w:rPr>
        <w:t>December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noted above, 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the Company issued and sold to the Investors an aggregate of 3,790,755 shares of the Preferred Stock. The terms of the Preferred Stock are governed by a Certificate of Designation filed by the Company with the Secretary of State of the State of Delaware on </w:t>
      </w:r>
      <w:r>
        <w:rPr>
          <w:rStyle w:val="Emphasis"/>
          <w:rFonts w:ascii="Times New Roman" w:hAnsi="Times New Roman"/>
          <w:caps w:val="false"/>
          <w:smallCaps w:val="false"/>
          <w:sz w:val="20"/>
        </w:rPr>
        <w:t xml:space="preserve">December 14, 2021. </w:t>
      </w:r>
      <w:r>
        <w:rPr>
          <w:rFonts w:ascii="Times New Roman" w:hAnsi="Times New Roman"/>
          <w:caps w:val="false"/>
          <w:smallCaps w:val="false"/>
          <w:sz w:val="20"/>
        </w:rPr>
        <w:t>The following is a summary of the material terms of the Preferred Stock:</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pPr>
            <w:r>
              <w:rPr>
                <w:rFonts w:ascii="Times New Roman" w:hAnsi="Times New Roman"/>
                <w:i/>
                <w:caps w:val="false"/>
                <w:smallCaps w:val="false"/>
                <w:sz w:val="20"/>
              </w:rPr>
              <w:t>Voting Rights.</w:t>
            </w:r>
            <w:r>
              <w:rPr>
                <w:rFonts w:ascii="Times New Roman" w:hAnsi="Times New Roman"/>
                <w:caps w:val="false"/>
                <w:smallCaps w:val="false"/>
                <w:sz w:val="20"/>
              </w:rPr>
              <w:t xml:space="preserve"> The Preferred Stock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voting rights except as required by law and except that the consent of the holders of a majority of outstanding shares of the Preferred Stock will be required to amend the terms of the Preferred Stock or take certain other actions with respect to the Preferred Stock.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pPr>
            <w:r>
              <w:rPr>
                <w:rFonts w:ascii="Times New Roman" w:hAnsi="Times New Roman"/>
                <w:i/>
                <w:caps w:val="false"/>
                <w:smallCaps w:val="false"/>
                <w:sz w:val="20"/>
              </w:rPr>
              <w:t>Liquidation.</w:t>
            </w:r>
            <w:r>
              <w:rPr>
                <w:rFonts w:ascii="Times New Roman" w:hAnsi="Times New Roman"/>
                <w:caps w:val="false"/>
                <w:smallCaps w:val="false"/>
                <w:sz w:val="20"/>
              </w:rPr>
              <w:t xml:space="preserve"> The Preferred Stock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preference upon any liquidation, dissolution or winding-up of the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pPr>
            <w:r>
              <w:rPr>
                <w:rFonts w:ascii="Times New Roman" w:hAnsi="Times New Roman"/>
                <w:i/>
                <w:caps w:val="false"/>
                <w:smallCaps w:val="false"/>
                <w:sz w:val="20"/>
              </w:rPr>
              <w:t>Conversion</w:t>
            </w:r>
            <w:r>
              <w:rPr>
                <w:rFonts w:ascii="Times New Roman" w:hAnsi="Times New Roman"/>
                <w:caps w:val="false"/>
                <w:smallCaps w:val="false"/>
                <w:sz w:val="20"/>
              </w:rPr>
              <w:t xml:space="preserve">. The Preferred Stock is automatically convertible into shares of common stock, based on an initial conversion ratio of 1:1, as adjusted in accordance with the Certificate of Designation, upon receipt of the approval of the Company’s stockholders.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permitted to issue any shares of common stock upon conversion of the Preferred Stock to the extent that the issuance of such shares of common stock would exceed 9.99% of the Company’s outstanding shares of common stock as of the date of the initial issuance of the Preferred Stock (the “Ownership Limitation”). The Ownership Limitation will be appropriately adjusted for any reorganization, recapitalization, non-cash dividend, stock split, reverse stock split or other similar transaction.</w:t>
            </w:r>
          </w:p>
        </w:tc>
      </w:tr>
    </w:tbl>
    <w:p>
      <w:pPr>
        <w:pStyle w:val="TextBody"/>
        <w:spacing w:before="0" w:after="0"/>
        <w:ind w:left="0" w:right="0" w:hanging="0"/>
        <w:rPr>
          <w:caps w:val="false"/>
          <w:smallCaps w:val="false"/>
        </w:rPr>
      </w:pPr>
      <w:r>
        <w:rPr>
          <w:caps w:val="false"/>
          <w:smallCaps w:val="false"/>
        </w:rPr>
        <w:t> </w:t>
      </w:r>
    </w:p>
    <w:tbl>
      <w:tblPr>
        <w:tblW w:w="7150" w:type="dxa"/>
        <w:jc w:val="left"/>
        <w:tblInd w:w="0" w:type="dxa"/>
        <w:tblCellMar>
          <w:top w:w="0" w:type="dxa"/>
          <w:left w:w="0" w:type="dxa"/>
          <w:bottom w:w="0" w:type="dxa"/>
          <w:right w:w="0" w:type="dxa"/>
        </w:tblCellMar>
      </w:tblPr>
      <w:tblGrid>
        <w:gridCol w:w="60"/>
        <w:gridCol w:w="110"/>
        <w:gridCol w:w="698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Dividends. </w:t>
            </w:r>
            <w:r>
              <w:rPr>
                <w:rFonts w:ascii="Times New Roman" w:hAnsi="Times New Roman"/>
                <w:caps w:val="false"/>
                <w:smallCaps w:val="false"/>
                <w:sz w:val="20"/>
              </w:rPr>
              <w:t>No dividends will be paid on the outstanding shares of the Preferred Stock.</w:t>
            </w:r>
          </w:p>
        </w:tc>
      </w:tr>
    </w:tbl>
    <w:p>
      <w:pPr>
        <w:pStyle w:val="TextBody"/>
        <w:spacing w:before="0" w:after="0"/>
        <w:ind w:left="0" w:right="0" w:hanging="0"/>
        <w:rPr>
          <w:caps w:val="false"/>
          <w:smallCaps w:val="false"/>
        </w:rPr>
      </w:pPr>
      <w:r>
        <w:rPr>
          <w:caps w:val="false"/>
          <w:smallCaps w:val="false"/>
        </w:rPr>
        <w:t> </w:t>
      </w:r>
    </w:p>
    <w:tbl>
      <w:tblPr>
        <w:tblW w:w="9400" w:type="dxa"/>
        <w:jc w:val="left"/>
        <w:tblInd w:w="0" w:type="dxa"/>
        <w:tblCellMar>
          <w:top w:w="0" w:type="dxa"/>
          <w:left w:w="0" w:type="dxa"/>
          <w:bottom w:w="0" w:type="dxa"/>
          <w:right w:w="0" w:type="dxa"/>
        </w:tblCellMar>
      </w:tblPr>
      <w:tblGrid>
        <w:gridCol w:w="60"/>
        <w:gridCol w:w="110"/>
        <w:gridCol w:w="92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230" w:type="dxa"/>
            <w:tcBorders/>
            <w:shd w:fill="auto" w:val="clear"/>
            <w:vAlign w:val="center"/>
          </w:tcPr>
          <w:p>
            <w:pPr>
              <w:pStyle w:val="TableContents"/>
              <w:spacing w:before="0" w:after="0"/>
              <w:ind w:left="0" w:right="0" w:hanging="0"/>
              <w:jc w:val="both"/>
              <w:rPr/>
            </w:pPr>
            <w:r>
              <w:rPr>
                <w:rFonts w:ascii="Times New Roman" w:hAnsi="Times New Roman"/>
                <w:i/>
                <w:caps w:val="false"/>
                <w:smallCaps w:val="false"/>
                <w:sz w:val="20"/>
              </w:rPr>
              <w:t>Redemption</w:t>
            </w:r>
            <w:r>
              <w:rPr>
                <w:rFonts w:ascii="Times New Roman" w:hAnsi="Times New Roman"/>
                <w:caps w:val="false"/>
                <w:smallCaps w:val="false"/>
                <w:sz w:val="20"/>
              </w:rPr>
              <w:t xml:space="preserve">. The Preferred Stock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redeemable at the election of the Company or at the election of the holder.</w:t>
            </w:r>
          </w:p>
        </w:tc>
      </w:tr>
    </w:tbl>
    <w:p>
      <w:pPr>
        <w:pStyle w:val="TextBody"/>
        <w:spacing w:before="0" w:after="0"/>
        <w:ind w:left="0" w:right="0" w:hanging="0"/>
        <w:rPr>
          <w:caps w:val="false"/>
          <w:smallCaps w:val="false"/>
        </w:rPr>
      </w:pPr>
      <w:r>
        <w:rPr>
          <w:caps w:val="false"/>
          <w:smallCaps w:val="false"/>
        </w:rPr>
        <w:t> </w:t>
      </w:r>
    </w:p>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3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Maturity.</w:t>
            </w:r>
            <w:r>
              <w:rPr>
                <w:rFonts w:ascii="Times New Roman" w:hAnsi="Times New Roman"/>
                <w:caps w:val="false"/>
                <w:smallCaps w:val="false"/>
                <w:sz w:val="20"/>
              </w:rPr>
              <w:t> The Preferred Stock shall be perpetual unless converted.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issuance, the effective conversion price of the Preferred Stock of $1.25 per share was lower than the market price of the Company’s common stock on the date of issuance of the Preferred Stock of $1.29 per share; as a result, the Company recorded the beneficial conversion feature of $152 in accumulated paid in capital (“APIC”). Because the Preferred Stock is perpetual, it is carried at the amount recorded at inception. Upon conversion of the Preferred Stock, the beneficial conversion feature will be accounted for as a deemed dividend.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evaluated the Preferred Stock for liability or equity classification in accordance with the provisions of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Distinguishing Liabilities from Equity, and determined that equity treatment was appropriate because the Preferred Stock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definition of the liability instruments defined thereunder for convertible instruments. Specifically, the Preferred Stock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mandatorily redeemable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embody an obligation to buy back the shares outside of the Company’s control in a manner that could require the transfer of assets. Additionally, the Company determined that the Preferred Stock would be recorded as permanent equity,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temporary equity, based on the guidance of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Since the Preferred Stock was sold as a unit with the common stock, the proceeds received were allocated to each instrument on a relative fair value basis. Total net proceeds of $16,740 reduced by $152 of the beneficial conversion feature were allocated as follows: $4,514 to the Preferred Stock and $12,074 to shares of common stock. The Preferred Stock and common stock issued in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Private Placement were recorded at par value of $0.0001 with the excess of par value recorded in APIC.</w:t>
      </w:r>
    </w:p>
    <w:p>
      <w:pPr>
        <w:pStyle w:val="TextBody"/>
        <w:spacing w:before="0" w:after="0"/>
        <w:ind w:left="300" w:right="0" w:hanging="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i/>
          <w:caps w:val="false"/>
          <w:smallCaps w:val="false"/>
          <w:sz w:val="20"/>
        </w:rPr>
        <w:t>2010</w:t>
      </w:r>
      <w:r>
        <w:rPr>
          <w:rFonts w:ascii="Times New Roman" w:hAnsi="Times New Roman"/>
          <w:i/>
          <w:caps w:val="false"/>
          <w:smallCaps w:val="false"/>
          <w:sz w:val="20"/>
        </w:rPr>
        <w:t xml:space="preserve"> Share Option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2010, </w:t>
      </w:r>
      <w:r>
        <w:rPr>
          <w:rFonts w:ascii="Times New Roman" w:hAnsi="Times New Roman"/>
          <w:caps w:val="false"/>
          <w:smallCaps w:val="false"/>
          <w:sz w:val="20"/>
        </w:rPr>
        <w:t>the Company’s Board of Directors (the “Board”) adopted a share option plan (the </w:t>
      </w:r>
      <w:r>
        <w:rPr>
          <w:rStyle w:val="Emphasis"/>
          <w:rFonts w:ascii="Times New Roman" w:hAnsi="Times New Roman"/>
          <w:caps w:val="false"/>
          <w:smallCaps w:val="false"/>
          <w:sz w:val="20"/>
        </w:rPr>
        <w:t>“2010</w:t>
      </w:r>
      <w:r>
        <w:rPr>
          <w:rFonts w:ascii="Times New Roman" w:hAnsi="Times New Roman"/>
          <w:caps w:val="false"/>
          <w:smallCaps w:val="false"/>
          <w:sz w:val="20"/>
        </w:rPr>
        <w:t xml:space="preserve"> Share Option Plan”) pursuant to which shares of the Company’s common stock are reserved for issuance upon the exercise of options to be granted to directors, officers, employees and consultants of the Company. The </w:t>
      </w:r>
      <w:r>
        <w:rPr>
          <w:rStyle w:val="Emphasis"/>
          <w:rFonts w:ascii="Times New Roman" w:hAnsi="Times New Roman"/>
          <w:caps w:val="false"/>
          <w:smallCaps w:val="false"/>
          <w:sz w:val="20"/>
        </w:rPr>
        <w:t>2010</w:t>
      </w:r>
      <w:r>
        <w:rPr>
          <w:rFonts w:ascii="Times New Roman" w:hAnsi="Times New Roman"/>
          <w:caps w:val="false"/>
          <w:smallCaps w:val="false"/>
          <w:sz w:val="20"/>
        </w:rPr>
        <w:t xml:space="preserve"> Share Option Plan is administered by the Board, which designates the options and dates of grant. Options granted vest over a period determined by the Board, originally had a contractual life of seven years, which was extended to ten years in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and are non-assignable except by the laws of descent. The Board has the authority to prescribe, amend and rescind rules and regulations relating to the </w:t>
      </w:r>
      <w:r>
        <w:rPr>
          <w:rStyle w:val="Emphasis"/>
          <w:rFonts w:ascii="Times New Roman" w:hAnsi="Times New Roman"/>
          <w:caps w:val="false"/>
          <w:smallCaps w:val="false"/>
          <w:sz w:val="20"/>
        </w:rPr>
        <w:t>2010</w:t>
      </w:r>
      <w:r>
        <w:rPr>
          <w:rFonts w:ascii="Times New Roman" w:hAnsi="Times New Roman"/>
          <w:caps w:val="false"/>
          <w:smallCaps w:val="false"/>
          <w:sz w:val="20"/>
        </w:rPr>
        <w:t xml:space="preserve"> Share Option Plan, provided that any such amendment or rescindment that would adversely affect the rights of an optionee that has received or been granted an option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made without the optionee’s written consent.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the number of shares of the Company’s common stock reserved for issuance and available for grant under the </w:t>
      </w:r>
      <w:r>
        <w:rPr>
          <w:rStyle w:val="Emphasis"/>
          <w:rFonts w:ascii="Times New Roman" w:hAnsi="Times New Roman"/>
          <w:caps w:val="false"/>
          <w:smallCaps w:val="false"/>
          <w:sz w:val="20"/>
        </w:rPr>
        <w:t>2010</w:t>
      </w:r>
      <w:r>
        <w:rPr>
          <w:rFonts w:ascii="Times New Roman" w:hAnsi="Times New Roman"/>
          <w:caps w:val="false"/>
          <w:smallCaps w:val="false"/>
          <w:sz w:val="20"/>
        </w:rPr>
        <w:t xml:space="preserve"> Share Option Plan was 125,745 (212,650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2019</w:t>
      </w:r>
      <w:r>
        <w:rPr>
          <w:rFonts w:ascii="Times New Roman" w:hAnsi="Times New Roman"/>
          <w:caps w:val="false"/>
          <w:smallCaps w:val="false"/>
          <w:sz w:val="20"/>
        </w:rPr>
        <w:t xml:space="preserve"> </w:t>
      </w:r>
      <w:r>
        <w:rPr>
          <w:rFonts w:ascii="Times New Roman" w:hAnsi="Times New Roman"/>
          <w:i/>
          <w:caps w:val="false"/>
          <w:smallCaps w:val="false"/>
          <w:sz w:val="20"/>
        </w:rPr>
        <w:t>Incentive Award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Incentive Award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was originally established under the name Restoration Robotics, Inc., as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Incentive Award Plan. It was adopted by the Board on </w:t>
      </w:r>
      <w:r>
        <w:rPr>
          <w:rStyle w:val="Emphasis"/>
          <w:rFonts w:ascii="Times New Roman" w:hAnsi="Times New Roman"/>
          <w:caps w:val="false"/>
          <w:smallCaps w:val="false"/>
          <w:sz w:val="20"/>
        </w:rPr>
        <w:t>September 12,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and approved by the Company’s stockholders on </w:t>
      </w:r>
      <w:r>
        <w:rPr>
          <w:rStyle w:val="Emphasis"/>
          <w:rFonts w:ascii="Times New Roman" w:hAnsi="Times New Roman"/>
          <w:caps w:val="false"/>
          <w:smallCaps w:val="false"/>
          <w:sz w:val="20"/>
        </w:rPr>
        <w:t>September 14,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Incentive Award Plan was amended, restated, and renamed as set forth above, and was approved by the Company’s stockholders on </w:t>
      </w:r>
      <w:r>
        <w:rPr>
          <w:rStyle w:val="Emphasis"/>
          <w:rFonts w:ascii="Times New Roman" w:hAnsi="Times New Roman"/>
          <w:caps w:val="false"/>
          <w:smallCaps w:val="false"/>
          <w:sz w:val="20"/>
        </w:rPr>
        <w:t>October 4,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as of the date we completed our business combination with Venus Ltd. and the business of Venus Ltd. became the primary business of the Company (the “Merger”). 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there were 1,104,291 shares of common stock available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(376,414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contains an “evergreen” provision, pursuant to which the number of shares of common stock reserved for issuance pursuant to awards under such plan shall be increased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year from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ending in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equal to the lesser of (A)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percent (4.00%) of the shares of stock outstanding on the last day of the immediately preceding fiscal year and (B) such smaller number of shares of stock as determined by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Company recognized stock-based compensation for its employees and non-employees in the accompanying unaudited condensed consolidated statements of operations as follows:</w:t>
      </w:r>
    </w:p>
    <w:p>
      <w:pPr>
        <w:pStyle w:val="TextBody"/>
        <w:spacing w:before="0" w:after="0"/>
        <w:ind w:left="0" w:right="0" w:hanging="0"/>
        <w:rPr>
          <w:caps w:val="false"/>
          <w:smallCaps w:val="false"/>
        </w:rPr>
      </w:pPr>
      <w:r>
        <w:rPr>
          <w:caps w:val="false"/>
          <w:smallCaps w:val="false"/>
        </w:rPr>
        <w:t> </w:t>
      </w:r>
    </w:p>
    <w:tbl>
      <w:tblPr>
        <w:tblW w:w="5421" w:type="dxa"/>
        <w:jc w:val="left"/>
        <w:tblInd w:w="0" w:type="dxa"/>
        <w:tblCellMar>
          <w:top w:w="0" w:type="dxa"/>
          <w:left w:w="0" w:type="dxa"/>
          <w:bottom w:w="0" w:type="dxa"/>
          <w:right w:w="0" w:type="dxa"/>
        </w:tblCellMar>
      </w:tblPr>
      <w:tblGrid>
        <w:gridCol w:w="2645"/>
        <w:gridCol w:w="60"/>
        <w:gridCol w:w="319"/>
        <w:gridCol w:w="856"/>
        <w:gridCol w:w="153"/>
        <w:gridCol w:w="153"/>
        <w:gridCol w:w="319"/>
        <w:gridCol w:w="856"/>
        <w:gridCol w:w="60"/>
      </w:tblGrid>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53"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ind w:left="0" w:right="0" w:hanging="0"/>
              <w:rPr/>
            </w:pPr>
            <w:r>
              <w:rPr/>
              <w:t> </w:t>
            </w:r>
          </w:p>
        </w:tc>
        <w:tc>
          <w:tcPr>
            <w:tcW w:w="11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sales</w:t>
            </w:r>
          </w:p>
        </w:tc>
        <w:tc>
          <w:tcPr>
            <w:tcW w:w="60" w:type="dxa"/>
            <w:tcBorders/>
            <w:shd w:fill="CCEEFF" w:val="clear"/>
            <w:vAlign w:val="center"/>
          </w:tcPr>
          <w:p>
            <w:pPr>
              <w:pStyle w:val="TableContents"/>
              <w:spacing w:before="0" w:after="283"/>
              <w:rPr/>
            </w:pPr>
            <w:r>
              <w:rPr/>
              <w:t> </w:t>
            </w:r>
          </w:p>
        </w:tc>
        <w:tc>
          <w:tcPr>
            <w:tcW w:w="31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w:t>
            </w:r>
          </w:p>
        </w:tc>
        <w:tc>
          <w:tcPr>
            <w:tcW w:w="153"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31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Selling and marketing</w:t>
            </w:r>
          </w:p>
        </w:tc>
        <w:tc>
          <w:tcPr>
            <w:tcW w:w="60" w:type="dxa"/>
            <w:tcBorders/>
            <w:shd w:fill="FFFFFF" w:val="clear"/>
            <w:vAlign w:val="center"/>
          </w:tcPr>
          <w:p>
            <w:pPr>
              <w:pStyle w:val="TableContents"/>
              <w:spacing w:before="0" w:after="283"/>
              <w:rPr/>
            </w:pPr>
            <w:r>
              <w:rPr/>
              <w:t> </w:t>
            </w:r>
          </w:p>
        </w:tc>
        <w:tc>
          <w:tcPr>
            <w:tcW w:w="319" w:type="dxa"/>
            <w:tcBorders/>
            <w:shd w:fill="FFFFFF" w:val="clear"/>
            <w:vAlign w:val="center"/>
          </w:tcPr>
          <w:p>
            <w:pPr>
              <w:pStyle w:val="TableContents"/>
              <w:spacing w:before="0" w:after="283"/>
              <w:rPr/>
            </w:pPr>
            <w:r>
              <w:rPr/>
              <w:t> </w:t>
            </w:r>
          </w:p>
        </w:tc>
        <w:tc>
          <w:tcPr>
            <w:tcW w:w="85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175</w:t>
            </w:r>
          </w:p>
        </w:tc>
        <w:tc>
          <w:tcPr>
            <w:tcW w:w="153"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rPr/>
            </w:pPr>
            <w:r>
              <w:rPr/>
              <w:t> </w:t>
            </w:r>
          </w:p>
        </w:tc>
        <w:tc>
          <w:tcPr>
            <w:tcW w:w="319" w:type="dxa"/>
            <w:tcBorders/>
            <w:shd w:fill="FFFFFF" w:val="clear"/>
            <w:vAlign w:val="center"/>
          </w:tcPr>
          <w:p>
            <w:pPr>
              <w:pStyle w:val="TableContents"/>
              <w:spacing w:before="0" w:after="283"/>
              <w:rPr/>
            </w:pPr>
            <w:r>
              <w:rPr/>
              <w:t> </w:t>
            </w:r>
          </w:p>
        </w:tc>
        <w:tc>
          <w:tcPr>
            <w:tcW w:w="85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217</w:t>
            </w:r>
          </w:p>
        </w:tc>
        <w:tc>
          <w:tcPr>
            <w:tcW w:w="60" w:type="dxa"/>
            <w:tcBorders/>
            <w:shd w:fill="FFFFFF"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spacing w:before="0" w:after="283"/>
              <w:rPr/>
            </w:pPr>
            <w:r>
              <w:rPr/>
              <w:t> </w:t>
            </w:r>
          </w:p>
        </w:tc>
        <w:tc>
          <w:tcPr>
            <w:tcW w:w="319" w:type="dxa"/>
            <w:tcBorders/>
            <w:shd w:fill="CCEEFF" w:val="clear"/>
            <w:vAlign w:val="center"/>
          </w:tcPr>
          <w:p>
            <w:pPr>
              <w:pStyle w:val="TableContents"/>
              <w:spacing w:before="0" w:after="283"/>
              <w:rPr/>
            </w:pPr>
            <w:r>
              <w:rPr/>
              <w:t> </w:t>
            </w:r>
          </w:p>
        </w:tc>
        <w:tc>
          <w:tcPr>
            <w:tcW w:w="8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229</w:t>
            </w:r>
          </w:p>
        </w:tc>
        <w:tc>
          <w:tcPr>
            <w:tcW w:w="153"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319" w:type="dxa"/>
            <w:tcBorders/>
            <w:shd w:fill="CCEEFF" w:val="clear"/>
            <w:vAlign w:val="center"/>
          </w:tcPr>
          <w:p>
            <w:pPr>
              <w:pStyle w:val="TableContents"/>
              <w:spacing w:before="0" w:after="283"/>
              <w:rPr/>
            </w:pPr>
            <w:r>
              <w:rPr/>
              <w:t> </w:t>
            </w:r>
          </w:p>
        </w:tc>
        <w:tc>
          <w:tcPr>
            <w:tcW w:w="8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264</w:t>
            </w:r>
          </w:p>
        </w:tc>
        <w:tc>
          <w:tcPr>
            <w:tcW w:w="60" w:type="dxa"/>
            <w:tcBorders/>
            <w:shd w:fill="CCEE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spacing w:before="0" w:after="283"/>
              <w:ind w:left="0" w:right="0" w:hanging="0"/>
              <w:rPr/>
            </w:pPr>
            <w:r>
              <w:rPr/>
              <w:t> </w:t>
            </w:r>
          </w:p>
        </w:tc>
        <w:tc>
          <w:tcPr>
            <w:tcW w:w="31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31</w:t>
            </w:r>
          </w:p>
        </w:tc>
        <w:tc>
          <w:tcPr>
            <w:tcW w:w="153"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ind w:left="0" w:right="0" w:hanging="0"/>
              <w:rPr/>
            </w:pPr>
            <w:r>
              <w:rPr/>
              <w:t> </w:t>
            </w:r>
          </w:p>
        </w:tc>
        <w:tc>
          <w:tcPr>
            <w:tcW w:w="31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20</w:t>
            </w:r>
          </w:p>
        </w:tc>
        <w:tc>
          <w:tcPr>
            <w:tcW w:w="60" w:type="dxa"/>
            <w:tcBorders/>
            <w:shd w:fill="FFFFFF"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stock-based compensation</w:t>
            </w:r>
          </w:p>
        </w:tc>
        <w:tc>
          <w:tcPr>
            <w:tcW w:w="60" w:type="dxa"/>
            <w:tcBorders/>
            <w:shd w:fill="CCEEFF" w:val="clear"/>
            <w:vAlign w:val="center"/>
          </w:tcPr>
          <w:p>
            <w:pPr>
              <w:pStyle w:val="TableContents"/>
              <w:spacing w:before="0" w:after="283"/>
              <w:ind w:left="0" w:right="0" w:hanging="0"/>
              <w:rPr/>
            </w:pPr>
            <w:r>
              <w:rPr/>
              <w:t> </w:t>
            </w:r>
          </w:p>
        </w:tc>
        <w:tc>
          <w:tcPr>
            <w:tcW w:w="31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w:t>
            </w:r>
          </w:p>
        </w:tc>
        <w:tc>
          <w:tcPr>
            <w:tcW w:w="153"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ind w:left="0" w:right="0" w:hanging="0"/>
              <w:rPr/>
            </w:pPr>
            <w:r>
              <w:rPr/>
              <w:t> </w:t>
            </w:r>
          </w:p>
        </w:tc>
        <w:tc>
          <w:tcPr>
            <w:tcW w:w="31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508</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fair value of each option is estimated at the date of grant using the Black-Scholes option pricing formula with the following assumptions</w:t>
      </w:r>
      <w:r>
        <w:rPr>
          <w:rFonts w:ascii="Times New Roman" w:hAnsi="Times New Roman"/>
          <w:caps w:val="false"/>
          <w:smallCaps w:val="false"/>
          <w:position w:val="-6"/>
          <w:sz w:val="16"/>
          <w:sz w:val="20"/>
        </w:rPr>
        <w:t>:</w:t>
      </w:r>
    </w:p>
    <w:p>
      <w:pPr>
        <w:pStyle w:val="TextBody"/>
        <w:spacing w:before="0" w:after="0"/>
        <w:ind w:left="0" w:right="0" w:hanging="0"/>
        <w:rPr>
          <w:caps w:val="false"/>
          <w:smallCaps w:val="false"/>
        </w:rPr>
      </w:pPr>
      <w:r>
        <w:rPr>
          <w:caps w:val="false"/>
          <w:smallCaps w:val="false"/>
        </w:rPr>
        <w:t> </w:t>
      </w:r>
    </w:p>
    <w:tbl>
      <w:tblPr>
        <w:tblW w:w="4887" w:type="dxa"/>
        <w:jc w:val="left"/>
        <w:tblInd w:w="0" w:type="dxa"/>
        <w:tblCellMar>
          <w:top w:w="0" w:type="dxa"/>
          <w:left w:w="0" w:type="dxa"/>
          <w:bottom w:w="0" w:type="dxa"/>
          <w:right w:w="0" w:type="dxa"/>
        </w:tblCellMar>
      </w:tblPr>
      <w:tblGrid>
        <w:gridCol w:w="1985"/>
        <w:gridCol w:w="60"/>
        <w:gridCol w:w="119"/>
        <w:gridCol w:w="966"/>
        <w:gridCol w:w="368"/>
        <w:gridCol w:w="119"/>
        <w:gridCol w:w="119"/>
        <w:gridCol w:w="966"/>
        <w:gridCol w:w="185"/>
      </w:tblGrid>
      <w:tr>
        <w:trPr/>
        <w:tc>
          <w:tcPr>
            <w:tcW w:w="19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185" w:type="dxa"/>
            <w:tcBorders/>
            <w:shd w:fill="FFFFFF" w:val="clear"/>
            <w:vAlign w:val="center"/>
          </w:tcPr>
          <w:p>
            <w:pPr>
              <w:pStyle w:val="TableContents"/>
              <w:spacing w:before="0" w:after="283"/>
              <w:rPr/>
            </w:pPr>
            <w:r>
              <w:rPr/>
              <w:t> </w:t>
            </w:r>
          </w:p>
        </w:tc>
      </w:tr>
      <w:tr>
        <w:trPr/>
        <w:tc>
          <w:tcPr>
            <w:tcW w:w="19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368"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10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185" w:type="dxa"/>
            <w:tcBorders/>
            <w:shd w:fill="FFFFFF" w:val="clear"/>
            <w:vAlign w:val="center"/>
          </w:tcPr>
          <w:p>
            <w:pPr>
              <w:pStyle w:val="TableContents"/>
              <w:spacing w:before="0" w:after="283"/>
              <w:rPr/>
            </w:pPr>
            <w:r>
              <w:rPr/>
              <w:t> </w:t>
            </w:r>
          </w:p>
        </w:tc>
      </w:tr>
      <w:tr>
        <w:trPr/>
        <w:tc>
          <w:tcPr>
            <w:tcW w:w="19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ind w:left="0" w:right="0" w:hanging="0"/>
              <w:rPr/>
            </w:pPr>
            <w:r>
              <w:rPr/>
              <w:t> </w:t>
            </w:r>
          </w:p>
        </w:tc>
        <w:tc>
          <w:tcPr>
            <w:tcW w:w="9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6.00</w:t>
            </w:r>
          </w:p>
        </w:tc>
        <w:tc>
          <w:tcPr>
            <w:tcW w:w="368"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ind w:left="0" w:right="0" w:hanging="0"/>
              <w:rPr/>
            </w:pPr>
            <w:r>
              <w:rPr/>
              <w:t> </w:t>
            </w:r>
          </w:p>
        </w:tc>
        <w:tc>
          <w:tcPr>
            <w:tcW w:w="9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6.01</w:t>
            </w:r>
          </w:p>
        </w:tc>
        <w:tc>
          <w:tcPr>
            <w:tcW w:w="185" w:type="dxa"/>
            <w:tcBorders/>
            <w:shd w:fill="CCEEFF" w:val="clear"/>
            <w:vAlign w:val="center"/>
          </w:tcPr>
          <w:p>
            <w:pPr>
              <w:pStyle w:val="TableContents"/>
              <w:spacing w:before="0" w:after="283"/>
              <w:rPr/>
            </w:pPr>
            <w:r>
              <w:rPr/>
              <w:t> </w:t>
            </w:r>
          </w:p>
        </w:tc>
      </w:tr>
      <w:tr>
        <w:trPr/>
        <w:tc>
          <w:tcPr>
            <w:tcW w:w="19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9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w:t>
            </w:r>
          </w:p>
        </w:tc>
        <w:tc>
          <w:tcPr>
            <w:tcW w:w="36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9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9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ind w:left="0" w:right="0" w:hanging="0"/>
              <w:rPr/>
            </w:pPr>
            <w:r>
              <w:rPr/>
              <w:t> </w:t>
            </w:r>
          </w:p>
        </w:tc>
        <w:tc>
          <w:tcPr>
            <w:tcW w:w="9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42.54</w:t>
            </w:r>
          </w:p>
        </w:tc>
        <w:tc>
          <w:tcPr>
            <w:tcW w:w="36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ind w:left="0" w:right="0" w:hanging="0"/>
              <w:rPr/>
            </w:pPr>
            <w:r>
              <w:rPr/>
              <w:t> </w:t>
            </w:r>
          </w:p>
        </w:tc>
        <w:tc>
          <w:tcPr>
            <w:tcW w:w="9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9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Expected dividend rate</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9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36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19"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ind w:left="0" w:right="0" w:hanging="0"/>
              <w:rPr/>
            </w:pPr>
            <w:r>
              <w:rPr/>
              <w:t> </w:t>
            </w:r>
          </w:p>
        </w:tc>
        <w:tc>
          <w:tcPr>
            <w:tcW w:w="9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Expected Term</w:t>
      </w:r>
      <w:r>
        <w:rPr>
          <w:rFonts w:ascii="Times New Roman" w:hAnsi="Times New Roman"/>
          <w:caps w:val="false"/>
          <w:smallCaps w:val="false"/>
          <w:sz w:val="20"/>
        </w:rPr>
        <w:t>—The expected term represents management’s best estimate for the options to be exercised by option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Volatility</w:t>
      </w:r>
      <w:r>
        <w:rPr>
          <w:rFonts w:ascii="Times New Roman" w:hAnsi="Times New Roman"/>
          <w:caps w:val="false"/>
          <w:smallCaps w:val="false"/>
          <w:sz w:val="20"/>
        </w:rPr>
        <w:t xml:space="preserve">—Since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trading history for its common stock, the expected volatility was derived from the historical stock volatilities of comparable peer public companies within its industry that are considered to be comparable to the Company’s business over a period equivalent to the expected term of the stock-based awards.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i/>
          <w:caps w:val="false"/>
          <w:smallCaps w:val="false"/>
          <w:sz w:val="20"/>
        </w:rPr>
        <w:t>Risk-Free Interest Rate</w:t>
      </w:r>
      <w:r>
        <w:rPr>
          <w:rFonts w:ascii="Times New Roman" w:hAnsi="Times New Roman"/>
          <w:caps w:val="false"/>
          <w:smallCaps w:val="false"/>
          <w:sz w:val="20"/>
        </w:rPr>
        <w:t xml:space="preserve">—The risk-free interest rate is based on the U.S. Treasury yield curve in effect at the date of grant for </w:t>
      </w:r>
      <w:r>
        <w:rPr>
          <w:rStyle w:val="Emphasis"/>
          <w:rFonts w:ascii="Times New Roman" w:hAnsi="Times New Roman"/>
          <w:caps w:val="false"/>
          <w:smallCaps w:val="false"/>
          <w:sz w:val="20"/>
        </w:rPr>
        <w:t>zero</w:t>
      </w:r>
      <w:r>
        <w:rPr>
          <w:rFonts w:ascii="Times New Roman" w:hAnsi="Times New Roman"/>
          <w:caps w:val="false"/>
          <w:smallCaps w:val="false"/>
          <w:sz w:val="20"/>
        </w:rPr>
        <w:t>-coupon U.S. Treasury notes with maturities approximately equal to the stock-based awards’ expected term.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Dividend Rate</w:t>
      </w:r>
      <w:r>
        <w:rPr>
          <w:rFonts w:ascii="Times New Roman" w:hAnsi="Times New Roman"/>
          <w:caps w:val="false"/>
          <w:smallCaps w:val="false"/>
          <w:sz w:val="20"/>
        </w:rPr>
        <w:t xml:space="preserve">—The expected dividend is zero as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nor does it anticipate paying any dividends on its common stock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Fair Value of Common Stock</w:t>
      </w:r>
      <w:r>
        <w:rPr>
          <w:rFonts w:ascii="Times New Roman" w:hAnsi="Times New Roman"/>
          <w:caps w:val="false"/>
          <w:smallCaps w:val="false"/>
          <w:sz w:val="20"/>
        </w:rPr>
        <w:t>— Prior to the Merger, Venus Ltd. used the price per share in its latest sale of securities as an estimate of the fair value of its ordinary shares. After the closing of the Merger, the fair value of the Company’s common stock is used to estimate the fair value of the stock-based awards at grant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 summarizes stock option activity under the Company’s stock option plans: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17"/>
        <w:gridCol w:w="60"/>
        <w:gridCol w:w="78"/>
        <w:gridCol w:w="1111"/>
        <w:gridCol w:w="80"/>
        <w:gridCol w:w="60"/>
        <w:gridCol w:w="579"/>
        <w:gridCol w:w="1768"/>
        <w:gridCol w:w="60"/>
        <w:gridCol w:w="60"/>
        <w:gridCol w:w="342"/>
        <w:gridCol w:w="2185"/>
        <w:gridCol w:w="60"/>
        <w:gridCol w:w="60"/>
        <w:gridCol w:w="411"/>
        <w:gridCol w:w="1108"/>
        <w:gridCol w:w="66"/>
      </w:tblGrid>
      <w:tr>
        <w:trPr/>
        <w:tc>
          <w:tcPr>
            <w:tcW w:w="211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Exercise Price per Share,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2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Contractual Term</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Aggregate Intrinsic Value</w:t>
            </w:r>
          </w:p>
        </w:tc>
        <w:tc>
          <w:tcPr>
            <w:tcW w:w="66" w:type="dxa"/>
            <w:tcBorders/>
            <w:shd w:fill="FFFFFF" w:val="clear"/>
            <w:vAlign w:val="center"/>
          </w:tcPr>
          <w:p>
            <w:pPr>
              <w:pStyle w:val="TableContents"/>
              <w:spacing w:before="0" w:after="283"/>
              <w:rPr/>
            </w:pPr>
            <w:r>
              <w:rPr/>
              <w:t> </w:t>
            </w:r>
          </w:p>
        </w:tc>
      </w:tr>
      <w:tr>
        <w:trPr/>
        <w:tc>
          <w:tcPr>
            <w:tcW w:w="2117"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 January 1, 2022</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ind w:left="0" w:right="0" w:hanging="0"/>
              <w:rPr/>
            </w:pPr>
            <w:r>
              <w:rPr/>
              <w:t> </w:t>
            </w:r>
          </w:p>
        </w:tc>
        <w:tc>
          <w:tcPr>
            <w:tcW w:w="11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5,977,179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6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shd w:fill="CCEEFF" w:val="clear"/>
            <w:vAlign w:val="center"/>
          </w:tcPr>
          <w:p>
            <w:pPr>
              <w:pStyle w:val="TableContents"/>
              <w:spacing w:before="0" w:after="283"/>
              <w:ind w:left="0" w:right="0" w:hanging="0"/>
              <w:rPr/>
            </w:pPr>
            <w:r>
              <w:rPr/>
              <w:t> </w:t>
            </w:r>
          </w:p>
        </w:tc>
        <w:tc>
          <w:tcPr>
            <w:tcW w:w="21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1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w:t>
            </w:r>
          </w:p>
        </w:tc>
        <w:tc>
          <w:tcPr>
            <w:tcW w:w="66" w:type="dxa"/>
            <w:tcBorders/>
            <w:shd w:fill="CCEEFF" w:val="clear"/>
            <w:vAlign w:val="center"/>
          </w:tcPr>
          <w:p>
            <w:pPr>
              <w:pStyle w:val="TableContents"/>
              <w:spacing w:before="0" w:after="283"/>
              <w:rPr/>
            </w:pPr>
            <w:r>
              <w:rPr/>
              <w:t> </w:t>
            </w:r>
          </w:p>
        </w:tc>
      </w:tr>
      <w:tr>
        <w:trPr/>
        <w:tc>
          <w:tcPr>
            <w:tcW w:w="2117"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Options granted</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11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2,041,250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79" w:type="dxa"/>
            <w:tcBorders/>
            <w:shd w:fill="FFFFFF" w:val="clear"/>
            <w:vAlign w:val="center"/>
          </w:tcPr>
          <w:p>
            <w:pPr>
              <w:pStyle w:val="TableContents"/>
              <w:spacing w:before="0" w:after="283"/>
              <w:rPr/>
            </w:pPr>
            <w:r>
              <w:rPr/>
              <w:t> </w:t>
            </w:r>
          </w:p>
        </w:tc>
        <w:tc>
          <w:tcPr>
            <w:tcW w:w="17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1.38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2" w:type="dxa"/>
            <w:tcBorders/>
            <w:shd w:fill="FFFFFF" w:val="clear"/>
            <w:vAlign w:val="center"/>
          </w:tcPr>
          <w:p>
            <w:pPr>
              <w:pStyle w:val="TableContents"/>
              <w:spacing w:before="0" w:after="283"/>
              <w:rPr/>
            </w:pPr>
            <w:r>
              <w:rPr/>
              <w:t> </w:t>
            </w:r>
          </w:p>
        </w:tc>
        <w:tc>
          <w:tcPr>
            <w:tcW w:w="218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11" w:type="dxa"/>
            <w:tcBorders/>
            <w:shd w:fill="FFFFFF" w:val="clear"/>
            <w:vAlign w:val="center"/>
          </w:tcPr>
          <w:p>
            <w:pPr>
              <w:pStyle w:val="TableContents"/>
              <w:spacing w:before="0" w:after="283"/>
              <w:rPr/>
            </w:pPr>
            <w:r>
              <w:rPr/>
              <w:t> </w:t>
            </w:r>
          </w:p>
        </w:tc>
        <w:tc>
          <w:tcPr>
            <w:tcW w:w="110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102</w:t>
            </w:r>
          </w:p>
        </w:tc>
        <w:tc>
          <w:tcPr>
            <w:tcW w:w="66" w:type="dxa"/>
            <w:tcBorders/>
            <w:shd w:fill="FFFFFF" w:val="clear"/>
            <w:vAlign w:val="center"/>
          </w:tcPr>
          <w:p>
            <w:pPr>
              <w:pStyle w:val="TableContents"/>
              <w:spacing w:before="0" w:after="283"/>
              <w:rPr/>
            </w:pPr>
            <w:r>
              <w:rPr/>
              <w:t> </w:t>
            </w:r>
          </w:p>
        </w:tc>
      </w:tr>
      <w:tr>
        <w:trPr/>
        <w:tc>
          <w:tcPr>
            <w:tcW w:w="211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exercised</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(16,464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579" w:type="dxa"/>
            <w:tcBorders/>
            <w:shd w:fill="CCEEFF" w:val="clear"/>
            <w:vAlign w:val="center"/>
          </w:tcPr>
          <w:p>
            <w:pPr>
              <w:pStyle w:val="TableContents"/>
              <w:spacing w:before="0" w:after="283"/>
              <w:rPr/>
            </w:pPr>
            <w:r>
              <w:rPr/>
              <w:t> </w:t>
            </w:r>
          </w:p>
        </w:tc>
        <w:tc>
          <w:tcPr>
            <w:tcW w:w="17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shd w:fill="CCEEFF" w:val="clear"/>
            <w:vAlign w:val="center"/>
          </w:tcPr>
          <w:p>
            <w:pPr>
              <w:pStyle w:val="TableContents"/>
              <w:spacing w:before="0" w:after="283"/>
              <w:rPr/>
            </w:pPr>
            <w:r>
              <w:rPr/>
              <w:t> </w:t>
            </w:r>
          </w:p>
        </w:tc>
        <w:tc>
          <w:tcPr>
            <w:tcW w:w="2185"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11" w:type="dxa"/>
            <w:tcBorders/>
            <w:shd w:fill="CCEEFF" w:val="clear"/>
            <w:vAlign w:val="center"/>
          </w:tcPr>
          <w:p>
            <w:pPr>
              <w:pStyle w:val="TableContents"/>
              <w:spacing w:before="0" w:after="283"/>
              <w:rPr/>
            </w:pPr>
            <w:r>
              <w:rPr/>
              <w:t> </w:t>
            </w:r>
          </w:p>
        </w:tc>
        <w:tc>
          <w:tcPr>
            <w:tcW w:w="110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66" w:type="dxa"/>
            <w:tcBorders/>
            <w:shd w:fill="CCEEFF" w:val="clear"/>
            <w:vAlign w:val="center"/>
          </w:tcPr>
          <w:p>
            <w:pPr>
              <w:pStyle w:val="TableContents"/>
              <w:spacing w:before="0" w:after="283"/>
              <w:rPr/>
            </w:pPr>
            <w:r>
              <w:rPr/>
              <w:t> </w:t>
            </w:r>
          </w:p>
        </w:tc>
      </w:tr>
      <w:tr>
        <w:trPr/>
        <w:tc>
          <w:tcPr>
            <w:tcW w:w="2117"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Options forfeited/cancelled</w:t>
            </w:r>
          </w:p>
        </w:tc>
        <w:tc>
          <w:tcPr>
            <w:tcW w:w="60" w:type="dxa"/>
            <w:tcBorders/>
            <w:shd w:fill="FFFFFF" w:val="clear"/>
            <w:vAlign w:val="center"/>
          </w:tcPr>
          <w:p>
            <w:pPr>
              <w:pStyle w:val="TableContents"/>
              <w:spacing w:before="0" w:after="283"/>
              <w:ind w:left="0" w:right="0" w:hanging="0"/>
              <w:rPr/>
            </w:pPr>
            <w:r>
              <w:rPr/>
              <w:t> </w:t>
            </w:r>
          </w:p>
        </w:tc>
        <w:tc>
          <w:tcPr>
            <w:tcW w:w="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11"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(479,501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57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7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2185" w:type="dxa"/>
            <w:tcBorders>
              <w:bottom w:val="single" w:sz="2" w:space="0" w:color="000000"/>
            </w:tcBorders>
            <w:shd w:fill="FFFFFF" w:val="clear"/>
            <w:tcMar>
              <w:bottom w:w="28" w:type="dxa"/>
            </w:tcMar>
            <w:vAlign w:val="center"/>
          </w:tcPr>
          <w:p>
            <w:pPr>
              <w:pStyle w:val="TableContents"/>
              <w:spacing w:before="0" w:after="0"/>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1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0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w:t>
            </w:r>
          </w:p>
        </w:tc>
        <w:tc>
          <w:tcPr>
            <w:tcW w:w="66" w:type="dxa"/>
            <w:tcBorders/>
            <w:shd w:fill="FFFFFF" w:val="clear"/>
            <w:vAlign w:val="center"/>
          </w:tcPr>
          <w:p>
            <w:pPr>
              <w:pStyle w:val="TableContents"/>
              <w:spacing w:before="0" w:after="283"/>
              <w:rPr/>
            </w:pPr>
            <w:r>
              <w:rPr/>
              <w:t> </w:t>
            </w:r>
          </w:p>
        </w:tc>
      </w:tr>
      <w:tr>
        <w:trPr/>
        <w:tc>
          <w:tcPr>
            <w:tcW w:w="2117"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 March 31, 2022</w:t>
            </w:r>
          </w:p>
        </w:tc>
        <w:tc>
          <w:tcPr>
            <w:tcW w:w="60" w:type="dxa"/>
            <w:tcBorders/>
            <w:shd w:fill="CCEEFF" w:val="clear"/>
            <w:vAlign w:val="center"/>
          </w:tcPr>
          <w:p>
            <w:pPr>
              <w:pStyle w:val="TableContents"/>
              <w:spacing w:before="0" w:after="283"/>
              <w:rPr/>
            </w:pPr>
            <w:r>
              <w:rPr/>
              <w:t> </w:t>
            </w:r>
          </w:p>
        </w:tc>
        <w:tc>
          <w:tcPr>
            <w:tcW w:w="7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7,522,464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6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21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1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w:t>
            </w:r>
          </w:p>
        </w:tc>
        <w:tc>
          <w:tcPr>
            <w:tcW w:w="66" w:type="dxa"/>
            <w:tcBorders/>
            <w:shd w:fill="CCEEFF" w:val="clear"/>
            <w:vAlign w:val="center"/>
          </w:tcPr>
          <w:p>
            <w:pPr>
              <w:pStyle w:val="TableContents"/>
              <w:spacing w:before="0" w:after="283"/>
              <w:rPr/>
            </w:pPr>
            <w:r>
              <w:rPr/>
              <w:t> </w:t>
            </w:r>
          </w:p>
        </w:tc>
      </w:tr>
      <w:tr>
        <w:trPr/>
        <w:tc>
          <w:tcPr>
            <w:tcW w:w="2117"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Exercisable – March 31, 2022</w:t>
            </w:r>
          </w:p>
        </w:tc>
        <w:tc>
          <w:tcPr>
            <w:tcW w:w="60" w:type="dxa"/>
            <w:tcBorders/>
            <w:shd w:fill="FFFFFF" w:val="clear"/>
            <w:vAlign w:val="center"/>
          </w:tcPr>
          <w:p>
            <w:pPr>
              <w:pStyle w:val="TableContents"/>
              <w:spacing w:before="0" w:after="283"/>
              <w:rPr/>
            </w:pPr>
            <w:r>
              <w:rPr/>
              <w:t> </w:t>
            </w:r>
          </w:p>
        </w:tc>
        <w:tc>
          <w:tcPr>
            <w:tcW w:w="7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11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3,020,805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21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1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66" w:type="dxa"/>
            <w:tcBorders/>
            <w:shd w:fill="FFFFFF" w:val="clear"/>
            <w:vAlign w:val="center"/>
          </w:tcPr>
          <w:p>
            <w:pPr>
              <w:pStyle w:val="TableContents"/>
              <w:spacing w:before="0" w:after="283"/>
              <w:rPr/>
            </w:pPr>
            <w:r>
              <w:rPr/>
              <w:t> </w:t>
            </w:r>
          </w:p>
        </w:tc>
      </w:tr>
      <w:tr>
        <w:trPr/>
        <w:tc>
          <w:tcPr>
            <w:tcW w:w="2117"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Expected to vest – after March 31, 2022</w:t>
            </w:r>
          </w:p>
        </w:tc>
        <w:tc>
          <w:tcPr>
            <w:tcW w:w="60" w:type="dxa"/>
            <w:tcBorders/>
            <w:shd w:fill="CCEEFF" w:val="clear"/>
            <w:vAlign w:val="center"/>
          </w:tcPr>
          <w:p>
            <w:pPr>
              <w:pStyle w:val="TableContents"/>
              <w:spacing w:before="0" w:after="283"/>
              <w:rPr/>
            </w:pPr>
            <w:r>
              <w:rPr/>
              <w:t> </w:t>
            </w:r>
          </w:p>
        </w:tc>
        <w:tc>
          <w:tcPr>
            <w:tcW w:w="7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4,501,659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6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21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1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w:t>
            </w:r>
          </w:p>
        </w:tc>
        <w:tc>
          <w:tcPr>
            <w:tcW w:w="66"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Times New Roman" w:hAnsi="Times New Roman"/>
          <w:caps w:val="false"/>
          <w:smallCaps w:val="false"/>
          <w:sz w:val="20"/>
        </w:rPr>
        <w:t xml:space="preserve">The following tables summarize information about stock options outstanding and exercisable at </w:t>
      </w:r>
      <w:r>
        <w:rPr>
          <w:rStyle w:val="Emphasis"/>
          <w:rFonts w:ascii="Times New Roman" w:hAnsi="Times New Roman"/>
          <w:caps w:val="false"/>
          <w:smallCaps w:val="false"/>
          <w:sz w:val="20"/>
        </w:rPr>
        <w:t>March 31, 2022</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18"/>
        <w:gridCol w:w="60"/>
        <w:gridCol w:w="60"/>
        <w:gridCol w:w="980"/>
        <w:gridCol w:w="60"/>
        <w:gridCol w:w="60"/>
        <w:gridCol w:w="217"/>
        <w:gridCol w:w="1608"/>
        <w:gridCol w:w="60"/>
        <w:gridCol w:w="60"/>
        <w:gridCol w:w="288"/>
        <w:gridCol w:w="1003"/>
        <w:gridCol w:w="60"/>
        <w:gridCol w:w="60"/>
        <w:gridCol w:w="68"/>
        <w:gridCol w:w="1121"/>
        <w:gridCol w:w="60"/>
        <w:gridCol w:w="60"/>
        <w:gridCol w:w="217"/>
        <w:gridCol w:w="1608"/>
        <w:gridCol w:w="60"/>
        <w:gridCol w:w="60"/>
        <w:gridCol w:w="288"/>
        <w:gridCol w:w="1003"/>
        <w:gridCol w:w="66"/>
      </w:tblGrid>
      <w:tr>
        <w:trPr/>
        <w:tc>
          <w:tcPr>
            <w:tcW w:w="101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396"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 Outstanding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54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 Exercisable</w:t>
            </w:r>
          </w:p>
        </w:tc>
        <w:tc>
          <w:tcPr>
            <w:tcW w:w="66" w:type="dxa"/>
            <w:tcBorders/>
            <w:shd w:fill="FFFFFF" w:val="clear"/>
            <w:vAlign w:val="center"/>
          </w:tcPr>
          <w:p>
            <w:pPr>
              <w:pStyle w:val="TableContents"/>
              <w:spacing w:before="0" w:after="283"/>
              <w:rPr/>
            </w:pPr>
            <w:r>
              <w:rPr/>
              <w:t> </w:t>
            </w:r>
          </w:p>
        </w:tc>
      </w:tr>
      <w:tr>
        <w:trPr/>
        <w:tc>
          <w:tcPr>
            <w:tcW w:w="1018" w:type="dxa"/>
            <w:tcBorders>
              <w:bottom w:val="single" w:sz="2" w:space="0" w:color="000000"/>
            </w:tcBorders>
            <w:shd w:fill="FFFFFF" w:val="clear"/>
            <w:tcMar>
              <w:bottom w:w="28"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Exercise Price Range</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contractual term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 exercisable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contractual term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6" w:type="dxa"/>
            <w:tcBorders/>
            <w:shd w:fill="FFFFFF" w:val="clear"/>
            <w:vAlign w:val="center"/>
          </w:tcPr>
          <w:p>
            <w:pPr>
              <w:pStyle w:val="TableContents"/>
              <w:spacing w:before="0" w:after="283"/>
              <w:rPr/>
            </w:pPr>
            <w:r>
              <w:rPr/>
              <w:t> </w:t>
            </w:r>
          </w:p>
        </w:tc>
      </w:tr>
      <w:tr>
        <w:trPr/>
        <w:tc>
          <w:tcPr>
            <w:tcW w:w="101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$1.35 - $3.64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6,409,764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ind w:left="0" w:right="0" w:hanging="0"/>
              <w:rPr/>
            </w:pPr>
            <w:r>
              <w:rPr/>
              <w:t> </w:t>
            </w:r>
          </w:p>
        </w:tc>
        <w:tc>
          <w:tcPr>
            <w:tcW w:w="16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ind w:left="0" w:right="0" w:hanging="0"/>
              <w:rPr/>
            </w:pPr>
            <w:r>
              <w:rPr/>
              <w:t> </w:t>
            </w:r>
          </w:p>
        </w:tc>
        <w:tc>
          <w:tcPr>
            <w:tcW w:w="112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2,007,671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ind w:left="0" w:right="0" w:hanging="0"/>
              <w:rPr/>
            </w:pPr>
            <w:r>
              <w:rPr/>
              <w:t> </w:t>
            </w:r>
          </w:p>
        </w:tc>
        <w:tc>
          <w:tcPr>
            <w:tcW w:w="16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w:t>
            </w:r>
          </w:p>
        </w:tc>
        <w:tc>
          <w:tcPr>
            <w:tcW w:w="66" w:type="dxa"/>
            <w:tcBorders/>
            <w:shd w:fill="CCEEFF" w:val="clear"/>
            <w:vAlign w:val="center"/>
          </w:tcPr>
          <w:p>
            <w:pPr>
              <w:pStyle w:val="TableContents"/>
              <w:spacing w:before="0" w:after="283"/>
              <w:rPr/>
            </w:pPr>
            <w:r>
              <w:rPr/>
              <w:t> </w:t>
            </w:r>
          </w:p>
        </w:tc>
      </w:tr>
      <w:tr>
        <w:trPr/>
        <w:tc>
          <w:tcPr>
            <w:tcW w:w="1018"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$4.26 - $7.95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1,062,568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160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4.80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8" w:type="dxa"/>
            <w:tcBorders/>
            <w:shd w:fill="FFFFFF" w:val="clear"/>
            <w:vAlign w:val="center"/>
          </w:tcPr>
          <w:p>
            <w:pPr>
              <w:pStyle w:val="TableContents"/>
              <w:spacing w:before="0" w:after="283"/>
              <w:rPr/>
            </w:pPr>
            <w:r>
              <w:rPr/>
              <w:t> </w:t>
            </w:r>
          </w:p>
        </w:tc>
        <w:tc>
          <w:tcPr>
            <w:tcW w:w="100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6.76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112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967,064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160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4.56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8" w:type="dxa"/>
            <w:tcBorders/>
            <w:shd w:fill="FFFFFF" w:val="clear"/>
            <w:vAlign w:val="center"/>
          </w:tcPr>
          <w:p>
            <w:pPr>
              <w:pStyle w:val="TableContents"/>
              <w:spacing w:before="0" w:after="283"/>
              <w:rPr/>
            </w:pPr>
            <w:r>
              <w:rPr/>
              <w:t> </w:t>
            </w:r>
          </w:p>
        </w:tc>
        <w:tc>
          <w:tcPr>
            <w:tcW w:w="100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6.76</w:t>
            </w:r>
          </w:p>
        </w:tc>
        <w:tc>
          <w:tcPr>
            <w:tcW w:w="66" w:type="dxa"/>
            <w:tcBorders/>
            <w:shd w:fill="FFFFFF" w:val="clear"/>
            <w:vAlign w:val="center"/>
          </w:tcPr>
          <w:p>
            <w:pPr>
              <w:pStyle w:val="TableContents"/>
              <w:spacing w:before="0" w:after="283"/>
              <w:rPr/>
            </w:pPr>
            <w:r>
              <w:rPr/>
              <w:t> </w:t>
            </w:r>
          </w:p>
        </w:tc>
      </w:tr>
      <w:tr>
        <w:trPr/>
        <w:tc>
          <w:tcPr>
            <w:tcW w:w="101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$12.45 - $26.10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30,119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160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8" w:type="dxa"/>
            <w:tcBorders/>
            <w:shd w:fill="CCEEFF" w:val="clear"/>
            <w:vAlign w:val="center"/>
          </w:tcPr>
          <w:p>
            <w:pPr>
              <w:pStyle w:val="TableContents"/>
              <w:spacing w:before="0" w:after="283"/>
              <w:rPr/>
            </w:pPr>
            <w:r>
              <w:rPr/>
              <w:t> </w:t>
            </w:r>
          </w:p>
        </w:tc>
        <w:tc>
          <w:tcPr>
            <w:tcW w:w="100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18.02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26,069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160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8" w:type="dxa"/>
            <w:tcBorders/>
            <w:shd w:fill="CCEEFF" w:val="clear"/>
            <w:vAlign w:val="center"/>
          </w:tcPr>
          <w:p>
            <w:pPr>
              <w:pStyle w:val="TableContents"/>
              <w:spacing w:before="0" w:after="283"/>
              <w:rPr/>
            </w:pPr>
            <w:r>
              <w:rPr/>
              <w:t> </w:t>
            </w:r>
          </w:p>
        </w:tc>
        <w:tc>
          <w:tcPr>
            <w:tcW w:w="100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18.11</w:t>
            </w:r>
          </w:p>
        </w:tc>
        <w:tc>
          <w:tcPr>
            <w:tcW w:w="66" w:type="dxa"/>
            <w:tcBorders/>
            <w:shd w:fill="CCEEFF" w:val="clear"/>
            <w:vAlign w:val="center"/>
          </w:tcPr>
          <w:p>
            <w:pPr>
              <w:pStyle w:val="TableContents"/>
              <w:spacing w:before="0" w:after="283"/>
              <w:rPr/>
            </w:pPr>
            <w:r>
              <w:rPr/>
              <w:t> </w:t>
            </w:r>
          </w:p>
        </w:tc>
      </w:tr>
      <w:tr>
        <w:trPr/>
        <w:tc>
          <w:tcPr>
            <w:tcW w:w="1018"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$27.00 - $33.00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11,634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160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8" w:type="dxa"/>
            <w:tcBorders/>
            <w:shd w:fill="FFFFFF" w:val="clear"/>
            <w:vAlign w:val="center"/>
          </w:tcPr>
          <w:p>
            <w:pPr>
              <w:pStyle w:val="TableContents"/>
              <w:spacing w:before="0" w:after="283"/>
              <w:rPr/>
            </w:pPr>
            <w:r>
              <w:rPr/>
              <w:t> </w:t>
            </w:r>
          </w:p>
        </w:tc>
        <w:tc>
          <w:tcPr>
            <w:tcW w:w="100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112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11,622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160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8" w:type="dxa"/>
            <w:tcBorders/>
            <w:shd w:fill="FFFFFF" w:val="clear"/>
            <w:vAlign w:val="center"/>
          </w:tcPr>
          <w:p>
            <w:pPr>
              <w:pStyle w:val="TableContents"/>
              <w:spacing w:before="0" w:after="283"/>
              <w:rPr/>
            </w:pPr>
            <w:r>
              <w:rPr/>
              <w:t> </w:t>
            </w:r>
          </w:p>
        </w:tc>
        <w:tc>
          <w:tcPr>
            <w:tcW w:w="100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27.64</w:t>
            </w:r>
          </w:p>
        </w:tc>
        <w:tc>
          <w:tcPr>
            <w:tcW w:w="66" w:type="dxa"/>
            <w:tcBorders/>
            <w:shd w:fill="FFFFFF" w:val="clear"/>
            <w:vAlign w:val="center"/>
          </w:tcPr>
          <w:p>
            <w:pPr>
              <w:pStyle w:val="TableContents"/>
              <w:spacing w:before="0" w:after="283"/>
              <w:rPr/>
            </w:pPr>
            <w:r>
              <w:rPr/>
              <w:t> </w:t>
            </w:r>
          </w:p>
        </w:tc>
      </w:tr>
      <w:tr>
        <w:trPr/>
        <w:tc>
          <w:tcPr>
            <w:tcW w:w="101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$36.00 - $94.65</w:t>
            </w:r>
          </w:p>
        </w:tc>
        <w:tc>
          <w:tcPr>
            <w:tcW w:w="60" w:type="dxa"/>
            <w:tcBorders/>
            <w:shd w:fill="CCEEFF" w:val="clear"/>
            <w:vAlign w:val="center"/>
          </w:tcPr>
          <w:p>
            <w:pPr>
              <w:pStyle w:val="TableContents"/>
              <w:spacing w:before="0" w:after="283"/>
              <w:ind w:left="0" w:right="0" w:hanging="0"/>
              <w:rPr/>
            </w:pPr>
            <w:r>
              <w:rPr/>
              <w:t> </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8,379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60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03"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45.42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8,379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60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03"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45.42</w:t>
            </w:r>
          </w:p>
        </w:tc>
        <w:tc>
          <w:tcPr>
            <w:tcW w:w="66" w:type="dxa"/>
            <w:tcBorders/>
            <w:shd w:fill="CCEEFF" w:val="clear"/>
            <w:vAlign w:val="center"/>
          </w:tcPr>
          <w:p>
            <w:pPr>
              <w:pStyle w:val="TableContents"/>
              <w:spacing w:before="0" w:after="283"/>
              <w:rPr/>
            </w:pPr>
            <w:r>
              <w:rPr/>
              <w:t> </w:t>
            </w:r>
          </w:p>
        </w:tc>
      </w:tr>
      <w:tr>
        <w:trPr/>
        <w:tc>
          <w:tcPr>
            <w:tcW w:w="101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80"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7,522,464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608"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7.47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8" w:type="dxa"/>
            <w:tcBorders>
              <w:bottom w:val="double" w:sz="6" w:space="0" w:color="000000"/>
            </w:tcBorders>
            <w:shd w:fill="FFFFFF" w:val="clear"/>
            <w:tcMar>
              <w:bottom w:w="28" w:type="dxa"/>
            </w:tcMar>
            <w:vAlign w:val="center"/>
          </w:tcPr>
          <w:p>
            <w:pPr>
              <w:pStyle w:val="TableContents"/>
              <w:spacing w:before="0" w:after="283"/>
              <w:ind w:left="0" w:right="0" w:hanging="0"/>
              <w:rPr/>
            </w:pPr>
            <w:r>
              <w:rPr/>
              <w:t>$</w:t>
            </w:r>
          </w:p>
        </w:tc>
        <w:tc>
          <w:tcPr>
            <w:tcW w:w="1003"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3.05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121"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3,020,805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608"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4.64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8" w:type="dxa"/>
            <w:tcBorders>
              <w:bottom w:val="double" w:sz="6" w:space="0" w:color="000000"/>
            </w:tcBorders>
            <w:shd w:fill="FFFFFF" w:val="clear"/>
            <w:tcMar>
              <w:bottom w:w="28" w:type="dxa"/>
            </w:tcMar>
            <w:vAlign w:val="center"/>
          </w:tcPr>
          <w:p>
            <w:pPr>
              <w:pStyle w:val="TableContents"/>
              <w:spacing w:before="0" w:after="283"/>
              <w:ind w:left="0" w:right="0" w:hanging="0"/>
              <w:rPr/>
            </w:pPr>
            <w:r>
              <w:rPr/>
              <w:t>$</w:t>
            </w:r>
          </w:p>
        </w:tc>
        <w:tc>
          <w:tcPr>
            <w:tcW w:w="1003"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4.50</w:t>
            </w:r>
          </w:p>
        </w:tc>
        <w:tc>
          <w:tcPr>
            <w:tcW w:w="66"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$1 and $157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weighted-average grant date fair value of options granted was $1.38 and $2.37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Restricted Stock Units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following table summarizes information about RSUs outstanding at </w:t>
      </w:r>
      <w:r>
        <w:rPr>
          <w:rStyle w:val="Emphasis"/>
          <w:rFonts w:ascii="Times New Roman" w:hAnsi="Times New Roman"/>
          <w:caps w:val="false"/>
          <w:smallCaps w:val="false"/>
          <w:sz w:val="20"/>
        </w:rPr>
        <w:t>March 31, 2022</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8983" w:type="dxa"/>
        <w:jc w:val="left"/>
        <w:tblInd w:w="0" w:type="dxa"/>
        <w:tblCellMar>
          <w:top w:w="0" w:type="dxa"/>
          <w:left w:w="0" w:type="dxa"/>
          <w:bottom w:w="0" w:type="dxa"/>
          <w:right w:w="0" w:type="dxa"/>
        </w:tblCellMar>
      </w:tblPr>
      <w:tblGrid>
        <w:gridCol w:w="2525"/>
        <w:gridCol w:w="60"/>
        <w:gridCol w:w="121"/>
        <w:gridCol w:w="1413"/>
        <w:gridCol w:w="60"/>
        <w:gridCol w:w="60"/>
        <w:gridCol w:w="1154"/>
        <w:gridCol w:w="3515"/>
        <w:gridCol w:w="75"/>
      </w:tblGrid>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46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Grant Date Fair Value per Share, $</w:t>
            </w:r>
          </w:p>
        </w:tc>
        <w:tc>
          <w:tcPr>
            <w:tcW w:w="7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2525" w:type="dxa"/>
            <w:tcBorders/>
            <w:shd w:fill="CCEEFF" w:val="cle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 January 1, 2022</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ind w:left="0" w:right="0" w:hanging="0"/>
              <w:rPr/>
            </w:pPr>
            <w:r>
              <w:rPr/>
              <w:t> </w:t>
            </w:r>
          </w:p>
        </w:tc>
        <w:tc>
          <w:tcPr>
            <w:tcW w:w="141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154"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3515" w:type="dxa"/>
            <w:tcBorders/>
            <w:shd w:fill="CCEEFF" w:val="clear"/>
            <w:vAlign w:val="center"/>
          </w:tcPr>
          <w:p>
            <w:pPr>
              <w:pStyle w:val="TableContents"/>
              <w:spacing w:before="0" w:after="283"/>
              <w:ind w:left="0" w:right="0" w:hanging="0"/>
              <w:jc w:val="right"/>
              <w:rPr/>
            </w:pPr>
            <w:r>
              <w:rPr/>
              <w:t>—</w:t>
            </w:r>
          </w:p>
        </w:tc>
        <w:tc>
          <w:tcPr>
            <w:tcW w:w="75" w:type="dxa"/>
            <w:tcBorders/>
            <w:shd w:fill="CCEEFF" w:val="clear"/>
            <w:vAlign w:val="center"/>
          </w:tcPr>
          <w:p>
            <w:pPr>
              <w:pStyle w:val="TableContents"/>
              <w:spacing w:before="0" w:after="283"/>
              <w:rPr/>
            </w:pPr>
            <w:r>
              <w:rPr/>
              <w:t> </w:t>
            </w:r>
          </w:p>
        </w:tc>
      </w:tr>
      <w:tr>
        <w:trPr/>
        <w:tc>
          <w:tcPr>
            <w:tcW w:w="2525" w:type="dxa"/>
            <w:tcBorders/>
            <w:shd w:fill="FFFFFF" w:val="cle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RSUs granted</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ind w:left="0" w:right="0" w:hanging="0"/>
              <w:rPr/>
            </w:pPr>
            <w:r>
              <w:rPr/>
              <w:t> </w:t>
            </w:r>
          </w:p>
        </w:tc>
        <w:tc>
          <w:tcPr>
            <w:tcW w:w="141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356,250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54" w:type="dxa"/>
            <w:tcBorders/>
            <w:shd w:fill="FFFFFF" w:val="clear"/>
            <w:vAlign w:val="center"/>
          </w:tcPr>
          <w:p>
            <w:pPr>
              <w:pStyle w:val="TableContents"/>
              <w:spacing w:before="0" w:after="283"/>
              <w:ind w:left="0" w:right="0" w:hanging="0"/>
              <w:rPr/>
            </w:pPr>
            <w:r>
              <w:rPr/>
              <w:t> </w:t>
            </w:r>
          </w:p>
        </w:tc>
        <w:tc>
          <w:tcPr>
            <w:tcW w:w="351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75" w:type="dxa"/>
            <w:tcBorders/>
            <w:shd w:fill="FFFFFF" w:val="clear"/>
            <w:vAlign w:val="center"/>
          </w:tcPr>
          <w:p>
            <w:pPr>
              <w:pStyle w:val="TableContents"/>
              <w:spacing w:before="0" w:after="283"/>
              <w:rPr/>
            </w:pPr>
            <w:r>
              <w:rPr/>
              <w:t> </w:t>
            </w:r>
          </w:p>
        </w:tc>
      </w:tr>
      <w:tr>
        <w:trPr/>
        <w:tc>
          <w:tcPr>
            <w:tcW w:w="2525" w:type="dxa"/>
            <w:tcBorders/>
            <w:shd w:fill="CCEEFF" w:val="cle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RSUs forfeited/cancelled</w:t>
            </w:r>
          </w:p>
        </w:tc>
        <w:tc>
          <w:tcPr>
            <w:tcW w:w="60" w:type="dxa"/>
            <w:tcBorders/>
            <w:shd w:fill="CCEEFF" w:val="clear"/>
            <w:vAlign w:val="center"/>
          </w:tcPr>
          <w:p>
            <w:pPr>
              <w:pStyle w:val="TableContents"/>
              <w:spacing w:before="0" w:after="283"/>
              <w:rPr/>
            </w:pPr>
            <w:r>
              <w:rPr/>
              <w:t> </w:t>
            </w:r>
          </w:p>
        </w:tc>
        <w:tc>
          <w:tcPr>
            <w:tcW w:w="12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1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5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51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75" w:type="dxa"/>
            <w:tcBorders/>
            <w:shd w:fill="CCEEFF" w:val="clear"/>
            <w:vAlign w:val="center"/>
          </w:tcPr>
          <w:p>
            <w:pPr>
              <w:pStyle w:val="TableContents"/>
              <w:spacing w:before="0" w:after="283"/>
              <w:rPr/>
            </w:pPr>
            <w:r>
              <w:rPr/>
              <w:t> </w:t>
            </w:r>
          </w:p>
        </w:tc>
      </w:tr>
      <w:tr>
        <w:trPr/>
        <w:tc>
          <w:tcPr>
            <w:tcW w:w="2525" w:type="dxa"/>
            <w:tcBorders/>
            <w:shd w:fill="FFFFFF" w:val="clear"/>
            <w:vAlign w:val="center"/>
          </w:tcPr>
          <w:p>
            <w:pPr>
              <w:pStyle w:val="TableContents"/>
              <w:spacing w:before="0" w:after="0"/>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 March 31, 2022</w:t>
            </w:r>
          </w:p>
        </w:tc>
        <w:tc>
          <w:tcPr>
            <w:tcW w:w="60" w:type="dxa"/>
            <w:tcBorders/>
            <w:shd w:fill="FFFFFF" w:val="clear"/>
            <w:vAlign w:val="center"/>
          </w:tcPr>
          <w:p>
            <w:pPr>
              <w:pStyle w:val="TableContents"/>
              <w:spacing w:before="0" w:after="283"/>
              <w:rPr/>
            </w:pPr>
            <w:r>
              <w:rPr/>
              <w:t> </w:t>
            </w:r>
          </w:p>
        </w:tc>
        <w:tc>
          <w:tcPr>
            <w:tcW w:w="12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41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356,250</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5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351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75"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INCOME TAXES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generated a loss and recognized $272 of tax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and $nil of tax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2021</w:t>
      </w:r>
      <w:r>
        <w:rPr>
          <w:rFonts w:ascii="Times New Roman" w:hAnsi="Times New Roman"/>
          <w:caps w:val="false"/>
          <w:smallCaps w:val="false"/>
          <w:sz w:val="20"/>
        </w:rPr>
        <w:t>, respectively. A reconciliation of income tax expense (benefit) is as follows:</w:t>
      </w:r>
    </w:p>
    <w:p>
      <w:pPr>
        <w:pStyle w:val="TextBody"/>
        <w:spacing w:before="0" w:after="0"/>
        <w:ind w:left="0" w:right="0" w:hanging="0"/>
        <w:rPr>
          <w:caps w:val="false"/>
          <w:smallCaps w:val="false"/>
        </w:rPr>
      </w:pPr>
      <w:r>
        <w:rPr>
          <w:caps w:val="false"/>
          <w:smallCaps w:val="false"/>
        </w:rPr>
        <w:t> </w:t>
      </w:r>
    </w:p>
    <w:tbl>
      <w:tblPr>
        <w:tblW w:w="8921" w:type="dxa"/>
        <w:jc w:val="left"/>
        <w:tblInd w:w="0" w:type="dxa"/>
        <w:tblCellMar>
          <w:top w:w="0" w:type="dxa"/>
          <w:left w:w="0" w:type="dxa"/>
          <w:bottom w:w="0" w:type="dxa"/>
          <w:right w:w="0" w:type="dxa"/>
        </w:tblCellMar>
      </w:tblPr>
      <w:tblGrid>
        <w:gridCol w:w="6125"/>
        <w:gridCol w:w="60"/>
        <w:gridCol w:w="224"/>
        <w:gridCol w:w="979"/>
        <w:gridCol w:w="143"/>
        <w:gridCol w:w="107"/>
        <w:gridCol w:w="224"/>
        <w:gridCol w:w="979"/>
        <w:gridCol w:w="80"/>
      </w:tblGrid>
      <w:tr>
        <w:trPr/>
        <w:tc>
          <w:tcPr>
            <w:tcW w:w="6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6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0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ind w:left="0" w:right="0" w:hanging="0"/>
              <w:rPr/>
            </w:pPr>
            <w:r>
              <w:rPr/>
              <w:t> </w:t>
            </w:r>
          </w:p>
        </w:tc>
        <w:tc>
          <w:tcPr>
            <w:tcW w:w="120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61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before income taxes</w:t>
            </w:r>
          </w:p>
        </w:tc>
        <w:tc>
          <w:tcPr>
            <w:tcW w:w="60" w:type="dxa"/>
            <w:tcBorders/>
            <w:shd w:fill="CCEEFF" w:val="clear"/>
            <w:vAlign w:val="center"/>
          </w:tcPr>
          <w:p>
            <w:pPr>
              <w:pStyle w:val="TableContents"/>
              <w:spacing w:before="0" w:after="283"/>
              <w:ind w:left="0" w:right="0" w:hanging="0"/>
              <w:rPr/>
            </w:pPr>
            <w:r>
              <w:rPr/>
              <w:t> </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(8,364</w:t>
            </w:r>
          </w:p>
        </w:tc>
        <w:tc>
          <w:tcPr>
            <w:tcW w:w="14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CCEEFF" w:val="clear"/>
            <w:vAlign w:val="center"/>
          </w:tcPr>
          <w:p>
            <w:pPr>
              <w:pStyle w:val="TableContents"/>
              <w:spacing w:before="0" w:after="283"/>
              <w:ind w:left="0" w:right="0" w:hanging="0"/>
              <w:rPr/>
            </w:pPr>
            <w:r>
              <w:rPr/>
              <w:t> </w:t>
            </w:r>
          </w:p>
        </w:tc>
        <w:tc>
          <w:tcPr>
            <w:tcW w:w="22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79"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(9,435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2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Theoretical tax benefit at the statutory rate (21.0% in 2022, 21.0% in 2021)</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(1,756</w:t>
            </w:r>
          </w:p>
        </w:tc>
        <w:tc>
          <w:tcPr>
            <w:tcW w:w="14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(1,981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Differences in jurisdictional tax rates</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97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(252</w:t>
            </w:r>
          </w:p>
        </w:tc>
        <w:tc>
          <w:tcPr>
            <w:tcW w:w="14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97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(354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2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Valuation allowance</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2,067</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rPr/>
            </w:pPr>
            <w:r>
              <w:rPr/>
              <w:t> </w:t>
            </w:r>
          </w:p>
        </w:tc>
        <w:tc>
          <w:tcPr>
            <w:tcW w:w="97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1,984</w:t>
            </w:r>
          </w:p>
        </w:tc>
        <w:tc>
          <w:tcPr>
            <w:tcW w:w="80" w:type="dxa"/>
            <w:tcBorders/>
            <w:shd w:fill="FFFFFF" w:val="clear"/>
            <w:vAlign w:val="center"/>
          </w:tcPr>
          <w:p>
            <w:pPr>
              <w:pStyle w:val="TableContents"/>
              <w:spacing w:before="0" w:after="283"/>
              <w:rPr/>
            </w:pPr>
            <w:r>
              <w:rPr/>
              <w:t> </w:t>
            </w:r>
          </w:p>
        </w:tc>
      </w:tr>
      <w:tr>
        <w:trPr/>
        <w:tc>
          <w:tcPr>
            <w:tcW w:w="61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Non-deductible expenses</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97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213</w:t>
            </w:r>
          </w:p>
        </w:tc>
        <w:tc>
          <w:tcPr>
            <w:tcW w:w="143"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rPr/>
            </w:pPr>
            <w:r>
              <w:rPr/>
              <w:t> </w:t>
            </w:r>
          </w:p>
        </w:tc>
        <w:tc>
          <w:tcPr>
            <w:tcW w:w="97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334</w:t>
            </w:r>
          </w:p>
        </w:tc>
        <w:tc>
          <w:tcPr>
            <w:tcW w:w="80" w:type="dxa"/>
            <w:tcBorders/>
            <w:shd w:fill="CCEEFF" w:val="clear"/>
            <w:vAlign w:val="center"/>
          </w:tcPr>
          <w:p>
            <w:pPr>
              <w:pStyle w:val="TableContents"/>
              <w:spacing w:before="0" w:after="283"/>
              <w:rPr/>
            </w:pPr>
            <w:r>
              <w:rPr/>
              <w:t> </w:t>
            </w:r>
          </w:p>
        </w:tc>
      </w:tr>
      <w:tr>
        <w:trPr/>
        <w:tc>
          <w:tcPr>
            <w:tcW w:w="612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spacing w:before="0" w:after="283"/>
              <w:ind w:left="0" w:right="0" w:hanging="0"/>
              <w:rPr/>
            </w:pPr>
            <w:r>
              <w:rPr/>
              <w:t> </w:t>
            </w:r>
          </w:p>
        </w:tc>
        <w:tc>
          <w:tcPr>
            <w:tcW w:w="22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79" w:type="dxa"/>
            <w:tcBorders>
              <w:bottom w:val="single" w:sz="2" w:space="0" w:color="000000"/>
            </w:tcBorders>
            <w:shd w:fill="FFFFFF" w:val="clear"/>
            <w:tcMar>
              <w:bottom w:w="28" w:type="dxa"/>
            </w:tcMar>
            <w:vAlign w:val="center"/>
          </w:tcPr>
          <w:p>
            <w:pPr>
              <w:pStyle w:val="TableContents"/>
              <w:spacing w:before="0" w:after="0"/>
              <w:jc w:val="right"/>
              <w:rPr/>
            </w:pPr>
            <w:r>
              <w:rPr>
                <w:rStyle w:val="Emphasis"/>
              </w:rPr>
              <w:t>—</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ind w:left="0" w:right="0" w:hanging="0"/>
              <w:rPr/>
            </w:pPr>
            <w:r>
              <w:rPr/>
              <w:t> </w:t>
            </w:r>
          </w:p>
        </w:tc>
        <w:tc>
          <w:tcPr>
            <w:tcW w:w="22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79"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spacing w:before="0" w:after="283"/>
              <w:rPr/>
            </w:pPr>
            <w:r>
              <w:rPr/>
              <w:t> </w:t>
            </w:r>
          </w:p>
        </w:tc>
      </w:tr>
      <w:tr>
        <w:trPr/>
        <w:tc>
          <w:tcPr>
            <w:tcW w:w="612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income tax provision</w:t>
            </w:r>
          </w:p>
        </w:tc>
        <w:tc>
          <w:tcPr>
            <w:tcW w:w="60"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w:t>
            </w:r>
          </w:p>
        </w:tc>
        <w:tc>
          <w:tcPr>
            <w:tcW w:w="143"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r>
      <w:tr>
        <w:trPr/>
        <w:tc>
          <w:tcPr>
            <w:tcW w:w="612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22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(8,636</w:t>
            </w:r>
          </w:p>
        </w:tc>
        <w:tc>
          <w:tcPr>
            <w:tcW w:w="14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7" w:type="dxa"/>
            <w:tcBorders/>
            <w:shd w:fill="FFFFFF" w:val="clear"/>
            <w:vAlign w:val="center"/>
          </w:tcPr>
          <w:p>
            <w:pPr>
              <w:pStyle w:val="TableContents"/>
              <w:spacing w:before="0" w:after="283"/>
              <w:ind w:left="0" w:right="0" w:hanging="0"/>
              <w:rPr/>
            </w:pPr>
            <w:r>
              <w:rPr/>
              <w:t> </w:t>
            </w:r>
          </w:p>
        </w:tc>
        <w:tc>
          <w:tcPr>
            <w:tcW w:w="22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Income tax expense or benefit is recognized based on the actual loss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SEGMENT AND GEOGRAPHIC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assess the performance of individual product lines on measures of profit or loss, or asset-based metrics. Therefore, the information below is presented only for revenues by geography and type.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 by geographic location, which is based on the product shipped to location, is summarized as follows:</w:t>
      </w:r>
    </w:p>
    <w:p>
      <w:pPr>
        <w:pStyle w:val="TextBody"/>
        <w:spacing w:before="0" w:after="0"/>
        <w:ind w:left="0" w:right="0" w:hanging="0"/>
        <w:rPr>
          <w:caps w:val="false"/>
          <w:smallCaps w:val="false"/>
        </w:rPr>
      </w:pPr>
      <w:r>
        <w:rPr>
          <w:caps w:val="false"/>
          <w:smallCaps w:val="false"/>
        </w:rPr>
        <w:t> </w:t>
      </w:r>
    </w:p>
    <w:tbl>
      <w:tblPr>
        <w:tblW w:w="3921" w:type="dxa"/>
        <w:jc w:val="left"/>
        <w:tblInd w:w="0" w:type="dxa"/>
        <w:tblCellMar>
          <w:top w:w="0" w:type="dxa"/>
          <w:left w:w="0" w:type="dxa"/>
          <w:bottom w:w="0" w:type="dxa"/>
          <w:right w:w="0" w:type="dxa"/>
        </w:tblCellMar>
      </w:tblPr>
      <w:tblGrid>
        <w:gridCol w:w="1145"/>
        <w:gridCol w:w="60"/>
        <w:gridCol w:w="214"/>
        <w:gridCol w:w="1012"/>
        <w:gridCol w:w="102"/>
        <w:gridCol w:w="102"/>
        <w:gridCol w:w="214"/>
        <w:gridCol w:w="1012"/>
        <w:gridCol w:w="60"/>
      </w:tblGrid>
      <w:tr>
        <w:trPr/>
        <w:tc>
          <w:tcPr>
            <w:tcW w:w="1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1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02"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ind w:left="0" w:right="0" w:hanging="0"/>
              <w:rPr/>
            </w:pPr>
            <w:r>
              <w:rPr/>
              <w:t> </w:t>
            </w:r>
          </w:p>
        </w:tc>
        <w:tc>
          <w:tcPr>
            <w:tcW w:w="12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11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spacing w:before="0" w:after="283"/>
              <w:ind w:left="0" w:right="0" w:hanging="0"/>
              <w:rPr/>
            </w:pPr>
            <w:r>
              <w:rPr/>
              <w:t> </w:t>
            </w:r>
          </w:p>
        </w:tc>
        <w:tc>
          <w:tcPr>
            <w:tcW w:w="2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13,129</w:t>
            </w:r>
          </w:p>
        </w:tc>
        <w:tc>
          <w:tcPr>
            <w:tcW w:w="102"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ind w:left="0" w:right="0" w:hanging="0"/>
              <w:rPr/>
            </w:pPr>
            <w:r>
              <w:rPr/>
              <w:t> </w:t>
            </w:r>
          </w:p>
        </w:tc>
        <w:tc>
          <w:tcPr>
            <w:tcW w:w="2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10,515</w:t>
            </w:r>
          </w:p>
        </w:tc>
        <w:tc>
          <w:tcPr>
            <w:tcW w:w="60" w:type="dxa"/>
            <w:tcBorders/>
            <w:shd w:fill="CCEEFF" w:val="clear"/>
            <w:vAlign w:val="center"/>
          </w:tcPr>
          <w:p>
            <w:pPr>
              <w:pStyle w:val="TableContents"/>
              <w:spacing w:before="0" w:after="283"/>
              <w:rPr/>
            </w:pPr>
            <w:r>
              <w:rPr/>
              <w:t> </w:t>
            </w:r>
          </w:p>
        </w:tc>
      </w:tr>
      <w:tr>
        <w:trPr/>
        <w:tc>
          <w:tcPr>
            <w:tcW w:w="11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FFFFFF" w:val="clear"/>
            <w:vAlign w:val="center"/>
          </w:tcPr>
          <w:p>
            <w:pPr>
              <w:pStyle w:val="TableContents"/>
              <w:spacing w:before="0" w:after="283"/>
              <w:rPr/>
            </w:pPr>
            <w:r>
              <w:rPr/>
              <w:t> </w:t>
            </w:r>
          </w:p>
        </w:tc>
        <w:tc>
          <w:tcPr>
            <w:tcW w:w="21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13,277</w:t>
            </w:r>
          </w:p>
        </w:tc>
        <w:tc>
          <w:tcPr>
            <w:tcW w:w="102"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21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12,082</w:t>
            </w:r>
          </w:p>
        </w:tc>
        <w:tc>
          <w:tcPr>
            <w:tcW w:w="60" w:type="dxa"/>
            <w:tcBorders/>
            <w:shd w:fill="FFFFFF" w:val="clear"/>
            <w:vAlign w:val="center"/>
          </w:tcPr>
          <w:p>
            <w:pPr>
              <w:pStyle w:val="TableContents"/>
              <w:spacing w:before="0" w:after="283"/>
              <w:rPr/>
            </w:pPr>
            <w:r>
              <w:rPr/>
              <w:t> </w:t>
            </w:r>
          </w:p>
        </w:tc>
      </w:tr>
      <w:tr>
        <w:trPr/>
        <w:tc>
          <w:tcPr>
            <w:tcW w:w="114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spacing w:before="0" w:after="283"/>
              <w:ind w:left="0" w:right="0" w:hanging="0"/>
              <w:rPr/>
            </w:pPr>
            <w:r>
              <w:rPr/>
              <w:t> </w:t>
            </w:r>
          </w:p>
        </w:tc>
        <w:tc>
          <w:tcPr>
            <w:tcW w:w="21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26,406</w:t>
            </w:r>
          </w:p>
        </w:tc>
        <w:tc>
          <w:tcPr>
            <w:tcW w:w="102"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ind w:left="0" w:right="0" w:hanging="0"/>
              <w:rPr/>
            </w:pPr>
            <w:r>
              <w:rPr/>
              <w:t> </w:t>
            </w:r>
          </w:p>
        </w:tc>
        <w:tc>
          <w:tcPr>
            <w:tcW w:w="21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22,597</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2022</w:t>
      </w:r>
      <w:r>
        <w:rPr>
          <w:rFonts w:ascii="Times New Roman" w:hAnsi="Times New Roman"/>
          <w:caps w:val="false"/>
          <w:smallCaps w:val="false"/>
          <w:sz w:val="20"/>
        </w:rPr>
        <w:t xml:space="preserve">, long-lived assets in the amount of $15,203 were located in the United States and $1,916 were located in foreign locations.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long-lived assets in the amount of $16,090 were located in the United States and $1,972 were located in foreign locations.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 xml:space="preserve">Revenue by type is a key indicator for providing management with an understanding of the Company’s financial performance, which is organized into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different categories: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caps w:val="false"/>
          <w:smallCaps w:val="false"/>
          <w:sz w:val="20"/>
        </w:rPr>
        <w:t>1.</w:t>
      </w:r>
      <w:r>
        <w:rPr>
          <w:rFonts w:ascii="Times New Roman" w:hAnsi="Times New Roman"/>
          <w:caps w:val="false"/>
          <w:smallCaps w:val="false"/>
          <w:sz w:val="20"/>
        </w:rPr>
        <w:t>    Lease revenue – includes all system sales with typical lease terms of 36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caps w:val="false"/>
          <w:smallCaps w:val="false"/>
          <w:sz w:val="20"/>
        </w:rPr>
        <w:t>2.</w:t>
      </w:r>
      <w:r>
        <w:rPr>
          <w:rFonts w:ascii="Times New Roman" w:hAnsi="Times New Roman"/>
          <w:caps w:val="false"/>
          <w:smallCaps w:val="false"/>
          <w:sz w:val="20"/>
        </w:rPr>
        <w:t>    System revenue – includes all systems sales with payment terms within 12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caps w:val="false"/>
          <w:smallCaps w:val="false"/>
          <w:sz w:val="20"/>
        </w:rPr>
        <w:t>3.</w:t>
      </w:r>
      <w:r>
        <w:rPr>
          <w:rFonts w:ascii="Times New Roman" w:hAnsi="Times New Roman"/>
          <w:caps w:val="false"/>
          <w:smallCaps w:val="false"/>
          <w:sz w:val="20"/>
        </w:rPr>
        <w:t>    Product revenue – includes skincare, hair and other consumables payable upon receipt.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caps w:val="false"/>
          <w:smallCaps w:val="false"/>
          <w:sz w:val="20"/>
        </w:rPr>
        <w:t>4.</w:t>
      </w:r>
      <w:r>
        <w:rPr>
          <w:rFonts w:ascii="Times New Roman" w:hAnsi="Times New Roman"/>
          <w:caps w:val="false"/>
          <w:smallCaps w:val="false"/>
          <w:sz w:val="20"/>
        </w:rPr>
        <w:t>    Service revenue – includes NeoGraft technician services and extended warranty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 presents revenue by type:</w:t>
      </w:r>
    </w:p>
    <w:p>
      <w:pPr>
        <w:pStyle w:val="TextBody"/>
        <w:spacing w:before="0" w:after="0"/>
        <w:ind w:left="0" w:right="0" w:hanging="0"/>
        <w:rPr>
          <w:caps w:val="false"/>
          <w:smallCaps w:val="false"/>
        </w:rPr>
      </w:pPr>
      <w:r>
        <w:rPr>
          <w:caps w:val="false"/>
          <w:smallCaps w:val="false"/>
        </w:rPr>
        <w:t> </w:t>
      </w:r>
    </w:p>
    <w:tbl>
      <w:tblPr>
        <w:tblW w:w="4116" w:type="dxa"/>
        <w:jc w:val="left"/>
        <w:tblInd w:w="0" w:type="dxa"/>
        <w:tblCellMar>
          <w:top w:w="0" w:type="dxa"/>
          <w:left w:w="0" w:type="dxa"/>
          <w:bottom w:w="0" w:type="dxa"/>
          <w:right w:w="0" w:type="dxa"/>
        </w:tblCellMar>
      </w:tblPr>
      <w:tblGrid>
        <w:gridCol w:w="1340"/>
        <w:gridCol w:w="60"/>
        <w:gridCol w:w="214"/>
        <w:gridCol w:w="1012"/>
        <w:gridCol w:w="102"/>
        <w:gridCol w:w="102"/>
        <w:gridCol w:w="214"/>
        <w:gridCol w:w="1012"/>
        <w:gridCol w:w="60"/>
      </w:tblGrid>
      <w:tr>
        <w:trPr/>
        <w:tc>
          <w:tcPr>
            <w:tcW w:w="1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1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02"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ind w:left="0" w:right="0" w:hanging="0"/>
              <w:rPr/>
            </w:pPr>
            <w:r>
              <w:rPr/>
              <w:t> </w:t>
            </w:r>
          </w:p>
        </w:tc>
        <w:tc>
          <w:tcPr>
            <w:tcW w:w="12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Lease revenue</w:t>
            </w:r>
          </w:p>
        </w:tc>
        <w:tc>
          <w:tcPr>
            <w:tcW w:w="60" w:type="dxa"/>
            <w:tcBorders/>
            <w:shd w:fill="CCEEFF" w:val="clear"/>
            <w:vAlign w:val="center"/>
          </w:tcPr>
          <w:p>
            <w:pPr>
              <w:pStyle w:val="TableContents"/>
              <w:spacing w:before="0" w:after="283"/>
              <w:ind w:left="0" w:right="0" w:hanging="0"/>
              <w:rPr/>
            </w:pPr>
            <w:r>
              <w:rPr/>
              <w:t> </w:t>
            </w:r>
          </w:p>
        </w:tc>
        <w:tc>
          <w:tcPr>
            <w:tcW w:w="2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10,423</w:t>
            </w:r>
          </w:p>
        </w:tc>
        <w:tc>
          <w:tcPr>
            <w:tcW w:w="102"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ind w:left="0" w:right="0" w:hanging="0"/>
              <w:rPr/>
            </w:pPr>
            <w:r>
              <w:rPr/>
              <w:t> </w:t>
            </w:r>
          </w:p>
        </w:tc>
        <w:tc>
          <w:tcPr>
            <w:tcW w:w="2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8,537</w:t>
            </w:r>
          </w:p>
        </w:tc>
        <w:tc>
          <w:tcPr>
            <w:tcW w:w="60" w:type="dxa"/>
            <w:tcBorders/>
            <w:shd w:fill="CCEEFF" w:val="clear"/>
            <w:vAlign w:val="center"/>
          </w:tcPr>
          <w:p>
            <w:pPr>
              <w:pStyle w:val="TableContents"/>
              <w:spacing w:before="0" w:after="283"/>
              <w:rPr/>
            </w:pPr>
            <w:r>
              <w:rPr/>
              <w:t> </w:t>
            </w:r>
          </w:p>
        </w:tc>
      </w:tr>
      <w:tr>
        <w:trPr/>
        <w:tc>
          <w:tcPr>
            <w:tcW w:w="134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System revenue</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10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11,875</w:t>
            </w:r>
          </w:p>
        </w:tc>
        <w:tc>
          <w:tcPr>
            <w:tcW w:w="102"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10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9,810</w:t>
            </w:r>
          </w:p>
        </w:tc>
        <w:tc>
          <w:tcPr>
            <w:tcW w:w="60" w:type="dxa"/>
            <w:tcBorders/>
            <w:shd w:fill="FFFFFF"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Product revenue</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10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3,497</w:t>
            </w:r>
          </w:p>
        </w:tc>
        <w:tc>
          <w:tcPr>
            <w:tcW w:w="102"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10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3,055</w:t>
            </w:r>
          </w:p>
        </w:tc>
        <w:tc>
          <w:tcPr>
            <w:tcW w:w="60" w:type="dxa"/>
            <w:tcBorders/>
            <w:shd w:fill="CCEEFF" w:val="clear"/>
            <w:vAlign w:val="center"/>
          </w:tcPr>
          <w:p>
            <w:pPr>
              <w:pStyle w:val="TableContents"/>
              <w:spacing w:before="0" w:after="283"/>
              <w:rPr/>
            </w:pPr>
            <w:r>
              <w:rPr/>
              <w:t> </w:t>
            </w:r>
          </w:p>
        </w:tc>
      </w:tr>
      <w:tr>
        <w:trPr/>
        <w:tc>
          <w:tcPr>
            <w:tcW w:w="134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Service revenue</w:t>
            </w:r>
          </w:p>
        </w:tc>
        <w:tc>
          <w:tcPr>
            <w:tcW w:w="60" w:type="dxa"/>
            <w:tcBorders/>
            <w:shd w:fill="FFFFFF" w:val="clear"/>
            <w:vAlign w:val="center"/>
          </w:tcPr>
          <w:p>
            <w:pPr>
              <w:pStyle w:val="TableContents"/>
              <w:spacing w:before="0" w:after="283"/>
              <w:rPr/>
            </w:pPr>
            <w:r>
              <w:rPr/>
              <w:t> </w:t>
            </w:r>
          </w:p>
        </w:tc>
        <w:tc>
          <w:tcPr>
            <w:tcW w:w="21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611</w:t>
            </w:r>
          </w:p>
        </w:tc>
        <w:tc>
          <w:tcPr>
            <w:tcW w:w="102"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21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1,195</w:t>
            </w:r>
          </w:p>
        </w:tc>
        <w:tc>
          <w:tcPr>
            <w:tcW w:w="60" w:type="dxa"/>
            <w:tcBorders/>
            <w:shd w:fill="FFFFFF"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spacing w:before="0" w:after="283"/>
              <w:ind w:left="0" w:right="0" w:hanging="0"/>
              <w:rPr/>
            </w:pPr>
            <w:r>
              <w:rPr/>
              <w:t> </w:t>
            </w:r>
          </w:p>
        </w:tc>
        <w:tc>
          <w:tcPr>
            <w:tcW w:w="21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26,406</w:t>
            </w:r>
          </w:p>
        </w:tc>
        <w:tc>
          <w:tcPr>
            <w:tcW w:w="102"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ind w:left="0" w:right="0" w:hanging="0"/>
              <w:rPr/>
            </w:pPr>
            <w:r>
              <w:rPr/>
              <w:t> </w:t>
            </w:r>
          </w:p>
        </w:tc>
        <w:tc>
          <w:tcPr>
            <w:tcW w:w="21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22,597</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amounts were recorded at the exchange amount, which is the amount established and agreed to by the related parties.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Distribution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entered into a Distribution Agreement with Technicalbiomed Co., Ltd. (“TBC”), pursuant to which TBC will continue to distribute the Company’s products in Thailand. A senior officer of the Company is a 30.0% shareholder of TBC.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TBC purchased products in the amount of $407 and $15, respectively, under this distribution agreement. These sales are included in products and services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made several strategic decisions to divest itself of underperforming direct sales offices and sold its share in several subsidiaries, including its 55.0% shareholding in Venus Singapore. On </w:t>
      </w:r>
      <w:r>
        <w:rPr>
          <w:rStyle w:val="Emphasis"/>
          <w:rFonts w:ascii="Times New Roman" w:hAnsi="Times New Roman"/>
          <w:caps w:val="false"/>
          <w:smallCaps w:val="false"/>
          <w:sz w:val="20"/>
        </w:rPr>
        <w:t xml:space="preserve">January 1, 2021, </w:t>
      </w:r>
      <w:r>
        <w:rPr>
          <w:rFonts w:ascii="Times New Roman" w:hAnsi="Times New Roman"/>
          <w:caps w:val="false"/>
          <w:smallCaps w:val="false"/>
          <w:sz w:val="20"/>
        </w:rPr>
        <w:t xml:space="preserve">the Company entered into a distribution agreement with Aexel Biomed Pte Ltd. (“Aexel Biomed”), formerly Venus Singapore, pursuant to which Venus Singapore will continue to distribute the Company’s products in Singapore. A senior officer of the Company is a 45.0% shareholder of Venus Singapore.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Aexel Biomed purchased products in the amount of $178 and $65, respectively, under the distribution agreement. These sales are included in products and services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180"/>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spacing w:before="0" w:after="0"/>
        <w:ind w:left="160" w:right="0" w:hanging="18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pStyle w:val="TextBody"/>
        <w:spacing w:before="0" w:after="0"/>
        <w:ind w:left="160" w:right="0" w:hanging="360"/>
        <w:jc w:val="both"/>
        <w:rPr>
          <w:caps w:val="false"/>
          <w:smallCaps w:val="false"/>
        </w:rPr>
      </w:pPr>
      <w:r>
        <w:rPr>
          <w:caps w:val="false"/>
          <w:smallCaps w:val="false"/>
        </w:rPr>
        <w:t> </w:t>
      </w:r>
    </w:p>
    <w:p>
      <w:pPr>
        <w:pStyle w:val="TextBody"/>
        <w:spacing w:before="0" w:after="0"/>
        <w:ind w:left="160" w:right="0" w:hanging="18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The factors which we currently believe could have a material adverse effect on our business operations and financial performance and condition include, but are not limited to, the following risks and uncertainties:</w:t>
      </w:r>
    </w:p>
    <w:p>
      <w:pPr>
        <w:pStyle w:val="TextBody"/>
        <w:spacing w:before="0" w:after="0"/>
        <w:ind w:left="160" w:right="0" w:hanging="0"/>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color w:val="000000"/>
          <w:sz w:val="20"/>
        </w:rPr>
        <w:t>•    our dependency on the subscription-based model, which exposes us to the credit risk of our customers over the life of each subscription agreement;</w:t>
        <w:br/>
        <w:t>•    our customers’ failure to make payments under their subscription agreements;</w:t>
        <w:br/>
        <w:t>•    our need to obtain, maintain and enforce our intellectual property rights;</w:t>
        <w:br/>
        <w:t>•    the extensive governmental regulation and oversight in the countries in which we operate and our ability to comply with the applicable requirements;</w:t>
        <w:br/>
        <w:t>•    the possibility that our systems may cause or contribute to adverse medical events that could harm our reputation, business, financial condition and results of operations;</w:t>
        <w:br/>
        <w:t>•    a significant portion of our operations are located in Israel and therefore our business, financial condition and results of operations may be adversely affected by political, economic and military conditions there;</w:t>
        <w:br/>
        <w:t>•    the volatility of our stock price;</w:t>
        <w:br/>
        <w:t>•    our reliance on the expertise and retention of management;</w:t>
        <w:br/>
        <w:t>•    our ability to access the capital markets and/or obtain credit on favorable terms;</w:t>
        <w:br/>
        <w:t>•    inflation, currency fluctuations and currency exchange rates; </w:t>
        <w:br/>
        <w:t>•    global supply disruptions; and</w:t>
        <w:br/>
        <w:t>•    global economic and political conditions and uncertainties, including but not limited to the Russia-Ukraine conflict.</w:t>
      </w:r>
    </w:p>
    <w:p>
      <w:pPr>
        <w:pStyle w:val="TextBody"/>
        <w:spacing w:before="0" w:after="0"/>
        <w:ind w:left="160" w:right="0" w:hanging="18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In addition, many of these risks and uncertainties are currently amplified by and may continue to be amplified by the COVID-19 pandemic and the impact of varying governmental responses that affect our customers and the economies where we operate. 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1" w:name="item2"/>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following discussion contains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our financial condition and results of operations and should be read together with the unaudited condensed consolidated financial statements and the notes thereto included elsewhere in this Quarterly Report on Form 10-Q for the quarter ended</w:t>
      </w:r>
      <w:r>
        <w:rPr>
          <w:rFonts w:ascii="Times New Roman" w:hAnsi="Times New Roman"/>
          <w:caps w:val="false"/>
          <w:smallCaps w:val="false"/>
          <w:sz w:val="20"/>
        </w:rPr>
        <w:t xml:space="preserve"> March 31, 2022 </w:t>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Form 10-Q</w:t>
      </w:r>
      <w:r>
        <w:rPr>
          <w:rFonts w:ascii="Times New Roman" w:hAnsi="Times New Roman"/>
          <w:caps w:val="false"/>
          <w:smallCaps w:val="false"/>
          <w:sz w:val="20"/>
        </w:rPr>
        <w:t>”</w:t>
      </w:r>
      <w:r>
        <w:rPr>
          <w:rFonts w:ascii="Times New Roman" w:hAnsi="Times New Roman"/>
          <w:i/>
          <w:caps w:val="false"/>
          <w:smallCaps w:val="false"/>
          <w:sz w:val="20"/>
        </w:rPr>
        <w:t>), with our audited consolidated financial statements and notes thereto in our Annual Report on Form 10-K for the year ended</w:t>
      </w:r>
      <w:r>
        <w:rPr>
          <w:rFonts w:ascii="Times New Roman" w:hAnsi="Times New Roman"/>
          <w:caps w:val="false"/>
          <w:smallCaps w:val="false"/>
          <w:sz w:val="20"/>
        </w:rPr>
        <w:t xml:space="preserve"> December 31, 2021 </w:t>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Form 10-K</w:t>
      </w:r>
      <w:r>
        <w:rPr>
          <w:rFonts w:ascii="Times New Roman" w:hAnsi="Times New Roman"/>
          <w:caps w:val="false"/>
          <w:smallCaps w:val="false"/>
          <w:sz w:val="20"/>
        </w:rPr>
        <w:t>”</w:t>
      </w:r>
      <w:r>
        <w:rPr>
          <w:rFonts w:ascii="Times New Roman" w:hAnsi="Times New Roman"/>
          <w:i/>
          <w:caps w:val="false"/>
          <w:smallCaps w:val="false"/>
          <w:sz w:val="20"/>
        </w:rPr>
        <w:t>) and other filings we have made with the SEC.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months ended March 31, 2022 and 2021, respectively, a substantial majority of our systems delivered in North America were in non-traditional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had recurring net operating losses and negative cash flows from operations. As of March 31, 2022 and December 31, 2021, we had an accumulated deficit of $189.0 million and $180.4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March 31, 2022 and December 31, 2021, we had cash and cash equivalents of $17.9 million and $30.9 million, respectively. The pandemic has had a significant negative impact on our business; therefore, while our business continues to show strong quarter on quarter growth in revenues as compared to 2021, and we expect this momentum to continue for the balance of the 2022 year, the extent to which COVID-19 will impact our business going forward will depend on numerous evolving factors that cannot be reliably predicted, such as the duration and scope of the pandemic, including COVID-19 variants; governmental, business, and individuals' actions in response to the pandemic; and the impact on economic activity or financial market instability.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xml:space="preserve"> for additional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Venus Viva®, Venus Viva (logo)®,Venus Viva® MD, Venus Legacy®, Venus Legacy (logo)®, Venus Concept®, Venus Concept (logo)®, Venus Versa®, Venus Versa (logo)®, Venus Fiore®, Venus Fiore (logo)®, Venus Freedom™, Venus Bliss™, Venus Bliss (logo)®, Venus Bliss Max™, NeoGraft®, Venus Concept (logo)®, Venus Glow™®, Venus Glow (logo)®, ARTAS®, ARTAS iX®, AIME™, NanoFractional RF®, Delivering the Promise®, and (MP)2®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Products and Services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derive revenue from the sale of products and services. Product revenue includes revenue from the following: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sale, including traditional sales and subscription-based sales, of systems, inclusive of the main console and applicators/handpieces (referred to as system revenue);</w:t>
            </w:r>
          </w:p>
        </w:tc>
      </w:tr>
    </w:tbl>
    <w:tbl>
      <w:tblPr>
        <w:tblW w:w="2545" w:type="dxa"/>
        <w:jc w:val="left"/>
        <w:tblInd w:w="0" w:type="dxa"/>
        <w:tblCellMar>
          <w:top w:w="0" w:type="dxa"/>
          <w:left w:w="0" w:type="dxa"/>
          <w:bottom w:w="0" w:type="dxa"/>
          <w:right w:w="0" w:type="dxa"/>
        </w:tblCellMar>
      </w:tblPr>
      <w:tblGrid>
        <w:gridCol w:w="60"/>
        <w:gridCol w:w="170"/>
        <w:gridCol w:w="23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marketing supplies and kits;</w:t>
            </w:r>
          </w:p>
        </w:tc>
      </w:tr>
    </w:tbl>
    <w:tbl>
      <w:tblPr>
        <w:tblW w:w="2695" w:type="dxa"/>
        <w:jc w:val="left"/>
        <w:tblInd w:w="0" w:type="dxa"/>
        <w:tblCellMar>
          <w:top w:w="0" w:type="dxa"/>
          <w:left w:w="0" w:type="dxa"/>
          <w:bottom w:w="0" w:type="dxa"/>
          <w:right w:w="0" w:type="dxa"/>
        </w:tblCellMar>
      </w:tblPr>
      <w:tblGrid>
        <w:gridCol w:w="60"/>
        <w:gridCol w:w="170"/>
        <w:gridCol w:w="24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4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consumables and disposables;</w:t>
            </w:r>
          </w:p>
        </w:tc>
      </w:tr>
    </w:tbl>
    <w:tbl>
      <w:tblPr>
        <w:tblW w:w="1915" w:type="dxa"/>
        <w:jc w:val="left"/>
        <w:tblInd w:w="0" w:type="dxa"/>
        <w:tblCellMar>
          <w:top w:w="0" w:type="dxa"/>
          <w:left w:w="0" w:type="dxa"/>
          <w:bottom w:w="0" w:type="dxa"/>
          <w:right w:w="0" w:type="dxa"/>
        </w:tblCellMar>
      </w:tblPr>
      <w:tblGrid>
        <w:gridCol w:w="60"/>
        <w:gridCol w:w="170"/>
        <w:gridCol w:w="16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6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service revenue; and</w:t>
            </w:r>
          </w:p>
        </w:tc>
      </w:tr>
    </w:tbl>
    <w:tbl>
      <w:tblPr>
        <w:tblW w:w="3205" w:type="dxa"/>
        <w:jc w:val="left"/>
        <w:tblInd w:w="0" w:type="dxa"/>
        <w:tblCellMar>
          <w:top w:w="0" w:type="dxa"/>
          <w:left w:w="0" w:type="dxa"/>
          <w:bottom w:w="0" w:type="dxa"/>
          <w:right w:w="0" w:type="dxa"/>
        </w:tblCellMar>
      </w:tblPr>
      <w:tblGrid>
        <w:gridCol w:w="60"/>
        <w:gridCol w:w="170"/>
        <w:gridCol w:w="2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replacement applicators/handpieces.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 revenue includes revenue derived from our extended warranty service contracts provided to our existing customers and VeroGrafters technician services (which were discontinued in the fourth quarter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Systems are sold through our subscription model, or through traditional sales contracts directly and through distributors.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generate recurring monthly revenue under our subscription-based business model and from traditional system sales. Venus Concept Ltd. commenced a subscription-based model in North America in 2011, and approximately 47% of our aesthetic revenues were derived from our subscription model in the three months ended March 31, 2022 and 2021, respectively. We have launched our subscription model in targeted international markets in which we operate directly. We currently do not offer the ARTAS iX system under the subscription model. For additional details related to our subscription model, see </w:t>
      </w:r>
      <w:r>
        <w:rPr>
          <w:rFonts w:ascii="Times New Roman;Times;serif" w:hAnsi="Times New Roman;Times;serif"/>
          <w:i/>
          <w:sz w:val="20"/>
        </w:rPr>
        <w:t xml:space="preserve">Item 1. Business </w:t>
      </w:r>
      <w:r>
        <w:rPr>
          <w:rFonts w:ascii="Times New Roman;Times;serif" w:hAnsi="Times New Roman;Times;serif"/>
          <w:sz w:val="20"/>
        </w:rPr>
        <w:t xml:space="preserve">– </w:t>
      </w:r>
      <w:r>
        <w:rPr>
          <w:rFonts w:ascii="Times New Roman;Times;serif" w:hAnsi="Times New Roman;Times;serif"/>
          <w:i/>
          <w:sz w:val="20"/>
        </w:rPr>
        <w:t>Subscription-Based Business Model</w:t>
      </w:r>
      <w:r>
        <w:rPr>
          <w:rFonts w:ascii="Times New Roman;Times;serif" w:hAnsi="Times New Roman;Times;serif"/>
          <w:sz w:val="20"/>
        </w:rPr>
        <w:t xml:space="preserve"> as filed in our Form 10-K for the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developed and commercialized eleven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United States, we have obtained 510(k) clearance from the FDA for our Venus Viva, Venus Viva MD, Venus Legacy, Venus Versa, Venus Velocity, Venus Bliss, Venus Bliss Max, Venus Epileve, Venus Fiore,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2022, we operated directly in</w:t>
      </w:r>
      <w:r>
        <w:rPr>
          <w:rFonts w:ascii="Times New Roman" w:hAnsi="Times New Roman"/>
          <w:caps w:val="false"/>
          <w:smallCaps w:val="false"/>
          <w:sz w:val="20"/>
          <w:highlight w:val="white"/>
        </w:rPr>
        <w:t xml:space="preserve"> 18</w:t>
      </w:r>
      <w:r>
        <w:rPr>
          <w:rFonts w:ascii="Times New Roman" w:hAnsi="Times New Roman"/>
          <w:caps w:val="false"/>
          <w:smallCaps w:val="false"/>
          <w:color w:val="FF0000"/>
          <w:sz w:val="20"/>
          <w:highlight w:val="white"/>
        </w:rPr>
        <w:t> </w:t>
      </w:r>
      <w:r>
        <w:rPr>
          <w:rFonts w:ascii="Times New Roman" w:hAnsi="Times New Roman"/>
          <w:caps w:val="false"/>
          <w:smallCaps w:val="false"/>
          <w:sz w:val="20"/>
          <w:highlight w:val="white"/>
        </w:rPr>
        <w:t>international markets through our 15</w:t>
      </w:r>
      <w:r>
        <w:rPr>
          <w:rFonts w:ascii="Times New Roman" w:hAnsi="Times New Roman"/>
          <w:caps w:val="false"/>
          <w:smallCaps w:val="false"/>
          <w:color w:val="FF0000"/>
          <w:sz w:val="20"/>
          <w:highlight w:val="white"/>
        </w:rPr>
        <w:t> </w:t>
      </w:r>
      <w:r>
        <w:rPr>
          <w:rFonts w:ascii="Times New Roman" w:hAnsi="Times New Roman"/>
          <w:caps w:val="false"/>
          <w:smallCaps w:val="false"/>
          <w:sz w:val="20"/>
          <w:highlight w:val="white"/>
        </w:rPr>
        <w:t>di</w:t>
      </w:r>
      <w:r>
        <w:rPr>
          <w:rFonts w:ascii="Times New Roman" w:hAnsi="Times New Roman"/>
          <w:caps w:val="false"/>
          <w:smallCaps w:val="false"/>
          <w:sz w:val="20"/>
        </w:rPr>
        <w:t>rect offices in the United States, Canada, United Kingdom, Japan, South Korea, Mexico, Argentina, Colombia, Spain, France, Germany, Australia, China, Hong Kong, and Israel. Our revenues for the three months ended March 31, 2022, and 2021 were $26.4 million and $22.6 million, respectively. We had a net loss attributable to Venus Concept of $8.6 million and $9.3 million in the three months ended March 31, 2022, and 2021, respectively. We had an Adjusted EBITDA loss of $5.9 million and $5.0 million for the three months ended March 31, 2022, and 2021,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Use</w:t>
      </w:r>
      <w:r>
        <w:rPr>
          <w:rFonts w:ascii="Times New Roman" w:hAnsi="Times New Roman"/>
          <w:caps w:val="false"/>
          <w:smallCaps w:val="false"/>
          <w:sz w:val="20"/>
        </w:rPr>
        <w:t> </w:t>
      </w:r>
      <w:r>
        <w:rPr>
          <w:rFonts w:ascii="Times New Roman" w:hAnsi="Times New Roman"/>
          <w:b/>
          <w:i/>
          <w:caps w:val="false"/>
          <w:smallCaps w:val="false"/>
          <w:sz w:val="20"/>
        </w:rPr>
        <w:t>of</w:t>
      </w:r>
      <w:r>
        <w:rPr>
          <w:rFonts w:ascii="Times New Roman" w:hAnsi="Times New Roman"/>
          <w:caps w:val="false"/>
          <w:smallCaps w:val="false"/>
          <w:sz w:val="20"/>
        </w:rPr>
        <w:t> </w:t>
      </w:r>
      <w:r>
        <w:rPr>
          <w:rFonts w:ascii="Times New Roman" w:hAnsi="Times New Roman"/>
          <w:b/>
          <w:i/>
          <w:caps w:val="false"/>
          <w:smallCaps w:val="false"/>
          <w:sz w:val="20"/>
        </w:rPr>
        <w:t>Non-GAAP</w:t>
      </w:r>
      <w:r>
        <w:rPr>
          <w:rFonts w:ascii="Times New Roman" w:hAnsi="Times New Roman"/>
          <w:caps w:val="false"/>
          <w:smallCaps w:val="false"/>
          <w:sz w:val="20"/>
        </w:rPr>
        <w:t> </w:t>
      </w:r>
      <w:r>
        <w:rPr>
          <w:rFonts w:ascii="Times New Roman" w:hAnsi="Times New Roman"/>
          <w:b/>
          <w:i/>
          <w:caps w:val="false"/>
          <w:smallCaps w:val="false"/>
          <w:sz w:val="20"/>
        </w:rPr>
        <w:t>Financial</w:t>
      </w:r>
      <w:r>
        <w:rPr>
          <w:rFonts w:ascii="Times New Roman" w:hAnsi="Times New Roman"/>
          <w:caps w:val="false"/>
          <w:smallCaps w:val="false"/>
          <w:sz w:val="20"/>
        </w:rPr>
        <w:t> </w:t>
      </w:r>
      <w:r>
        <w:rPr>
          <w:rFonts w:ascii="Times New Roman" w:hAnsi="Times New Roman"/>
          <w:b/>
          <w:i/>
          <w:caps w:val="false"/>
          <w:smallCaps w:val="false"/>
          <w:sz w:val="20"/>
        </w:rPr>
        <w:t xml:space="preserve">Measures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net loss to Adjusted EBITDA for the periods presented:</w:t>
      </w:r>
    </w:p>
    <w:p>
      <w:pPr>
        <w:pStyle w:val="TextBody"/>
        <w:spacing w:before="0" w:after="0"/>
        <w:ind w:left="0" w:right="0" w:hanging="0"/>
        <w:rPr>
          <w:caps w:val="false"/>
          <w:smallCaps w:val="false"/>
        </w:rPr>
      </w:pPr>
      <w:r>
        <w:rPr>
          <w:caps w:val="false"/>
          <w:smallCaps w:val="false"/>
        </w:rPr>
        <w:t> </w:t>
      </w:r>
    </w:p>
    <w:tbl>
      <w:tblPr>
        <w:tblW w:w="6718" w:type="dxa"/>
        <w:jc w:val="left"/>
        <w:tblInd w:w="0" w:type="dxa"/>
        <w:tblCellMar>
          <w:top w:w="0" w:type="dxa"/>
          <w:left w:w="0" w:type="dxa"/>
          <w:bottom w:w="0" w:type="dxa"/>
          <w:right w:w="0" w:type="dxa"/>
        </w:tblCellMar>
      </w:tblPr>
      <w:tblGrid>
        <w:gridCol w:w="3875"/>
        <w:gridCol w:w="60"/>
        <w:gridCol w:w="228"/>
        <w:gridCol w:w="996"/>
        <w:gridCol w:w="146"/>
        <w:gridCol w:w="109"/>
        <w:gridCol w:w="228"/>
        <w:gridCol w:w="996"/>
        <w:gridCol w:w="80"/>
      </w:tblGrid>
      <w:tr>
        <w:trPr/>
        <w:tc>
          <w:tcPr>
            <w:tcW w:w="38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38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ind w:left="0" w:right="0" w:hanging="0"/>
              <w:rPr/>
            </w:pPr>
            <w:r>
              <w:rPr/>
              <w:t> </w:t>
            </w:r>
          </w:p>
        </w:tc>
        <w:tc>
          <w:tcPr>
            <w:tcW w:w="12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387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Reconciliation of net loss to adjusted EBITDA</w:t>
            </w:r>
          </w:p>
        </w:tc>
        <w:tc>
          <w:tcPr>
            <w:tcW w:w="60" w:type="dxa"/>
            <w:tcBorders/>
            <w:shd w:fill="FFFFFF" w:val="clear"/>
            <w:vAlign w:val="center"/>
          </w:tcPr>
          <w:p>
            <w:pPr>
              <w:pStyle w:val="TableContents"/>
              <w:spacing w:before="0" w:after="283"/>
              <w:ind w:left="0" w:right="0" w:hanging="0"/>
              <w:rPr/>
            </w:pPr>
            <w:r>
              <w:rPr/>
              <w:t> </w:t>
            </w:r>
          </w:p>
        </w:tc>
        <w:tc>
          <w:tcPr>
            <w:tcW w:w="2703"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22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(8,636</w:t>
            </w:r>
          </w:p>
        </w:tc>
        <w:tc>
          <w:tcPr>
            <w:tcW w:w="14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9" w:type="dxa"/>
            <w:tcBorders/>
            <w:shd w:fill="CCEEFF" w:val="clear"/>
            <w:vAlign w:val="center"/>
          </w:tcPr>
          <w:p>
            <w:pPr>
              <w:pStyle w:val="TableContents"/>
              <w:spacing w:before="0" w:after="283"/>
              <w:ind w:left="0" w:right="0" w:hanging="0"/>
              <w:rPr/>
            </w:pPr>
            <w:r>
              <w:rPr/>
              <w:t> </w:t>
            </w:r>
          </w:p>
        </w:tc>
        <w:tc>
          <w:tcPr>
            <w:tcW w:w="22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7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Foreign exchange loss</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9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9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714</w:t>
            </w:r>
          </w:p>
        </w:tc>
        <w:tc>
          <w:tcPr>
            <w:tcW w:w="80" w:type="dxa"/>
            <w:tcBorders/>
            <w:shd w:fill="FFFFFF"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Finance expenses</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923</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1,885</w:t>
            </w:r>
          </w:p>
        </w:tc>
        <w:tc>
          <w:tcPr>
            <w:tcW w:w="80" w:type="dxa"/>
            <w:tcBorders/>
            <w:shd w:fill="CCEEFF" w:val="clear"/>
            <w:vAlign w:val="center"/>
          </w:tcPr>
          <w:p>
            <w:pPr>
              <w:pStyle w:val="TableContents"/>
              <w:spacing w:before="0" w:after="283"/>
              <w:rPr/>
            </w:pPr>
            <w:r>
              <w:rPr/>
              <w:t> </w:t>
            </w:r>
          </w:p>
        </w:tc>
      </w:tr>
      <w:tr>
        <w:trPr/>
        <w:tc>
          <w:tcPr>
            <w:tcW w:w="387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9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99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1,101</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1,304</w:t>
            </w:r>
          </w:p>
        </w:tc>
        <w:tc>
          <w:tcPr>
            <w:tcW w:w="80" w:type="dxa"/>
            <w:tcBorders/>
            <w:shd w:fill="CCEEFF" w:val="clear"/>
            <w:vAlign w:val="center"/>
          </w:tcPr>
          <w:p>
            <w:pPr>
              <w:pStyle w:val="TableContents"/>
              <w:spacing w:before="0" w:after="283"/>
              <w:rPr/>
            </w:pPr>
            <w:r>
              <w:rPr/>
              <w:t> </w:t>
            </w:r>
          </w:p>
        </w:tc>
      </w:tr>
      <w:tr>
        <w:trPr/>
        <w:tc>
          <w:tcPr>
            <w:tcW w:w="387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508</w:t>
            </w:r>
          </w:p>
        </w:tc>
        <w:tc>
          <w:tcPr>
            <w:tcW w:w="80" w:type="dxa"/>
            <w:tcBorders/>
            <w:shd w:fill="FFFFFF"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spacing w:before="0" w:after="283"/>
              <w:ind w:left="0" w:right="0" w:hanging="0"/>
              <w:rPr/>
            </w:pPr>
            <w:r>
              <w:rPr/>
              <w:t> </w:t>
            </w:r>
          </w:p>
        </w:tc>
        <w:tc>
          <w:tcPr>
            <w:tcW w:w="22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(5,892</w:t>
            </w:r>
          </w:p>
        </w:tc>
        <w:tc>
          <w:tcPr>
            <w:tcW w:w="14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9" w:type="dxa"/>
            <w:tcBorders/>
            <w:shd w:fill="CCEEFF" w:val="clear"/>
            <w:vAlign w:val="center"/>
          </w:tcPr>
          <w:p>
            <w:pPr>
              <w:pStyle w:val="TableContents"/>
              <w:spacing w:before="0" w:after="283"/>
              <w:ind w:left="0" w:right="0" w:hanging="0"/>
              <w:rPr/>
            </w:pPr>
            <w:r>
              <w:rPr/>
              <w:t> </w:t>
            </w:r>
          </w:p>
        </w:tc>
        <w:tc>
          <w:tcPr>
            <w:tcW w:w="22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(5,024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Key Factors Impacting Our Results of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results of operations are impacted by several factors, but we consider the following to be particularly significant to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Number of systems delivered.</w:t>
      </w:r>
      <w:r>
        <w:rPr>
          <w:rFonts w:ascii="Times New Roman" w:hAnsi="Times New Roman"/>
          <w:caps w:val="false"/>
          <w:smallCaps w:val="false"/>
          <w:sz w:val="20"/>
        </w:rPr>
        <w:t xml:space="preserve"> The majority of our revenue is generated from the delivery of systems, both under traditional sales contracts and subscription agreements. The following table sets forth the number of systems we have delivered in the geographic regions indicated:</w:t>
      </w:r>
    </w:p>
    <w:p>
      <w:pPr>
        <w:pStyle w:val="TextBody"/>
        <w:spacing w:before="0" w:after="0"/>
        <w:ind w:left="0" w:right="0" w:hanging="0"/>
        <w:rPr>
          <w:caps w:val="false"/>
          <w:smallCaps w:val="false"/>
        </w:rPr>
      </w:pPr>
      <w:r>
        <w:rPr>
          <w:caps w:val="false"/>
          <w:smallCaps w:val="false"/>
        </w:rPr>
        <w:t> </w:t>
      </w:r>
    </w:p>
    <w:tbl>
      <w:tblPr>
        <w:tblW w:w="4762" w:type="dxa"/>
        <w:jc w:val="left"/>
        <w:tblInd w:w="0" w:type="dxa"/>
        <w:tblCellMar>
          <w:top w:w="0" w:type="dxa"/>
          <w:left w:w="0" w:type="dxa"/>
          <w:bottom w:w="0" w:type="dxa"/>
          <w:right w:w="0" w:type="dxa"/>
        </w:tblCellMar>
      </w:tblPr>
      <w:tblGrid>
        <w:gridCol w:w="1940"/>
        <w:gridCol w:w="60"/>
        <w:gridCol w:w="178"/>
        <w:gridCol w:w="995"/>
        <w:gridCol w:w="178"/>
        <w:gridCol w:w="178"/>
        <w:gridCol w:w="178"/>
        <w:gridCol w:w="995"/>
        <w:gridCol w:w="60"/>
      </w:tblGrid>
      <w:tr>
        <w:trPr/>
        <w:tc>
          <w:tcPr>
            <w:tcW w:w="19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19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78"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ind w:left="0" w:right="0" w:hanging="0"/>
              <w:rPr/>
            </w:pPr>
            <w:r>
              <w:rPr/>
              <w:t> </w:t>
            </w:r>
          </w:p>
        </w:tc>
        <w:tc>
          <w:tcPr>
            <w:tcW w:w="117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19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United States</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126</w:t>
            </w:r>
          </w:p>
        </w:tc>
        <w:tc>
          <w:tcPr>
            <w:tcW w:w="178"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67</w:t>
            </w:r>
          </w:p>
        </w:tc>
        <w:tc>
          <w:tcPr>
            <w:tcW w:w="60" w:type="dxa"/>
            <w:tcBorders/>
            <w:shd w:fill="CCEEFF" w:val="clear"/>
            <w:vAlign w:val="center"/>
          </w:tcPr>
          <w:p>
            <w:pPr>
              <w:pStyle w:val="TableContents"/>
              <w:spacing w:before="0" w:after="283"/>
              <w:rPr/>
            </w:pPr>
            <w:r>
              <w:rPr/>
              <w:t> </w:t>
            </w:r>
          </w:p>
        </w:tc>
      </w:tr>
      <w:tr>
        <w:trPr/>
        <w:tc>
          <w:tcPr>
            <w:tcW w:w="194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International</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9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327</w:t>
            </w:r>
          </w:p>
        </w:tc>
        <w:tc>
          <w:tcPr>
            <w:tcW w:w="178"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ind w:left="0" w:right="0" w:hanging="0"/>
              <w:rPr/>
            </w:pPr>
            <w:r>
              <w:rPr/>
              <w:t> </w:t>
            </w:r>
          </w:p>
        </w:tc>
        <w:tc>
          <w:tcPr>
            <w:tcW w:w="99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299</w:t>
            </w:r>
          </w:p>
        </w:tc>
        <w:tc>
          <w:tcPr>
            <w:tcW w:w="60" w:type="dxa"/>
            <w:tcBorders/>
            <w:shd w:fill="FFFFFF" w:val="clear"/>
            <w:vAlign w:val="center"/>
          </w:tcPr>
          <w:p>
            <w:pPr>
              <w:pStyle w:val="TableContents"/>
              <w:spacing w:before="0" w:after="283"/>
              <w:rPr/>
            </w:pPr>
            <w:r>
              <w:rPr/>
              <w:t> </w:t>
            </w:r>
          </w:p>
        </w:tc>
      </w:tr>
      <w:tr>
        <w:trPr/>
        <w:tc>
          <w:tcPr>
            <w:tcW w:w="19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systems delivered</w:t>
            </w:r>
          </w:p>
        </w:tc>
        <w:tc>
          <w:tcPr>
            <w:tcW w:w="60"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453</w:t>
            </w:r>
          </w:p>
        </w:tc>
        <w:tc>
          <w:tcPr>
            <w:tcW w:w="178"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366</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color w:val="000000"/>
          <w:sz w:val="20"/>
        </w:rPr>
      </w:pPr>
      <w:r>
        <w:rPr>
          <w:rFonts w:ascii="Times New Roman" w:hAnsi="Times New Roman"/>
          <w:b/>
          <w:caps w:val="false"/>
          <w:smallCaps w:val="false"/>
          <w:color w:val="000000"/>
          <w:sz w:val="20"/>
        </w:rPr>
        <w:t>Mix between traditional sales, subscription model sales and distributor sales. </w:t>
      </w:r>
      <w:r>
        <w:rPr>
          <w:rFonts w:ascii="Times New Roman" w:hAnsi="Times New Roman"/>
          <w:caps w:val="false"/>
          <w:smallCaps w:val="false"/>
          <w:color w:val="000000"/>
          <w:sz w:val="20"/>
        </w:rPr>
        <w:t>We deliver systems through (1) traditional direct system sales contracts 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color w:val="000000"/>
          <w:sz w:val="20"/>
        </w:rPr>
      </w:pPr>
      <w:r>
        <w:rPr>
          <w:rFonts w:ascii="Times New Roman" w:hAnsi="Times New Roman"/>
          <w:b/>
          <w:caps w:val="false"/>
          <w:smallCaps w:val="false"/>
          <w:color w:val="000000"/>
          <w:sz w:val="20"/>
        </w:rPr>
        <w:t>Investment in Sales, Marketing and Operations. </w:t>
      </w:r>
    </w:p>
    <w:p>
      <w:pPr>
        <w:pStyle w:val="TextBody"/>
        <w:spacing w:before="0" w:after="0"/>
        <w:jc w:val="both"/>
        <w:rPr>
          <w:sz w:val="20"/>
        </w:rPr>
      </w:pPr>
      <w:r>
        <w:rPr>
          <w:color w:val="000000"/>
          <w:sz w:val="20"/>
        </w:rPr>
        <w:t xml:space="preserve">In recent years, we made a strategic decision to penetrate the global market by investing in sales and 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are evaluating our profitability and growth prospects in these countries post-COVID-19, and we have taken and will continue to take steps to exit countries which we do not believe will produce sustainable results. Since June 2020 we have </w:t>
      </w:r>
      <w:r>
        <w:rPr>
          <w:color w:val="000000"/>
          <w:sz w:val="20"/>
          <w:highlight w:val="white"/>
        </w:rPr>
        <w:t>closed 9 di</w:t>
      </w:r>
      <w:r>
        <w:rPr>
          <w:color w:val="000000"/>
          <w:sz w:val="20"/>
        </w:rPr>
        <w:t>rect offices across Europe, Asia Pacific, Latin America and Africa and have increased our investment and focus in the United States market.</w:t>
      </w:r>
      <w:r>
        <w:rPr>
          <w:sz w:val="20"/>
        </w:rPr>
        <w:t xml:space="preserve"> </w:t>
      </w:r>
    </w:p>
    <w:p>
      <w:pPr>
        <w:pStyle w:val="TextBody"/>
        <w:spacing w:before="0" w:after="0"/>
        <w:jc w:val="both"/>
        <w:rPr/>
      </w:pPr>
      <w:r>
        <w:rPr/>
        <w:t xml:space="preserve">  </w:t>
      </w:r>
    </w:p>
    <w:p>
      <w:pPr>
        <w:pStyle w:val="TextBody"/>
        <w:jc w:val="both"/>
        <w:rPr>
          <w:sz w:val="20"/>
        </w:rPr>
      </w:pPr>
      <w:r>
        <w:rPr>
          <w:color w:val="000000"/>
          <w:sz w:val="20"/>
        </w:rPr>
        <w:t>In the </w:t>
      </w:r>
      <w:r>
        <w:rPr>
          <w:sz w:val="20"/>
        </w:rPr>
        <w:t xml:space="preserve"> three months ended March 31, 2022 </w:t>
      </w:r>
      <w:r>
        <w:rPr>
          <w:color w:val="000000"/>
          <w:sz w:val="20"/>
        </w:rPr>
        <w:t>, and </w:t>
      </w:r>
      <w:r>
        <w:rPr>
          <w:sz w:val="20"/>
        </w:rPr>
        <w:t xml:space="preserve"> 2021 </w:t>
      </w:r>
      <w:r>
        <w:rPr>
          <w:color w:val="000000"/>
          <w:sz w:val="20"/>
        </w:rPr>
        <w:t>, respectively, we di</w:t>
      </w:r>
      <w:r>
        <w:rPr>
          <w:sz w:val="20"/>
        </w:rPr>
        <w:t xml:space="preserve"> </w:t>
      </w:r>
      <w:r>
        <w:rPr>
          <w:color w:val="333333"/>
          <w:sz w:val="20"/>
        </w:rPr>
        <w:t>d not open an</w:t>
      </w:r>
      <w:r>
        <w:rPr>
          <w:sz w:val="20"/>
        </w:rPr>
        <w:t xml:space="preserve"> </w:t>
      </w:r>
      <w:r>
        <w:rPr>
          <w:color w:val="000000"/>
          <w:sz w:val="20"/>
        </w:rPr>
        <w:t>y direct sales offices.</w:t>
      </w:r>
      <w:r>
        <w:rPr>
          <w:sz w:val="20"/>
        </w:rPr>
        <w:t xml:space="preserve"> </w:t>
      </w:r>
    </w:p>
    <w:p>
      <w:pPr>
        <w:pStyle w:val="TextBody"/>
        <w:jc w:val="both"/>
        <w:rPr/>
      </w:pPr>
      <w:r>
        <w:rPr>
          <w:b/>
          <w:color w:val="000000"/>
        </w:rPr>
        <w:t>Bad Debt Expense.</w:t>
      </w:r>
      <w:r>
        <w:rPr>
          <w:color w:val="000000"/>
        </w:rPr>
        <w:t xml:space="preserve"> We maintain an allowance for doubtful accounts for estimated losses that may primarily arise from subscription customers that are unable to make the remaining payments required under their subscription agreements. During the </w:t>
      </w:r>
      <w:r>
        <w:rPr/>
        <w:t>three months ended March 31, 2022</w:t>
      </w:r>
      <w:r>
        <w:rPr>
          <w:color w:val="000000"/>
        </w:rPr>
        <w:t>, our collections results improved along with our customer base exhibiting a significant increase in the number of procedures performed with our products. We incurred a bad debt expense of $1.0 million during the </w:t>
      </w:r>
      <w:r>
        <w:rPr/>
        <w:t>three months ended March 31, 2022</w:t>
      </w:r>
      <w:r>
        <w:rPr>
          <w:color w:val="000000"/>
        </w:rPr>
        <w:t>. As of March 31, 2022, our allowance for doubtful accounts stands at $12.7 million which represents 14.2% of the gross outstanding accounts receivable as of this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COVID-19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overall performance continues to show strength as we find ways to adapt to the challenges presented by the COVID-19 pandemic. There are certain markets that we operate in where commercial efforts are still challenged by the effects of COVID-19, either through local government restrictions and/or patients’ hesitancy to undergo procedures. Where possible, our sales efforts are increasingly focused on countries and markets that have had success in managing the pandemic through proper guidance from public health authorities combined with strong COVID-19 vaccination outcomes.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Employee and customers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health and safety measures. </w:t>
      </w:r>
      <w:r>
        <w:rPr>
          <w:rFonts w:ascii="Times New Roman" w:hAnsi="Times New Roman"/>
          <w:caps w:val="false"/>
          <w:smallCaps w:val="false"/>
          <w:sz w:val="20"/>
        </w:rPr>
        <w:t>At Venus Concept, safety is our top priority and that includes the health and well-being of our employees and customers globally. In response to COVID-19, we instituted several operational measures to ensure the safety of our employees and customers, which include, but are not limited to the following:</w:t>
      </w:r>
    </w:p>
    <w:p>
      <w:pPr>
        <w:pStyle w:val="TextBody"/>
        <w:spacing w:before="0" w:after="0"/>
        <w:ind w:left="0" w:right="0" w:hanging="0"/>
        <w:rPr>
          <w:caps w:val="false"/>
          <w:smallCaps w:val="false"/>
        </w:rPr>
      </w:pPr>
      <w:r>
        <w:rPr>
          <w:caps w:val="false"/>
          <w:smallCaps w:val="false"/>
        </w:rPr>
        <w:t> </w:t>
      </w:r>
    </w:p>
    <w:tbl>
      <w:tblPr>
        <w:tblW w:w="7255" w:type="dxa"/>
        <w:jc w:val="left"/>
        <w:tblInd w:w="0" w:type="dxa"/>
        <w:tblCellMar>
          <w:top w:w="0" w:type="dxa"/>
          <w:left w:w="0" w:type="dxa"/>
          <w:bottom w:w="0" w:type="dxa"/>
          <w:right w:w="0" w:type="dxa"/>
        </w:tblCellMar>
      </w:tblPr>
      <w:tblGrid>
        <w:gridCol w:w="60"/>
        <w:gridCol w:w="170"/>
        <w:gridCol w:w="70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0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Implementation of and continuously updated health and safety policies and processes;</w:t>
            </w:r>
          </w:p>
        </w:tc>
      </w:tr>
    </w:tbl>
    <w:tbl>
      <w:tblPr>
        <w:tblW w:w="3895" w:type="dxa"/>
        <w:jc w:val="left"/>
        <w:tblInd w:w="0" w:type="dxa"/>
        <w:tblCellMar>
          <w:top w:w="0" w:type="dxa"/>
          <w:left w:w="0" w:type="dxa"/>
          <w:bottom w:w="0" w:type="dxa"/>
          <w:right w:w="0" w:type="dxa"/>
        </w:tblCellMar>
      </w:tblPr>
      <w:tblGrid>
        <w:gridCol w:w="60"/>
        <w:gridCol w:w="170"/>
        <w:gridCol w:w="36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Establishment of remote working guidelines;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Continued communication with customers, including planning for business resumption, implementing virtual training sessions and monitoring announcements regarding developments;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Enhanced safety guidelines and access to personal protective equipment for our clinical trainers; shift to virtual training sessions where possible;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Thorough cleaning and decontamination procedures throughout our global manufacturing, warehouse and office facilities; and</w:t>
            </w:r>
          </w:p>
        </w:tc>
      </w:tr>
    </w:tbl>
    <w:tbl>
      <w:tblPr>
        <w:tblW w:w="9355" w:type="dxa"/>
        <w:jc w:val="left"/>
        <w:tblInd w:w="0" w:type="dxa"/>
        <w:tblCellMar>
          <w:top w:w="0" w:type="dxa"/>
          <w:left w:w="0" w:type="dxa"/>
          <w:bottom w:w="0" w:type="dxa"/>
          <w:right w:w="0" w:type="dxa"/>
        </w:tblCellMar>
      </w:tblPr>
      <w:tblGrid>
        <w:gridCol w:w="60"/>
        <w:gridCol w:w="170"/>
        <w:gridCol w:w="91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1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Establishment of phased roll-out of vaccine mandates for Venus Concept offices and safe return to work policies.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Supply chain. </w:t>
      </w:r>
      <w:r>
        <w:rPr>
          <w:rFonts w:ascii="Times New Roman" w:hAnsi="Times New Roman"/>
          <w:caps w:val="false"/>
          <w:smallCaps w:val="false"/>
          <w:sz w:val="20"/>
        </w:rPr>
        <w:t>In the second half of 2021we were impacted by the global supply disruptions related to COVID-19, which resulted in our inability to fulfil demand for certain of our products. The value of such purchase order backlog in the third and the fourth quarters of 2021 was $2.4 million and $1.0 million, respectively, which was substantially fulfilled during the fourth quarter of 2021 and the first quarter of 2022. We did not experience significant supply issues in the first quarter of 2022 as we continue to actively work with our suppliers and third-party manufacturers to mitigate supply issues and build inventory of key component parts. We anticipate some supply challenges throughout 2022, including longer production lead times and shortages of certain materials or components that may impact our ability to manufacture the number of systems required to meet customer demand. In addition, since the second quarter of 2021 we have experienced significant inflationary pressures throughout our supply chain, which we expect to continue through the balance of 2022. We expect to mitigate such pressures, where possible, through price increases and margin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Sales markets. </w:t>
      </w:r>
      <w:r>
        <w:rPr>
          <w:rFonts w:ascii="Times New Roman" w:hAnsi="Times New Roman"/>
          <w:caps w:val="false"/>
          <w:smallCaps w:val="false"/>
          <w:sz w:val="20"/>
        </w:rPr>
        <w:t>We are a global business, having established a commercial presence in more than 60 countries during our history. The continued economic recovery in individual countries during the first three months of 2022 progressed well in most countries that we operate in. While we expect this momentum to continue for the 2022 year, the COVID-19 outbreak continues to be fluid, and the extent to which the pandemic will continue to impact our business remains largely uncertain and could continue to be significant for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Accounts receivable collections. </w:t>
      </w:r>
      <w:r>
        <w:rPr>
          <w:rFonts w:ascii="Times New Roman" w:hAnsi="Times New Roman"/>
          <w:caps w:val="false"/>
          <w:smallCaps w:val="false"/>
          <w:sz w:val="20"/>
        </w:rPr>
        <w:t>As a result of the global economic turmoil that has resulted from COVID-19, many of our customers experienced difficulty in making timely payments or payments at all during the pandemic under their subscription agreements. In 2020 and 2021, we entered into repayment arrangements with the majority of non-paying customers, and as government lockdowns and shelter in place orders were lifted, we experienced a significant improvement in collections as businesses reopened. We remain fully focused on reactivating collections with those at-risk accounts that have struggled through the pandemic but show signs of viability. As of March 31, 2022, our allowance for doubtful accounts stands at $12.7 million, which represents 14.2% of the gross outstanding accounts receivable as of that date. This represents an increase of $0.7 million from our December 31, 2021 allowance for doubtful accounts balance of $12.0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the successful rollout of COVID-19 vaccines, combined with a relaxation of government restrictions in certain markets we operate in, our collection experience continues to improve, with collections in our largest subscription markets averaging 85% of our billings in January 2022, 93% in February 2022, and 106% in March 2022. The March 2022 collections include an increase in catch up payments made under repayment arrangements. We recorded a bad debt expense of $1.0 million in the first quarter of 2022. We will continue our proactive approach to collections of our accounts receivable and will revisit our allowance for doubtful accounts during the next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Mitigation efforts.</w:t>
      </w:r>
      <w:r>
        <w:rPr>
          <w:rFonts w:ascii="Times New Roman" w:hAnsi="Times New Roman"/>
          <w:caps w:val="false"/>
          <w:smallCaps w:val="false"/>
          <w:sz w:val="20"/>
        </w:rPr>
        <w:t xml:space="preserve"> We are focused on continuing to mitigate the impacts of the COVID-19 pandemic on our business to the extent possible. Our mitigation efforts include the following: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Accounts Receivables Collections Initiatives. </w:t>
            </w:r>
            <w:r>
              <w:rPr>
                <w:rFonts w:ascii="Times New Roman" w:hAnsi="Times New Roman"/>
                <w:caps w:val="false"/>
                <w:smallCaps w:val="false"/>
                <w:sz w:val="20"/>
              </w:rPr>
              <w:t>We have made repayment arrangements with the majority of our non-paying subscription customers to collect temporarily 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 month period. While the repayment arrangements and improvements in collections activities made thus far have resulted in our cash collections rate averaging at pre-COVID-19 levels, we may not be successful in collecting all outstanding amounts.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283"/>
              <w:jc w:val="both"/>
              <w:rPr/>
            </w:pPr>
            <w:r>
              <w:rPr>
                <w:i/>
              </w:rPr>
              <w:t>The 2021 Private Placement.</w:t>
            </w:r>
            <w:r>
              <w:rPr/>
              <w:t xml:space="preserve"> In December 2021, we issued and sold to certain investors 9,808,418 shares of common stock and 3,790,755 shares of convertible preferred stock. The 2021 Private Placement was completed on December 15, 2021.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in the 2021 Form 10-K. See Note 14 "</w:t>
            </w:r>
            <w:r>
              <w:rPr>
                <w:i/>
              </w:rPr>
              <w:t>Stockholders Equity</w:t>
            </w:r>
            <w:r>
              <w:rPr/>
              <w:t>" in the notes to our condensed consolidated financial statements included elsewhere in this report.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Government Assistance Programs. </w:t>
            </w:r>
            <w:r>
              <w:rPr>
                <w:rFonts w:ascii="Times New Roman" w:hAnsi="Times New Roman"/>
                <w:caps w:val="false"/>
                <w:smallCaps w:val="false"/>
                <w:sz w:val="20"/>
              </w:rPr>
              <w:t>In 2020, certain of our subsidiaries applied for government assistance programs and received loans and other government subsidies in the aggregate of $5.3 million, including $4.1 million in PPP Loans under the PPP. The terms of these government assistance programs vary by jurisdiction. See Note 12 “</w:t>
            </w:r>
            <w:r>
              <w:rPr>
                <w:rFonts w:ascii="Times New Roman" w:hAnsi="Times New Roman"/>
                <w:i/>
                <w:caps w:val="false"/>
                <w:smallCaps w:val="false"/>
                <w:sz w:val="20"/>
              </w:rPr>
              <w:t>Government Assistance Programs</w:t>
            </w:r>
            <w:r>
              <w:rPr>
                <w:rFonts w:ascii="Times New Roman" w:hAnsi="Times New Roman"/>
                <w:caps w:val="false"/>
                <w:smallCaps w:val="false"/>
                <w:sz w:val="20"/>
              </w:rPr>
              <w:t>” in the notes to our condensed consolidated financial statements included elsewhere in this report. In 2021, we applied for partial forgiveness of the PPP Loans with the SBA and received partial forgiveness in the total amount of $2.8 million of original PPP Loans as of March 31, 2022. Also in 2021, we received additional government subsidies for $0.1 million.</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December 2020 Public Offering Warrants Exercise. </w:t>
            </w:r>
            <w:r>
              <w:rPr>
                <w:rFonts w:ascii="Times New Roman" w:hAnsi="Times New Roman"/>
                <w:caps w:val="false"/>
                <w:smallCaps w:val="false"/>
                <w:sz w:val="20"/>
              </w:rPr>
              <w:t>On December 24, 2020, we sold in a public offering 11,250,000 shares of common stock and warrants to purchase up to 5,625,000 shares of common stock at a combined offering price to the public of $2.00 per share and accompanying warrants. Total net proceeds generated by the December 2020 Public Offering was $20.5 million. In February 2021, a small number of our investors exercised an aggregate of 361,200 December 2020 Public Offering Warrants at the exercise price of $2.50 per share. We received total proceeds from the December 2020 Public Offering Warrants exercises of $0.9 million.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extent to which the COVID-19 pandemic may continue to impact our business, operating results, financial condition, and liquidity in the future will depend on future developments, which we cannot predict with reasonable accuracy, including the duration and severity of the pandemic, travel restrictions, business and workforce disruptions, the impact of COVID-19 variants and the effectiveness of actions taken to contain and treat the disease in each of the markets in which we operate. While our business has clearly improved and we expect this momentum to continue through the balance of 2022, the situation surrounding COVID-19, and in particular, the COVID-19 variants, remains fluid, and the potential for additional negative impacts on our results of operations, financial condition and liquidity increases the longer the pandemic impacts activity levels in the countries in which we operate.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Revenues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(1) sales of systems through our subscription model, traditional system s</w:t>
      </w:r>
      <w:r>
        <w:rPr>
          <w:rFonts w:ascii="Times New Roman" w:hAnsi="Times New Roman"/>
          <w:caps w:val="false"/>
          <w:smallCaps w:val="false"/>
          <w:sz w:val="20"/>
          <w:highlight w:val="white"/>
        </w:rPr>
        <w:t>ales to customers and distributors, (2) other product revenues from the sale of marketing supplies and kits, consumables and (3) service revenue from our extended warranty service contracts provided to existing customers and the sale of our VeroGrafters technician services. VeroGrafters services were discontinued in the fourth quarter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System Revenue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and 2021, approximately 47% of our system revenues were derived from our subscription contracts. Our subscription model is designed to provide a low barrier to ownership of our systems and includes an up-front fee followed by monthly payments, typically over a 36-month period. The up-front fee serves as a down payment. The significantly reduced up-front financial commitment, coupled with less onerous credit and disclosure requirements, is intended to make our subscription-based sales program more appealing and affordable to customers, including non-traditional providers of aesthetic services such as family practice physicians, general practice physicians, and operators of medical aesthetic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and 2021, approximately 40% and 45%, respectively, of our system revenues were derived from traditional sales. Customers generally demand higher discounts in connection with these types of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grant rights of return or early termination rights to our customers under either our traditional sales or subscription models. These traditional sales are generally made through our sales team in the countries in which the team operates.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and 2021, approximately 13% and 8%,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u w:val="single"/>
        </w:rPr>
      </w:pPr>
      <w:r>
        <w:rPr>
          <w:rFonts w:ascii="Times New Roman" w:hAnsi="Times New Roman"/>
          <w:i/>
          <w:caps w:val="false"/>
          <w:smallCaps w:val="false"/>
          <w:sz w:val="20"/>
          <w:u w:val="single"/>
        </w:rPr>
        <w:t>Procedure Based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Other Product Revenue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also generate revenue from our customer base by selling Glide (a cooling/conductive gel which is required for use with many of our systems), marketing supplies and kits, various consumables and disposables, replacement applicators and handpieces, and ARTAS system training.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Service Revenue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ancillary revenue from our existing customers by selling additional services including extended warranty service contracts and VeroGrafters technician services for hair restoration using our NeoGraft and ARTAS systems. In the fourth quarter of 2021 we discontinued our VeroGrafters technician services in order to focus on higher margin products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Cost of Goods Sold and Gross Profit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Operating Expenses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 and Marketing</w:t>
      </w:r>
      <w:r>
        <w:rPr>
          <w:rFonts w:ascii="Times New Roman" w:hAnsi="Times New Roman"/>
          <w:b/>
          <w:caps w:val="false"/>
          <w:smallCaps w:val="false"/>
          <w:sz w:val="20"/>
        </w:rPr>
        <w:t>.</w:t>
      </w:r>
      <w:r>
        <w:rPr>
          <w:rFonts w:ascii="Times New Roman" w:hAnsi="Times New Roman"/>
          <w:caps w:val="false"/>
          <w:smallCaps w:val="false"/>
          <w:sz w:val="20"/>
        </w:rPr>
        <w:t xml:space="preserve"> 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selling and marketing expenses to continue to increase, but at a rate slightly below our rate of revenue growth.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General and Administrative.</w:t>
      </w:r>
      <w:r>
        <w:rPr>
          <w:rFonts w:ascii="Times New Roman" w:hAnsi="Times New Roman"/>
          <w:caps w:val="false"/>
          <w:smallCaps w:val="false"/>
          <w:sz w:val="20"/>
        </w:rPr>
        <w:t xml:space="preserve"> Our general and administrative costs primarily consist of expenses associated with our executive, accounting and finance, legal and human resource departments and intellectual property portfolio.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w:t>
      </w:r>
      <w:r>
        <w:rPr>
          <w:rFonts w:ascii="Times New Roman" w:hAnsi="Times New Roman"/>
          <w:caps w:val="false"/>
          <w:smallCaps w:val="false"/>
          <w:sz w:val="20"/>
        </w:rPr>
        <w:t xml:space="preserve"> Our research and development costs primarily consist of personnel-related costs (primarily salaries, benefits, incentive compensation, and stock-based compensation), material costs, amortization of intangible assets, regulatory affairs,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Finance Expenses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3.45% for the MSLP Loan and 8.0% for the Notes as of March 31, 2022 and 3.10% for the MSLP Loan and 8.0% for the Notes as of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Foreign Exchange (Gain) Loss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Foreign currency exchange (gain) loss changes reflect foreign exchange gains or losses related to the change in value of assets and liabilities denominated in currencies other than the U.S. dollar.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Income Tax Expense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agreements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expense is recognized based on the actual taxable loss incurred during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Non-Controlling Interests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tables set forth our consolidated results of operations in U.S. dollars and as a percentage of revenues for the periods indicated:</w:t>
      </w:r>
    </w:p>
    <w:p>
      <w:pPr>
        <w:pStyle w:val="TextBody"/>
        <w:spacing w:before="0" w:after="0"/>
        <w:ind w:left="0" w:right="0" w:hanging="0"/>
        <w:rPr>
          <w:caps w:val="false"/>
          <w:smallCaps w:val="false"/>
        </w:rPr>
      </w:pPr>
      <w:r>
        <w:rPr>
          <w:caps w:val="false"/>
          <w:smallCaps w:val="false"/>
        </w:rPr>
        <w:t> </w:t>
      </w:r>
    </w:p>
    <w:tbl>
      <w:tblPr>
        <w:tblW w:w="6837" w:type="dxa"/>
        <w:jc w:val="left"/>
        <w:tblInd w:w="0" w:type="dxa"/>
        <w:tblCellMar>
          <w:top w:w="0" w:type="dxa"/>
          <w:left w:w="0" w:type="dxa"/>
          <w:bottom w:w="0" w:type="dxa"/>
          <w:right w:w="0" w:type="dxa"/>
        </w:tblCellMar>
      </w:tblPr>
      <w:tblGrid>
        <w:gridCol w:w="3845"/>
        <w:gridCol w:w="60"/>
        <w:gridCol w:w="205"/>
        <w:gridCol w:w="968"/>
        <w:gridCol w:w="303"/>
        <w:gridCol w:w="98"/>
        <w:gridCol w:w="205"/>
        <w:gridCol w:w="968"/>
        <w:gridCol w:w="185"/>
      </w:tblGrid>
      <w:tr>
        <w:trPr/>
        <w:tc>
          <w:tcPr>
            <w:tcW w:w="38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4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shd w:fill="FFFF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ind w:left="0" w:right="0" w:hanging="0"/>
              <w:rPr/>
            </w:pPr>
            <w:r>
              <w:rPr/>
              <w:t> </w:t>
            </w:r>
          </w:p>
        </w:tc>
        <w:tc>
          <w:tcPr>
            <w:tcW w:w="117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185" w:type="dxa"/>
            <w:tcBorders/>
            <w:shd w:fill="FFFF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Consolidated Statements of Loss:</w:t>
            </w:r>
          </w:p>
        </w:tc>
        <w:tc>
          <w:tcPr>
            <w:tcW w:w="60" w:type="dxa"/>
            <w:tcBorders/>
            <w:shd w:fill="FFFFFF" w:val="clear"/>
            <w:vAlign w:val="center"/>
          </w:tcPr>
          <w:p>
            <w:pPr>
              <w:pStyle w:val="TableContents"/>
              <w:spacing w:before="0" w:after="283"/>
              <w:ind w:left="0" w:right="0" w:hanging="0"/>
              <w:rPr/>
            </w:pPr>
            <w:r>
              <w:rPr/>
              <w:t> </w:t>
            </w:r>
          </w:p>
        </w:tc>
        <w:tc>
          <w:tcPr>
            <w:tcW w:w="2747" w:type="dxa"/>
            <w:gridSpan w:val="6"/>
            <w:tcBorders/>
            <w:shd w:fill="FFFFFF" w:val="clear"/>
            <w:vAlign w:val="center"/>
          </w:tcPr>
          <w:p>
            <w:pPr>
              <w:pStyle w:val="TableContents"/>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Leases</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10,423</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8,537</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Products and services</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15,983</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14,060</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9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26,406</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9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22,597</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goods sold</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8,643</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7,363</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9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17,763</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9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15,234</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Sales and marketing</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9,903</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7,854</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13,094</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12,165</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2,202</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2,051</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spacing w:before="0" w:after="283"/>
              <w:rPr/>
            </w:pPr>
            <w:r>
              <w:rPr/>
              <w:t> </w:t>
            </w:r>
          </w:p>
        </w:tc>
        <w:tc>
          <w:tcPr>
            <w:tcW w:w="20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25,199</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22,070</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9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(7,436</w:t>
            </w:r>
          </w:p>
        </w:tc>
        <w:tc>
          <w:tcPr>
            <w:tcW w:w="3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9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(6,836</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expenses:</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Foreign exchange loss</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714</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Finance expenses</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923</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1,885</w:t>
            </w:r>
          </w:p>
        </w:tc>
        <w:tc>
          <w:tcPr>
            <w:tcW w:w="185" w:type="dxa"/>
            <w:tcBorders/>
            <w:shd w:fill="CCEEFF" w:val="clear"/>
            <w:vAlign w:val="center"/>
          </w:tcPr>
          <w:p>
            <w:pPr>
              <w:pStyle w:val="TableContents"/>
              <w:spacing w:before="0" w:after="283"/>
              <w:ind w:left="0" w:right="0" w:hanging="0"/>
              <w:rPr/>
            </w:pPr>
            <w:r>
              <w:rPr/>
              <w:t> </w:t>
            </w:r>
          </w:p>
        </w:tc>
      </w:tr>
      <w:tr>
        <w:trPr/>
        <w:tc>
          <w:tcPr>
            <w:tcW w:w="384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Loss before income taxes</w:t>
            </w:r>
          </w:p>
        </w:tc>
        <w:tc>
          <w:tcPr>
            <w:tcW w:w="60" w:type="dxa"/>
            <w:tcBorders/>
            <w:shd w:fill="FFFFFF" w:val="clear"/>
            <w:vAlign w:val="center"/>
          </w:tcPr>
          <w:p>
            <w:pPr>
              <w:pStyle w:val="TableContents"/>
              <w:spacing w:before="0" w:after="0"/>
              <w:ind w:left="0" w:right="0" w:hanging="0"/>
              <w:rPr/>
            </w:pPr>
            <w:r>
              <w:rPr/>
              <w:t> </w:t>
            </w:r>
          </w:p>
        </w:tc>
        <w:tc>
          <w:tcPr>
            <w:tcW w:w="205" w:type="dxa"/>
            <w:tcBorders/>
            <w:shd w:fill="FFFFFF" w:val="clear"/>
            <w:vAlign w:val="center"/>
          </w:tcPr>
          <w:p>
            <w:pPr>
              <w:pStyle w:val="TableContents"/>
              <w:spacing w:before="0" w:after="0"/>
              <w:ind w:left="0" w:right="0" w:hanging="0"/>
              <w:rPr/>
            </w:pPr>
            <w:r>
              <w:rPr/>
              <w:t> </w:t>
            </w:r>
          </w:p>
        </w:tc>
        <w:tc>
          <w:tcPr>
            <w:tcW w:w="968"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(8,364</w:t>
            </w:r>
          </w:p>
        </w:tc>
        <w:tc>
          <w:tcPr>
            <w:tcW w:w="303"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spacing w:before="0" w:after="0"/>
              <w:ind w:left="0" w:right="0" w:hanging="0"/>
              <w:rPr/>
            </w:pPr>
            <w:r>
              <w:rPr/>
              <w:t> </w:t>
            </w:r>
          </w:p>
        </w:tc>
        <w:tc>
          <w:tcPr>
            <w:tcW w:w="205" w:type="dxa"/>
            <w:tcBorders/>
            <w:shd w:fill="FFFFFF" w:val="clear"/>
            <w:vAlign w:val="center"/>
          </w:tcPr>
          <w:p>
            <w:pPr>
              <w:pStyle w:val="TableContents"/>
              <w:spacing w:before="0" w:after="0"/>
              <w:ind w:left="0" w:right="0" w:hanging="0"/>
              <w:rPr/>
            </w:pPr>
            <w:r>
              <w:rPr/>
              <w:t> </w:t>
            </w:r>
          </w:p>
        </w:tc>
        <w:tc>
          <w:tcPr>
            <w:tcW w:w="968"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(9,435</w:t>
            </w:r>
          </w:p>
        </w:tc>
        <w:tc>
          <w:tcPr>
            <w:tcW w:w="18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272</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(8,636</w:t>
            </w:r>
          </w:p>
        </w:tc>
        <w:tc>
          <w:tcPr>
            <w:tcW w:w="3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spacing w:before="0" w:after="283"/>
              <w:ind w:left="0" w:right="0" w:hanging="0"/>
              <w:rPr/>
            </w:pPr>
            <w:r>
              <w:rPr/>
              <w:t> </w:t>
            </w:r>
          </w:p>
        </w:tc>
        <w:tc>
          <w:tcPr>
            <w:tcW w:w="20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(9,435</w:t>
            </w:r>
          </w:p>
        </w:tc>
        <w:tc>
          <w:tcPr>
            <w:tcW w:w="185"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 attributable to the Company</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(8,619</w:t>
            </w:r>
          </w:p>
        </w:tc>
        <w:tc>
          <w:tcPr>
            <w:tcW w:w="30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(9,259</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Net loss attributable to non-controlling interest</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double" w:sz="6"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(17</w:t>
            </w:r>
          </w:p>
        </w:tc>
        <w:tc>
          <w:tcPr>
            <w:tcW w:w="3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spacing w:before="0" w:after="283"/>
              <w:ind w:left="0" w:right="0" w:hanging="0"/>
              <w:rPr/>
            </w:pPr>
            <w:r>
              <w:rPr/>
              <w:t> </w:t>
            </w:r>
          </w:p>
        </w:tc>
        <w:tc>
          <w:tcPr>
            <w:tcW w:w="205"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double" w:sz="6"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(176</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As a % of revenue:</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Revenues</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100</w:t>
            </w:r>
          </w:p>
        </w:tc>
        <w:tc>
          <w:tcPr>
            <w:tcW w:w="3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goods sold</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32.7</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32.6</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Gross profit</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67.3</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67.4</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Sales and marketing</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37.5</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34.8</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49.6</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53.8</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8.3</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9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9.1</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95.4</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97.7</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Loss from operations</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(28.2</w:t>
            </w:r>
          </w:p>
        </w:tc>
        <w:tc>
          <w:tcPr>
            <w:tcW w:w="3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(30.3</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exchange loss</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0.0</w:t>
            </w:r>
          </w:p>
        </w:tc>
        <w:tc>
          <w:tcPr>
            <w:tcW w:w="303"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9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3.2</w:t>
            </w:r>
          </w:p>
        </w:tc>
        <w:tc>
          <w:tcPr>
            <w:tcW w:w="185" w:type="dxa"/>
            <w:tcBorders/>
            <w:shd w:fill="CCEEFF" w:val="clear"/>
            <w:vAlign w:val="center"/>
          </w:tcPr>
          <w:p>
            <w:pPr>
              <w:pStyle w:val="TableContents"/>
              <w:spacing w:before="0" w:after="283"/>
              <w:rPr/>
            </w:pPr>
            <w:r>
              <w:rPr/>
              <w:t> </w:t>
            </w:r>
          </w:p>
        </w:tc>
      </w:tr>
      <w:tr>
        <w:trPr/>
        <w:tc>
          <w:tcPr>
            <w:tcW w:w="384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Finance expenses</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3.5</w:t>
            </w:r>
          </w:p>
        </w:tc>
        <w:tc>
          <w:tcPr>
            <w:tcW w:w="303"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ind w:left="0" w:right="0" w:hanging="0"/>
              <w:rPr/>
            </w:pPr>
            <w:r>
              <w:rPr/>
              <w:t> </w:t>
            </w:r>
          </w:p>
        </w:tc>
        <w:tc>
          <w:tcPr>
            <w:tcW w:w="20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8.3</w:t>
            </w:r>
          </w:p>
        </w:tc>
        <w:tc>
          <w:tcPr>
            <w:tcW w:w="185" w:type="dxa"/>
            <w:tcBorders/>
            <w:shd w:fill="FFFFFF"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before income taxes</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(31.7</w:t>
            </w:r>
          </w:p>
        </w:tc>
        <w:tc>
          <w:tcPr>
            <w:tcW w:w="30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(41.8</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tables set forth our revenue by region and by product type for the periods indicated:</w:t>
      </w:r>
    </w:p>
    <w:p>
      <w:pPr>
        <w:pStyle w:val="TextBody"/>
        <w:spacing w:before="0" w:after="0"/>
        <w:ind w:left="0" w:right="0" w:hanging="0"/>
        <w:rPr>
          <w:caps w:val="false"/>
          <w:smallCaps w:val="false"/>
        </w:rPr>
      </w:pPr>
      <w:r>
        <w:rPr>
          <w:caps w:val="false"/>
          <w:smallCaps w:val="false"/>
        </w:rPr>
        <w:t> </w:t>
      </w:r>
    </w:p>
    <w:tbl>
      <w:tblPr>
        <w:tblW w:w="4552" w:type="dxa"/>
        <w:jc w:val="left"/>
        <w:tblInd w:w="0" w:type="dxa"/>
        <w:tblCellMar>
          <w:top w:w="0" w:type="dxa"/>
          <w:left w:w="0" w:type="dxa"/>
          <w:bottom w:w="0" w:type="dxa"/>
          <w:right w:w="0" w:type="dxa"/>
        </w:tblCellMar>
      </w:tblPr>
      <w:tblGrid>
        <w:gridCol w:w="1730"/>
        <w:gridCol w:w="60"/>
        <w:gridCol w:w="218"/>
        <w:gridCol w:w="1029"/>
        <w:gridCol w:w="104"/>
        <w:gridCol w:w="104"/>
        <w:gridCol w:w="218"/>
        <w:gridCol w:w="1029"/>
        <w:gridCol w:w="60"/>
      </w:tblGrid>
      <w:tr>
        <w:trPr/>
        <w:tc>
          <w:tcPr>
            <w:tcW w:w="17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17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4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0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ind w:left="0" w:right="0" w:hanging="0"/>
              <w:rPr/>
            </w:pPr>
            <w:r>
              <w:rPr/>
              <w:t> </w:t>
            </w:r>
          </w:p>
        </w:tc>
        <w:tc>
          <w:tcPr>
            <w:tcW w:w="124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17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2" w:type="dxa"/>
            <w:gridSpan w:val="6"/>
            <w:tcBorders/>
            <w:shd w:fill="FFFFFF" w:val="clear"/>
            <w:vAlign w:val="center"/>
          </w:tcPr>
          <w:p>
            <w:pPr>
              <w:pStyle w:val="TableContents"/>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spacing w:before="0" w:after="283"/>
              <w:rPr/>
            </w:pPr>
            <w:r>
              <w:rPr/>
              <w:t> </w:t>
            </w:r>
          </w:p>
        </w:tc>
      </w:tr>
      <w:tr>
        <w:trPr/>
        <w:tc>
          <w:tcPr>
            <w:tcW w:w="173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Revenues by region:</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173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13,129</w:t>
            </w:r>
          </w:p>
        </w:tc>
        <w:tc>
          <w:tcPr>
            <w:tcW w:w="10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10,515</w:t>
            </w:r>
          </w:p>
        </w:tc>
        <w:tc>
          <w:tcPr>
            <w:tcW w:w="60" w:type="dxa"/>
            <w:tcBorders/>
            <w:shd w:fill="FFFFFF" w:val="clear"/>
            <w:vAlign w:val="center"/>
          </w:tcPr>
          <w:p>
            <w:pPr>
              <w:pStyle w:val="TableContents"/>
              <w:spacing w:before="0" w:after="283"/>
              <w:rPr/>
            </w:pPr>
            <w:r>
              <w:rPr/>
              <w:t> </w:t>
            </w:r>
          </w:p>
        </w:tc>
      </w:tr>
      <w:tr>
        <w:trPr/>
        <w:tc>
          <w:tcPr>
            <w:tcW w:w="17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International</w:t>
            </w:r>
          </w:p>
        </w:tc>
        <w:tc>
          <w:tcPr>
            <w:tcW w:w="60" w:type="dxa"/>
            <w:tcBorders/>
            <w:shd w:fill="CCEEFF" w:val="clear"/>
            <w:vAlign w:val="center"/>
          </w:tcPr>
          <w:p>
            <w:pPr>
              <w:pStyle w:val="TableContents"/>
              <w:spacing w:before="0" w:after="283"/>
              <w:ind w:left="0" w:right="0" w:hanging="0"/>
              <w:rPr/>
            </w:pPr>
            <w:r>
              <w:rPr/>
              <w:t> </w:t>
            </w:r>
          </w:p>
        </w:tc>
        <w:tc>
          <w:tcPr>
            <w:tcW w:w="21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13,277</w:t>
            </w:r>
          </w:p>
        </w:tc>
        <w:tc>
          <w:tcPr>
            <w:tcW w:w="104"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ind w:left="0" w:right="0" w:hanging="0"/>
              <w:rPr/>
            </w:pPr>
            <w:r>
              <w:rPr/>
              <w:t> </w:t>
            </w:r>
          </w:p>
        </w:tc>
        <w:tc>
          <w:tcPr>
            <w:tcW w:w="21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12,082</w:t>
            </w:r>
          </w:p>
        </w:tc>
        <w:tc>
          <w:tcPr>
            <w:tcW w:w="60" w:type="dxa"/>
            <w:tcBorders/>
            <w:shd w:fill="CCEEFF" w:val="clear"/>
            <w:vAlign w:val="center"/>
          </w:tcPr>
          <w:p>
            <w:pPr>
              <w:pStyle w:val="TableContents"/>
              <w:spacing w:before="0" w:after="283"/>
              <w:rPr/>
            </w:pPr>
            <w:r>
              <w:rPr/>
              <w:t> </w:t>
            </w:r>
          </w:p>
        </w:tc>
      </w:tr>
      <w:tr>
        <w:trPr/>
        <w:tc>
          <w:tcPr>
            <w:tcW w:w="17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spacing w:before="0" w:after="283"/>
              <w:ind w:left="0" w:right="0" w:hanging="0"/>
              <w:rPr/>
            </w:pPr>
            <w:r>
              <w:rPr/>
              <w:t> </w:t>
            </w:r>
          </w:p>
        </w:tc>
        <w:tc>
          <w:tcPr>
            <w:tcW w:w="21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26,406</w:t>
            </w:r>
          </w:p>
        </w:tc>
        <w:tc>
          <w:tcPr>
            <w:tcW w:w="10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ind w:left="0" w:right="0" w:hanging="0"/>
              <w:rPr/>
            </w:pPr>
            <w:r>
              <w:rPr/>
              <w:t> </w:t>
            </w:r>
          </w:p>
        </w:tc>
        <w:tc>
          <w:tcPr>
            <w:tcW w:w="21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22,597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4732" w:type="dxa"/>
        <w:jc w:val="left"/>
        <w:tblInd w:w="0" w:type="dxa"/>
        <w:tblCellMar>
          <w:top w:w="0" w:type="dxa"/>
          <w:left w:w="0" w:type="dxa"/>
          <w:bottom w:w="0" w:type="dxa"/>
          <w:right w:w="0" w:type="dxa"/>
        </w:tblCellMar>
      </w:tblPr>
      <w:tblGrid>
        <w:gridCol w:w="1910"/>
        <w:gridCol w:w="60"/>
        <w:gridCol w:w="218"/>
        <w:gridCol w:w="1029"/>
        <w:gridCol w:w="104"/>
        <w:gridCol w:w="104"/>
        <w:gridCol w:w="218"/>
        <w:gridCol w:w="1029"/>
        <w:gridCol w:w="60"/>
      </w:tblGrid>
      <w:tr>
        <w:trPr/>
        <w:tc>
          <w:tcPr>
            <w:tcW w:w="19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r>
      <w:tr>
        <w:trPr/>
        <w:tc>
          <w:tcPr>
            <w:tcW w:w="19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4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0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ind w:left="0" w:right="0" w:hanging="0"/>
              <w:rPr/>
            </w:pPr>
            <w:r>
              <w:rPr/>
              <w:t> </w:t>
            </w:r>
          </w:p>
        </w:tc>
        <w:tc>
          <w:tcPr>
            <w:tcW w:w="124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19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2" w:type="dxa"/>
            <w:gridSpan w:val="6"/>
            <w:tcBorders/>
            <w:shd w:fill="FFFFFF" w:val="clear"/>
            <w:vAlign w:val="center"/>
          </w:tcPr>
          <w:p>
            <w:pPr>
              <w:pStyle w:val="TableContents"/>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spacing w:before="0" w:after="283"/>
              <w:rPr/>
            </w:pPr>
            <w:r>
              <w:rPr/>
              <w:t> </w:t>
            </w:r>
          </w:p>
        </w:tc>
      </w:tr>
      <w:tr>
        <w:trPr/>
        <w:tc>
          <w:tcPr>
            <w:tcW w:w="191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Revenues by product:</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19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Subscription—Systems</w:t>
            </w:r>
          </w:p>
        </w:tc>
        <w:tc>
          <w:tcPr>
            <w:tcW w:w="60" w:type="dxa"/>
            <w:tcBorders/>
            <w:shd w:fill="FFFFFF" w:val="clear"/>
            <w:vAlign w:val="center"/>
          </w:tcPr>
          <w:p>
            <w:pPr>
              <w:pStyle w:val="TableContents"/>
              <w:spacing w:before="0" w:after="283"/>
              <w:ind w:left="0" w:right="0" w:hanging="0"/>
              <w:rPr/>
            </w:pPr>
            <w:r>
              <w:rPr/>
              <w:t> </w:t>
            </w:r>
          </w:p>
        </w:tc>
        <w:tc>
          <w:tcPr>
            <w:tcW w:w="21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10,423</w:t>
            </w:r>
          </w:p>
        </w:tc>
        <w:tc>
          <w:tcPr>
            <w:tcW w:w="10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ind w:left="0" w:right="0" w:hanging="0"/>
              <w:rPr/>
            </w:pPr>
            <w:r>
              <w:rPr/>
              <w:t> </w:t>
            </w:r>
          </w:p>
        </w:tc>
        <w:tc>
          <w:tcPr>
            <w:tcW w:w="21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8,537</w:t>
            </w:r>
          </w:p>
        </w:tc>
        <w:tc>
          <w:tcPr>
            <w:tcW w:w="60" w:type="dxa"/>
            <w:tcBorders/>
            <w:shd w:fill="FFFFFF" w:val="clear"/>
            <w:vAlign w:val="center"/>
          </w:tcPr>
          <w:p>
            <w:pPr>
              <w:pStyle w:val="TableContents"/>
              <w:spacing w:before="0" w:after="283"/>
              <w:rPr/>
            </w:pPr>
            <w:r>
              <w:rPr/>
              <w:t> </w:t>
            </w:r>
          </w:p>
        </w:tc>
      </w:tr>
      <w:tr>
        <w:trPr/>
        <w:tc>
          <w:tcPr>
            <w:tcW w:w="19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Products—Systems</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11,875</w:t>
            </w:r>
          </w:p>
        </w:tc>
        <w:tc>
          <w:tcPr>
            <w:tcW w:w="104"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9,810</w:t>
            </w:r>
          </w:p>
        </w:tc>
        <w:tc>
          <w:tcPr>
            <w:tcW w:w="60" w:type="dxa"/>
            <w:tcBorders/>
            <w:shd w:fill="CCEEFF" w:val="clear"/>
            <w:vAlign w:val="center"/>
          </w:tcPr>
          <w:p>
            <w:pPr>
              <w:pStyle w:val="TableContents"/>
              <w:spacing w:before="0" w:after="283"/>
              <w:rPr/>
            </w:pPr>
            <w:r>
              <w:rPr/>
              <w:t> </w:t>
            </w:r>
          </w:p>
        </w:tc>
      </w:tr>
      <w:tr>
        <w:trPr/>
        <w:tc>
          <w:tcPr>
            <w:tcW w:w="19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Products—Other (1)</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3,497</w:t>
            </w:r>
          </w:p>
        </w:tc>
        <w:tc>
          <w:tcPr>
            <w:tcW w:w="10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3,055</w:t>
            </w:r>
          </w:p>
        </w:tc>
        <w:tc>
          <w:tcPr>
            <w:tcW w:w="60" w:type="dxa"/>
            <w:tcBorders/>
            <w:shd w:fill="FFFFFF" w:val="clear"/>
            <w:vAlign w:val="center"/>
          </w:tcPr>
          <w:p>
            <w:pPr>
              <w:pStyle w:val="TableContents"/>
              <w:spacing w:before="0" w:after="283"/>
              <w:rPr/>
            </w:pPr>
            <w:r>
              <w:rPr/>
              <w:t> </w:t>
            </w:r>
          </w:p>
        </w:tc>
      </w:tr>
      <w:tr>
        <w:trPr/>
        <w:tc>
          <w:tcPr>
            <w:tcW w:w="19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Services (2)</w:t>
            </w:r>
          </w:p>
        </w:tc>
        <w:tc>
          <w:tcPr>
            <w:tcW w:w="60" w:type="dxa"/>
            <w:tcBorders/>
            <w:shd w:fill="CCEEFF" w:val="clear"/>
            <w:vAlign w:val="center"/>
          </w:tcPr>
          <w:p>
            <w:pPr>
              <w:pStyle w:val="TableContents"/>
              <w:spacing w:before="0" w:after="283"/>
              <w:rPr/>
            </w:pPr>
            <w:r>
              <w:rPr/>
              <w:t> </w:t>
            </w:r>
          </w:p>
        </w:tc>
        <w:tc>
          <w:tcPr>
            <w:tcW w:w="21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611</w:t>
            </w:r>
          </w:p>
        </w:tc>
        <w:tc>
          <w:tcPr>
            <w:tcW w:w="104"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21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1,195</w:t>
            </w:r>
          </w:p>
        </w:tc>
        <w:tc>
          <w:tcPr>
            <w:tcW w:w="60" w:type="dxa"/>
            <w:tcBorders/>
            <w:shd w:fill="CCEEFF" w:val="clear"/>
            <w:vAlign w:val="center"/>
          </w:tcPr>
          <w:p>
            <w:pPr>
              <w:pStyle w:val="TableContents"/>
              <w:spacing w:before="0" w:after="283"/>
              <w:rPr/>
            </w:pPr>
            <w:r>
              <w:rPr/>
              <w:t> </w:t>
            </w:r>
          </w:p>
        </w:tc>
      </w:tr>
      <w:tr>
        <w:trPr/>
        <w:tc>
          <w:tcPr>
            <w:tcW w:w="19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spacing w:before="0" w:after="283"/>
              <w:ind w:left="0" w:right="0" w:hanging="0"/>
              <w:rPr/>
            </w:pPr>
            <w:r>
              <w:rPr/>
              <w:t> </w:t>
            </w:r>
          </w:p>
        </w:tc>
        <w:tc>
          <w:tcPr>
            <w:tcW w:w="21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26,406</w:t>
            </w:r>
          </w:p>
        </w:tc>
        <w:tc>
          <w:tcPr>
            <w:tcW w:w="10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ind w:left="0" w:right="0" w:hanging="0"/>
              <w:rPr/>
            </w:pPr>
            <w:r>
              <w:rPr/>
              <w:t> </w:t>
            </w:r>
          </w:p>
        </w:tc>
        <w:tc>
          <w:tcPr>
            <w:tcW w:w="21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22,597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5965" w:type="dxa"/>
        <w:jc w:val="left"/>
        <w:tblInd w:w="0" w:type="dxa"/>
        <w:tblCellMar>
          <w:top w:w="0" w:type="dxa"/>
          <w:left w:w="0" w:type="dxa"/>
          <w:bottom w:w="0" w:type="dxa"/>
          <w:right w:w="0" w:type="dxa"/>
        </w:tblCellMar>
      </w:tblPr>
      <w:tblGrid>
        <w:gridCol w:w="245"/>
        <w:gridCol w:w="5720"/>
      </w:tblGrid>
      <w:tr>
        <w:trPr/>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57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Products-Other include ARTAS procedure kits and other consumables.</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9976"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Services include extended warranty sales and </w:t>
            </w:r>
            <w:r>
              <w:rPr>
                <w:rFonts w:ascii="Times New Roman" w:hAnsi="Times New Roman"/>
                <w:caps w:val="false"/>
                <w:smallCaps w:val="false"/>
                <w:sz w:val="20"/>
                <w:highlight w:val="white"/>
              </w:rPr>
              <w:t>VeroGrafters technician services. VeroGrafters technician services were disco</w:t>
            </w:r>
            <w:r>
              <w:rPr>
                <w:rFonts w:ascii="Times New Roman" w:hAnsi="Times New Roman"/>
                <w:caps w:val="false"/>
                <w:smallCaps w:val="false"/>
                <w:sz w:val="20"/>
              </w:rPr>
              <w:t>ntinued in the fourth quarter of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March 31, 2022 and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spacing w:before="0" w:after="0"/>
        <w:ind w:left="0" w:right="0" w:hanging="0"/>
        <w:rPr>
          <w:caps w:val="false"/>
          <w:smallCaps w:val="false"/>
        </w:rPr>
      </w:pPr>
      <w:r>
        <w:rPr>
          <w:caps w:val="false"/>
          <w:smallCaps w:val="false"/>
        </w:rPr>
        <w:t> </w:t>
      </w:r>
    </w:p>
    <w:tbl>
      <w:tblPr>
        <w:tblW w:w="8218" w:type="dxa"/>
        <w:jc w:val="left"/>
        <w:tblInd w:w="0" w:type="dxa"/>
        <w:tblCellMar>
          <w:top w:w="0" w:type="dxa"/>
          <w:left w:w="0" w:type="dxa"/>
          <w:bottom w:w="0" w:type="dxa"/>
          <w:right w:w="0" w:type="dxa"/>
        </w:tblCellMar>
      </w:tblPr>
      <w:tblGrid>
        <w:gridCol w:w="2870"/>
        <w:gridCol w:w="60"/>
        <w:gridCol w:w="137"/>
        <w:gridCol w:w="650"/>
        <w:gridCol w:w="66"/>
        <w:gridCol w:w="66"/>
        <w:gridCol w:w="466"/>
        <w:gridCol w:w="468"/>
        <w:gridCol w:w="66"/>
        <w:gridCol w:w="66"/>
        <w:gridCol w:w="137"/>
        <w:gridCol w:w="650"/>
        <w:gridCol w:w="66"/>
        <w:gridCol w:w="66"/>
        <w:gridCol w:w="102"/>
        <w:gridCol w:w="832"/>
        <w:gridCol w:w="60"/>
        <w:gridCol w:w="60"/>
        <w:gridCol w:w="125"/>
        <w:gridCol w:w="485"/>
        <w:gridCol w:w="80"/>
        <w:gridCol w:w="60"/>
        <w:gridCol w:w="60"/>
        <w:gridCol w:w="440"/>
        <w:gridCol w:w="80"/>
      </w:tblGrid>
      <w:tr>
        <w:trPr/>
        <w:tc>
          <w:tcPr>
            <w:tcW w:w="28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838"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5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185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spacing w:before="0" w:after="283"/>
              <w:ind w:left="0" w:right="0" w:hanging="0"/>
              <w:rPr/>
            </w:pPr>
            <w:r>
              <w:rPr/>
              <w:t> </w:t>
            </w:r>
          </w:p>
        </w:tc>
        <w:tc>
          <w:tcPr>
            <w:tcW w:w="787"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787"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46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Subscription—Systems</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10,423</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934" w:type="dxa"/>
            <w:gridSpan w:val="2"/>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39.5</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8,537</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83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37.8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1,886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22.1</w:t>
            </w:r>
          </w:p>
        </w:tc>
        <w:tc>
          <w:tcPr>
            <w:tcW w:w="80" w:type="dxa"/>
            <w:tcBorders/>
            <w:shd w:fill="FFFFFF"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Products—Systems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11,875</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934" w:type="dxa"/>
            <w:gridSpan w:val="2"/>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45.0</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9,810</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2,065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21.0</w:t>
            </w:r>
          </w:p>
        </w:tc>
        <w:tc>
          <w:tcPr>
            <w:tcW w:w="80" w:type="dxa"/>
            <w:tcBorders/>
            <w:shd w:fill="CCEE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Products—Other</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3,497</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934" w:type="dxa"/>
            <w:gridSpan w:val="2"/>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13.2</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3,055</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83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13.5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442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14.5</w:t>
            </w:r>
          </w:p>
        </w:tc>
        <w:tc>
          <w:tcPr>
            <w:tcW w:w="80" w:type="dxa"/>
            <w:tcBorders/>
            <w:shd w:fill="FFFFFF"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Services</w:t>
            </w:r>
          </w:p>
        </w:tc>
        <w:tc>
          <w:tcPr>
            <w:tcW w:w="60" w:type="dxa"/>
            <w:tcBorders/>
            <w:shd w:fill="CCEEFF" w:val="clear"/>
            <w:vAlign w:val="center"/>
          </w:tcPr>
          <w:p>
            <w:pPr>
              <w:pStyle w:val="TableContents"/>
              <w:spacing w:before="0" w:after="283"/>
              <w:ind w:left="0" w:right="0" w:hanging="0"/>
              <w:rPr/>
            </w:pPr>
            <w:r>
              <w:rPr/>
              <w:t> </w:t>
            </w:r>
          </w:p>
        </w:tc>
        <w:tc>
          <w:tcPr>
            <w:tcW w:w="1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611</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2.3</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ind w:left="0" w:right="0" w:hanging="0"/>
              <w:rPr/>
            </w:pPr>
            <w:r>
              <w:rPr/>
              <w:t> </w:t>
            </w:r>
          </w:p>
        </w:tc>
        <w:tc>
          <w:tcPr>
            <w:tcW w:w="1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1,195</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ind w:left="0" w:right="0" w:hanging="0"/>
              <w:rPr/>
            </w:pPr>
            <w:r>
              <w:rPr/>
              <w:t> </w:t>
            </w:r>
          </w:p>
        </w:tc>
        <w:tc>
          <w:tcPr>
            <w:tcW w:w="10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2"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(584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(48.9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3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26,406</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934" w:type="dxa"/>
            <w:gridSpan w:val="2"/>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13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22,597</w:t>
            </w:r>
          </w:p>
        </w:tc>
        <w:tc>
          <w:tcPr>
            <w:tcW w:w="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0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3,809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 increased by $3.8 million, or 16.9%, to $26.4 million for the three months ended March 31, 2022 from $22.6 million for the three months ended March 31, 2021. The increase in revenue is attributable to a strong performance in the United States where our reinvestment efforts are paying dividends. Our international markets were driven by a strong performance in distributor sales. In the three months ended March 31, 2022 our hair restoration business led by ARTAS continued to perform well globally, and in the United States we successfully executed a soft launch of Bliss Max and we expect this to be a key growth driver during the balance of 2022 given its unique coverage of three modalities (fat reduction, skin tightening and muscle stimulation).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sold an aggregate of 453 systems in the three months ended March 31, 2022 compared to 366 systems in the three months ended March 31, 2021. The percentage of systems revenue derived from our subscription model was approximately 47% during the three months ended March 31, 2022 and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product revenue increased by $0.4 million, or 14.5%, to $3.5 million in the three months ended March 31, 2022 compared to $3.1 million in the three months ended March 31, 2021. The increase was driven by stronger performance on ARTAS kits, Venus Viva tips and other consumables.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Services revenue decreased by $0.6 million, or 48.9%, to $0.6 million in the three months ended March 31, 2022, compared to $1.2 million in the three months ended March 31, 2021. The decrease was driven by the discontinuation of our VeroGrafters technician services in the fourth quarter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Cost of Goods Sold and Gross Profit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increased by $1.2 million, or 17.4%, to $8.6 million in the three months ended March 31, 2022, compared to $7.4 million in the three months ended March 31, 2021. Gross profit increased by $2.6 million, or 16.6%, to $17.8 million in the three months ended March 31, 2022, compared to $15.2 million in the three months ended March 31, 2021. The increase in gross profit is primarily due to an increase in revenue in the United States driven by our hair restoration business. Gross margin was 67.3% of revenue in the three months ended March 31, 2022, compared to 67.4% of revenue in the three months ended March 31, 2021. Despite inflationary pressures throughout our supply chain, our ability to secure price increases and/or margin management have helped mitigate the effects of inflation.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Operating expenses</w:t>
      </w:r>
    </w:p>
    <w:p>
      <w:pPr>
        <w:pStyle w:val="TextBody"/>
        <w:spacing w:before="0" w:after="0"/>
        <w:ind w:left="0" w:right="0" w:hanging="0"/>
        <w:rPr>
          <w:caps w:val="false"/>
          <w:smallCaps w:val="false"/>
        </w:rPr>
      </w:pPr>
      <w:r>
        <w:rPr>
          <w:caps w:val="false"/>
          <w:smallCaps w:val="false"/>
        </w:rPr>
        <w:t> </w:t>
      </w:r>
    </w:p>
    <w:tbl>
      <w:tblPr>
        <w:tblW w:w="8614" w:type="dxa"/>
        <w:jc w:val="left"/>
        <w:tblInd w:w="0" w:type="dxa"/>
        <w:tblCellMar>
          <w:top w:w="0" w:type="dxa"/>
          <w:left w:w="0" w:type="dxa"/>
          <w:bottom w:w="0" w:type="dxa"/>
          <w:right w:w="0" w:type="dxa"/>
        </w:tblCellMar>
      </w:tblPr>
      <w:tblGrid>
        <w:gridCol w:w="2870"/>
        <w:gridCol w:w="60"/>
        <w:gridCol w:w="126"/>
        <w:gridCol w:w="597"/>
        <w:gridCol w:w="60"/>
        <w:gridCol w:w="60"/>
        <w:gridCol w:w="172"/>
        <w:gridCol w:w="1092"/>
        <w:gridCol w:w="60"/>
        <w:gridCol w:w="60"/>
        <w:gridCol w:w="126"/>
        <w:gridCol w:w="597"/>
        <w:gridCol w:w="60"/>
        <w:gridCol w:w="60"/>
        <w:gridCol w:w="172"/>
        <w:gridCol w:w="1092"/>
        <w:gridCol w:w="60"/>
        <w:gridCol w:w="60"/>
        <w:gridCol w:w="125"/>
        <w:gridCol w:w="485"/>
        <w:gridCol w:w="60"/>
        <w:gridCol w:w="60"/>
        <w:gridCol w:w="60"/>
        <w:gridCol w:w="380"/>
        <w:gridCol w:w="60"/>
      </w:tblGrid>
      <w:tr>
        <w:trPr/>
        <w:tc>
          <w:tcPr>
            <w:tcW w:w="28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334"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0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0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shd w:fill="FFFF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spacing w:before="0" w:after="283"/>
              <w:ind w:left="0" w:right="0" w:hanging="0"/>
              <w:rPr/>
            </w:pPr>
            <w:r>
              <w:rPr/>
              <w:t> </w:t>
            </w:r>
          </w:p>
        </w:tc>
        <w:tc>
          <w:tcPr>
            <w:tcW w:w="723"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3"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59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59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spacing w:before="0" w:after="283"/>
              <w:ind w:left="0" w:right="0" w:hanging="0"/>
              <w:rPr/>
            </w:pPr>
            <w:r>
              <w:rPr/>
              <w:t> </w:t>
            </w:r>
          </w:p>
        </w:tc>
        <w:tc>
          <w:tcPr>
            <w:tcW w:w="12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9,903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10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7,854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10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26.1</w:t>
            </w:r>
          </w:p>
        </w:tc>
        <w:tc>
          <w:tcPr>
            <w:tcW w:w="60" w:type="dxa"/>
            <w:tcBorders/>
            <w:shd w:fill="FFFFFF"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597"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13,094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4" w:type="dxa"/>
            <w:gridSpan w:val="2"/>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597"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12,165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7.6</w:t>
            </w:r>
          </w:p>
        </w:tc>
        <w:tc>
          <w:tcPr>
            <w:tcW w:w="60" w:type="dxa"/>
            <w:tcBorders/>
            <w:shd w:fill="CCEE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spacing w:before="0" w:after="283"/>
              <w:ind w:left="0" w:right="0" w:hanging="0"/>
              <w:rPr/>
            </w:pPr>
            <w:r>
              <w:rPr/>
              <w:t> </w:t>
            </w:r>
          </w:p>
        </w:tc>
        <w:tc>
          <w:tcPr>
            <w:tcW w:w="12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7"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2,202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7"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2,051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92"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9.1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151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8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7.4</w:t>
            </w:r>
          </w:p>
        </w:tc>
        <w:tc>
          <w:tcPr>
            <w:tcW w:w="60" w:type="dxa"/>
            <w:tcBorders/>
            <w:shd w:fill="FFFFFF"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spacing w:before="0" w:after="283"/>
              <w:ind w:left="0" w:right="0" w:hanging="0"/>
              <w:rPr/>
            </w:pPr>
            <w:r>
              <w:rPr/>
              <w:t> </w:t>
            </w:r>
          </w:p>
        </w:tc>
        <w:tc>
          <w:tcPr>
            <w:tcW w:w="12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64" w:type="dxa"/>
            <w:gridSpan w:val="2"/>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0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3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Selling and marketing expenses increased by $2.0 million or 26.1% in the three months ended March 31, 2022 compared to the three months ended March 31, 2021. This increase is largely due to our increased focus in the United States, reinvestment in key markets that benefited from the global economic recovery and inflationary pressures associated with salaries and other selling and marketing cost elements. As a percentage of total revenues, our selling and marketing expenses increased by 2.7%, from 34.8% in the three months ended March 31, 2021 to 37.5% in the three months ended March 31, 2022. As the business environment improves, we expect selling and marketing expenses to continue to increase in absolute terms, but at a rate slightly below our rate of revenue growth.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General and administrative expenses increased by $1.0 million or 7.6% in the three months ended March 31, 2022 compared to the three months ended March 31, 2021, primarily due to reinvestment in key markets that benefited from the global economic recovery, and inflationary pressures associated with salaries and other cost elements. As a percentage of total revenues, our general and administrative expenses decreased by 4.2%, from 53.8% in the three months ended March 31, 2021, to 49.6% in the three months ended March 31, 2022, primarily due to an improvement in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Research and development expenses increased by $0.2 million or 7.4% in the three months ended March 31, 2022 compared to the three months ended March 31, 2021. The increase is due to a reinvestment in research and development efforts directed at scaling our robotic technology across other aesthetic platforms. As a percentage of total revenues, our research and development expenses decreased by 0.8%, from 9.1% in the three months ended March 31, 2021, to 8.3% in the three months ended March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Foreign exchange loss.</w:t>
      </w:r>
      <w:r>
        <w:rPr>
          <w:rFonts w:ascii="Times New Roman" w:hAnsi="Times New Roman"/>
          <w:caps w:val="false"/>
          <w:smallCaps w:val="false"/>
          <w:sz w:val="20"/>
        </w:rPr>
        <w:t> We had $nil foreign exchange loss in the three months ended March 31, 2022 and foreign exchange loss of $0.7 million in the three months ended March 31, 2021. It decreased by $0.7 million or almost 100.0% in the three months ended March 31, 2022 compared to the three months ended March 31, 2021. Changes in foreign exchange are driven mainly by the effect of foreign exchange on accounts receivable balances denominated in currencies other than the US dollar. We do not currently hedge against foreign currency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Finance Expenses</w:t>
      </w:r>
      <w:r>
        <w:rPr>
          <w:rFonts w:ascii="Times New Roman" w:hAnsi="Times New Roman"/>
          <w:caps w:val="false"/>
          <w:smallCaps w:val="false"/>
          <w:sz w:val="20"/>
        </w:rPr>
        <w:t>. Finance expenses decreased by $1.0 million or 52.3%, from $1.9 million in the three months ended March 31, 2021, compared to $0.9 million in the three months ended March 31, 2022, mostly due to decreased amortization of deferred finance costs.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xml:space="preserve"> We had an income tax expense of $0.3 million in the three months ended March 31, 2022 compared to a $nil income tax expense in the three months ended March 31, 2021. The tax provision is driven by profitable sales and the actual effective tax rates where the sale took place or losses were incurred. In the first three months of 2022, we had changes in timing of deductible expenses and taxable income in specific jurisdictions, which resulted in $272 of income tax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$17.9 million and $30.9 million of cash and cash equivalents as of March 31, 2022, and December 31, 2021, respectively. We have funded our operations with cash generated from operating activities, through the sale of equity securities and through debt financing. We had total debt obligations of approximately $77.5 million as of March 31, 2022, including the MSLP Loan of $50.7 million, convertible notes of $26.7 million including closing fees of $1.6 million, and government assistance loans of $0.1 million, compared to total debt obligations of approximately $77.8 million as of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54:46 in the three months ended March 31, 2022, compared to 47:53 in the three months ended March 31, 2021. We expect inventory to continue to increase in the short term, but at a lower rate than the rate of revenue growth.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Issuance of Secured Subordinated Convertible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a Guaranty and Security Agreement dated as of December 9, 2020 (the “Madryn Security Agreement”), pursuant to which we agreed to grant Madryn a security interest, in substantially all of our assets, to secure the obligations under the Notes and (ii) a Subordination of Debt Agreement dated as of December 9, 2020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10 “</w:t>
      </w:r>
      <w:r>
        <w:rPr>
          <w:rFonts w:ascii="Times New Roman" w:hAnsi="Times New Roman"/>
          <w:i/>
          <w:caps w:val="false"/>
          <w:smallCaps w:val="false"/>
          <w:sz w:val="20"/>
        </w:rPr>
        <w:t>Madryn Long-Term Debt and Convertible Notes</w:t>
      </w:r>
      <w:r>
        <w:rPr>
          <w:rFonts w:ascii="Times New Roman" w:hAnsi="Times New Roman"/>
          <w:caps w:val="false"/>
          <w:smallCaps w:val="false"/>
          <w:sz w:val="20"/>
        </w:rPr>
        <w:t>” to our unaudited condensed consolidated financial statements included elsewhere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Main Street Priority Lending Program Term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9 “</w:t>
      </w:r>
      <w:r>
        <w:rPr>
          <w:rFonts w:ascii="Times New Roman" w:hAnsi="Times New Roman"/>
          <w:i/>
          <w:caps w:val="false"/>
          <w:smallCaps w:val="false"/>
          <w:sz w:val="20"/>
        </w:rPr>
        <w:t>Main Street Term Loan</w:t>
      </w:r>
      <w:r>
        <w:rPr>
          <w:rFonts w:ascii="Times New Roman" w:hAnsi="Times New Roman"/>
          <w:caps w:val="false"/>
          <w:smallCaps w:val="false"/>
          <w:sz w:val="20"/>
        </w:rPr>
        <w:t>” to our unaudited condensed consolidated financial statements included elsewhere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CNB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revolving credit facility with CNB pursuant to which CNB agreed to provide a revolving credit facility to us and certain of our subsidiaries to be used to finance working capital requirements. As of December 31, 2020, a portion of the proceeds from the MSLP Loan described above was used to repay $3.2 million of outstanding borrowings under the CNB Loan Agreement. There was $nil outstanding balance as of March 31, 2022 and December 31, 2021.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March 31, 2022, and December 31, 2021, we were in compliance with all required covenants. For additional information on the CNB Loan Agreement and the related agreements, see Note 11 “</w:t>
      </w:r>
      <w:r>
        <w:rPr>
          <w:rFonts w:ascii="Times New Roman" w:hAnsi="Times New Roman"/>
          <w:i/>
          <w:caps w:val="false"/>
          <w:smallCaps w:val="false"/>
          <w:sz w:val="20"/>
        </w:rPr>
        <w:t>Credit Facility</w:t>
      </w:r>
      <w:r>
        <w:rPr>
          <w:rFonts w:ascii="Times New Roman" w:hAnsi="Times New Roman"/>
          <w:caps w:val="false"/>
          <w:smallCaps w:val="false"/>
          <w:sz w:val="20"/>
        </w:rPr>
        <w:t>” to our unaudited condensed consolidated financial statements included elsewhere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Equity Purchase Agreement with Lincoln Park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7.8 million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shares were issued and sold to Lincoln Park in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Government Assistance Programs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April 2020, Venus Concept Inc. and Venus USA, received funding in the total amount of $4.1 million, in connection with two “Small Business Loans” under the PPP.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creditor of us or Venus USA, to the extent that a default under any loan or other agreement would materially affect our or Venus USA’s ability to repay its respective PPP Loan and limit our ability to make certain changes to our ownership structure.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and/or Venus USA default on our or its respective PPP Loan (i) events of default will occur under the Amended CNB Loan Agreement and the MSLP Loan Agreement, and (ii) we and/or Venus USA may be required to immediately repay their respective PPP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additional information on our utilization of government assistance programs, see Note 12 “</w:t>
      </w:r>
      <w:r>
        <w:rPr>
          <w:rFonts w:ascii="Times New Roman" w:hAnsi="Times New Roman"/>
          <w:i/>
          <w:caps w:val="false"/>
          <w:smallCaps w:val="false"/>
          <w:sz w:val="20"/>
        </w:rPr>
        <w:t>Government Assistance Programs</w:t>
      </w:r>
      <w:r>
        <w:rPr>
          <w:rFonts w:ascii="Times New Roman" w:hAnsi="Times New Roman"/>
          <w:caps w:val="false"/>
          <w:smallCaps w:val="false"/>
          <w:sz w:val="20"/>
        </w:rPr>
        <w:t>” in the notes to our unaudited condensed consolidated financial statements included elsewhere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2022, we had capital resources consisting of cash and cash equivalents of approximately $17.9 million. We have financed our operations principally through the issuance and sale of our common stock and preferred stock, debt financing, and payments from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net proceeds from the 2021 Private Placement, net proceeds from the December 2020 Public Offering, the proceeds from issuance of our common stock to Lincoln Park, the proceeds from the government assistance programs, the proceeds from the MSLP Loan, together with our existing cash and cash equivalents, will enable us to fund our operating expenses and capital expenditure requirements for at least the next 12 months. The pandemic has had a significant negative impact on our business. While our business is showing strong growth, we expect the pandemic to continue to have a negative impact in the foreseeable future, the extent of which is uncertain and largely subject to the continued beneficial impact of local vaccination efforts, and whether the severity of the pandemic worsens in the jurisdictions in which we operate. Given the uncertainties of the pandemic, and in particular around the COVID-19 variants,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funds may not be available when we need them, on terms that are acceptable to us, or at all. If adequate funds are not available to us on a timely basis, we may be required to:</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delay or curtail our efforts to develop system product enhancements or new products, including any clinical trials that may be required to market such enhancements;</w:t>
            </w:r>
          </w:p>
        </w:tc>
      </w:tr>
    </w:tbl>
    <w:tbl>
      <w:tblPr>
        <w:tblW w:w="6910" w:type="dxa"/>
        <w:jc w:val="left"/>
        <w:tblInd w:w="0" w:type="dxa"/>
        <w:tblCellMar>
          <w:top w:w="0" w:type="dxa"/>
          <w:left w:w="0" w:type="dxa"/>
          <w:bottom w:w="0" w:type="dxa"/>
          <w:right w:w="0" w:type="dxa"/>
        </w:tblCellMar>
      </w:tblPr>
      <w:tblGrid>
        <w:gridCol w:w="60"/>
        <w:gridCol w:w="110"/>
        <w:gridCol w:w="674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7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delay or curtail our plans to increase and expand our sales and marketing efforts; or</w:t>
            </w:r>
          </w:p>
        </w:tc>
      </w:tr>
    </w:tbl>
    <w:tbl>
      <w:tblPr>
        <w:tblW w:w="6955" w:type="dxa"/>
        <w:jc w:val="left"/>
        <w:tblInd w:w="0" w:type="dxa"/>
        <w:tblCellMar>
          <w:top w:w="0" w:type="dxa"/>
          <w:left w:w="0" w:type="dxa"/>
          <w:bottom w:w="0" w:type="dxa"/>
          <w:right w:w="0" w:type="dxa"/>
        </w:tblCellMar>
      </w:tblPr>
      <w:tblGrid>
        <w:gridCol w:w="60"/>
        <w:gridCol w:w="110"/>
        <w:gridCol w:w="678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7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delay or curtail our plans to enhance our customer support and marketing activities.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restricted by covenants in the MSLP Loan, the Amended CNB Loan Agreement, the PPP Loans,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pStyle w:val="TextBody"/>
        <w:spacing w:before="0" w:after="0"/>
        <w:ind w:left="0" w:right="0" w:hanging="0"/>
        <w:rPr>
          <w:caps w:val="false"/>
          <w:smallCaps w:val="false"/>
        </w:rPr>
      </w:pPr>
      <w:r>
        <w:rPr>
          <w:caps w:val="false"/>
          <w:smallCaps w:val="false"/>
        </w:rPr>
        <w:t> </w:t>
      </w:r>
    </w:p>
    <w:tbl>
      <w:tblPr>
        <w:tblW w:w="7270" w:type="dxa"/>
        <w:jc w:val="left"/>
        <w:tblInd w:w="0" w:type="dxa"/>
        <w:tblCellMar>
          <w:top w:w="0" w:type="dxa"/>
          <w:left w:w="0" w:type="dxa"/>
          <w:bottom w:w="0" w:type="dxa"/>
          <w:right w:w="0" w:type="dxa"/>
        </w:tblCellMar>
      </w:tblPr>
      <w:tblGrid>
        <w:gridCol w:w="60"/>
        <w:gridCol w:w="170"/>
        <w:gridCol w:w="70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0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 of growing our ongoing commercialization and sales and marketing activities;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costs of manufacturing and maintaining enough inventories of our systems to meet anticipated demand and inventory write-offs related to obsolete products or components;</w:t>
            </w:r>
          </w:p>
        </w:tc>
      </w:tr>
    </w:tbl>
    <w:tbl>
      <w:tblPr>
        <w:tblW w:w="8770" w:type="dxa"/>
        <w:jc w:val="left"/>
        <w:tblInd w:w="0" w:type="dxa"/>
        <w:tblCellMar>
          <w:top w:w="0" w:type="dxa"/>
          <w:left w:w="0" w:type="dxa"/>
          <w:bottom w:w="0" w:type="dxa"/>
          <w:right w:w="0" w:type="dxa"/>
        </w:tblCellMar>
      </w:tblPr>
      <w:tblGrid>
        <w:gridCol w:w="60"/>
        <w:gridCol w:w="170"/>
        <w:gridCol w:w="85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5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costs of enhancing the existing functionality and development of new functionalities for our systems;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costs of preparing, filing, prosecuting, defending, and enforcing patent claims and other patent related costs, including litigation costs and the results of such litigation;</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variability of ARTAS procedures being performed between periods if particular high-volume practitioners perform a smaller number of procedures in each period as a result of the concentration of procedures performed by certain practitioners;</w:t>
            </w:r>
          </w:p>
        </w:tc>
      </w:tr>
    </w:tbl>
    <w:tbl>
      <w:tblPr>
        <w:tblW w:w="9490" w:type="dxa"/>
        <w:jc w:val="left"/>
        <w:tblInd w:w="0" w:type="dxa"/>
        <w:tblCellMar>
          <w:top w:w="0" w:type="dxa"/>
          <w:left w:w="0" w:type="dxa"/>
          <w:bottom w:w="0" w:type="dxa"/>
          <w:right w:w="0" w:type="dxa"/>
        </w:tblCellMar>
      </w:tblPr>
      <w:tblGrid>
        <w:gridCol w:w="60"/>
        <w:gridCol w:w="170"/>
        <w:gridCol w:w="92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2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any product liability or other lawsuits and the costs associated with defending them or the results of such lawsuits;</w:t>
            </w:r>
          </w:p>
        </w:tc>
      </w:tr>
    </w:tbl>
    <w:tbl>
      <w:tblPr>
        <w:tblW w:w="9760" w:type="dxa"/>
        <w:jc w:val="left"/>
        <w:tblInd w:w="0" w:type="dxa"/>
        <w:tblCellMar>
          <w:top w:w="0" w:type="dxa"/>
          <w:left w:w="0" w:type="dxa"/>
          <w:bottom w:w="0" w:type="dxa"/>
          <w:right w:w="0" w:type="dxa"/>
        </w:tblCellMar>
      </w:tblPr>
      <w:tblGrid>
        <w:gridCol w:w="60"/>
        <w:gridCol w:w="170"/>
        <w:gridCol w:w="95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5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costs associated with conducting business and maintaining subsidiaries and other entities in foreign jurisdictions;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customers in jurisdictions where our systems are not approved delaying their purchase, and not purchasing our systems, until they are approved or cleared for use in their market;</w:t>
            </w:r>
          </w:p>
        </w:tc>
      </w:tr>
    </w:tbl>
    <w:tbl>
      <w:tblPr>
        <w:tblW w:w="7300" w:type="dxa"/>
        <w:jc w:val="left"/>
        <w:tblInd w:w="0" w:type="dxa"/>
        <w:tblCellMar>
          <w:top w:w="0" w:type="dxa"/>
          <w:left w:w="0" w:type="dxa"/>
          <w:bottom w:w="0" w:type="dxa"/>
          <w:right w:w="0" w:type="dxa"/>
        </w:tblCellMar>
      </w:tblPr>
      <w:tblGrid>
        <w:gridCol w:w="60"/>
        <w:gridCol w:w="170"/>
        <w:gridCol w:w="70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0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costs to attract and retain personnel with the skills required for effective operations;</w:t>
            </w:r>
          </w:p>
        </w:tc>
      </w:tr>
    </w:tbl>
    <w:tbl>
      <w:tblPr>
        <w:tblW w:w="4660" w:type="dxa"/>
        <w:jc w:val="left"/>
        <w:tblInd w:w="0" w:type="dxa"/>
        <w:tblCellMar>
          <w:top w:w="0" w:type="dxa"/>
          <w:left w:w="0" w:type="dxa"/>
          <w:bottom w:w="0" w:type="dxa"/>
          <w:right w:w="0" w:type="dxa"/>
        </w:tblCellMar>
      </w:tblPr>
      <w:tblGrid>
        <w:gridCol w:w="60"/>
        <w:gridCol w:w="170"/>
        <w:gridCol w:w="44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costs associated with being a public company; and</w:t>
            </w:r>
          </w:p>
        </w:tc>
      </w:tr>
    </w:tbl>
    <w:tbl>
      <w:tblPr>
        <w:tblW w:w="4210" w:type="dxa"/>
        <w:jc w:val="left"/>
        <w:tblInd w:w="0" w:type="dxa"/>
        <w:tblCellMar>
          <w:top w:w="0" w:type="dxa"/>
          <w:left w:w="0" w:type="dxa"/>
          <w:bottom w:w="0" w:type="dxa"/>
          <w:right w:w="0" w:type="dxa"/>
        </w:tblCellMar>
      </w:tblPr>
      <w:tblGrid>
        <w:gridCol w:w="60"/>
        <w:gridCol w:w="170"/>
        <w:gridCol w:w="39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9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uncertainties related to the COVID-19 pandemic.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w:t>
      </w:r>
    </w:p>
    <w:p>
      <w:pPr>
        <w:pStyle w:val="TextBody"/>
        <w:spacing w:before="0" w:after="0"/>
        <w:ind w:left="0" w:right="0" w:hanging="0"/>
        <w:rPr>
          <w:caps w:val="false"/>
          <w:smallCaps w:val="false"/>
        </w:rPr>
      </w:pPr>
      <w:r>
        <w:rPr>
          <w:caps w:val="false"/>
          <w:smallCaps w:val="false"/>
        </w:rPr>
        <w:t> </w:t>
      </w:r>
    </w:p>
    <w:tbl>
      <w:tblPr>
        <w:tblW w:w="6673" w:type="dxa"/>
        <w:jc w:val="left"/>
        <w:tblInd w:w="0" w:type="dxa"/>
        <w:tblCellMar>
          <w:top w:w="0" w:type="dxa"/>
          <w:left w:w="0" w:type="dxa"/>
          <w:bottom w:w="0" w:type="dxa"/>
          <w:right w:w="0" w:type="dxa"/>
        </w:tblCellMar>
      </w:tblPr>
      <w:tblGrid>
        <w:gridCol w:w="3830"/>
        <w:gridCol w:w="60"/>
        <w:gridCol w:w="213"/>
        <w:gridCol w:w="1109"/>
        <w:gridCol w:w="136"/>
        <w:gridCol w:w="102"/>
        <w:gridCol w:w="213"/>
        <w:gridCol w:w="930"/>
        <w:gridCol w:w="80"/>
      </w:tblGrid>
      <w:tr>
        <w:trPr/>
        <w:tc>
          <w:tcPr>
            <w:tcW w:w="38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38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2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36"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ind w:left="0" w:right="0" w:hanging="0"/>
              <w:rPr/>
            </w:pPr>
            <w:r>
              <w:rPr/>
              <w:t> </w:t>
            </w:r>
          </w:p>
        </w:tc>
        <w:tc>
          <w:tcPr>
            <w:tcW w:w="114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38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3"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used in operating activities</w:t>
            </w:r>
          </w:p>
        </w:tc>
        <w:tc>
          <w:tcPr>
            <w:tcW w:w="60" w:type="dxa"/>
            <w:tcBorders/>
            <w:shd w:fill="CCEEFF" w:val="clear"/>
            <w:vAlign w:val="center"/>
          </w:tcPr>
          <w:p>
            <w:pPr>
              <w:pStyle w:val="TableContents"/>
              <w:spacing w:before="0" w:after="283"/>
              <w:ind w:left="0" w:right="0" w:hanging="0"/>
              <w:rPr/>
            </w:pPr>
            <w:r>
              <w:rPr/>
              <w:t> </w:t>
            </w:r>
          </w:p>
        </w:tc>
        <w:tc>
          <w:tcPr>
            <w:tcW w:w="21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(12,424</w:t>
            </w:r>
          </w:p>
        </w:tc>
        <w:tc>
          <w:tcPr>
            <w:tcW w:w="13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spacing w:before="0" w:after="283"/>
              <w:ind w:left="0" w:right="0" w:hanging="0"/>
              <w:rPr/>
            </w:pPr>
            <w:r>
              <w:rPr/>
              <w:t> </w:t>
            </w:r>
          </w:p>
        </w:tc>
        <w:tc>
          <w:tcPr>
            <w:tcW w:w="21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(8,220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spacing w:before="0" w:after="283"/>
              <w:ind w:left="0" w:right="0" w:hanging="0"/>
              <w:rPr/>
            </w:pPr>
            <w:r>
              <w:rPr/>
              <w:t> </w:t>
            </w:r>
          </w:p>
        </w:tc>
        <w:tc>
          <w:tcPr>
            <w:tcW w:w="1322" w:type="dxa"/>
            <w:gridSpan w:val="2"/>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(157</w:t>
            </w:r>
          </w:p>
        </w:tc>
        <w:tc>
          <w:tcPr>
            <w:tcW w:w="13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ind w:left="0" w:right="0" w:hanging="0"/>
              <w:rPr/>
            </w:pPr>
            <w:r>
              <w:rPr/>
              <w:t> </w:t>
            </w:r>
          </w:p>
        </w:tc>
        <w:tc>
          <w:tcPr>
            <w:tcW w:w="9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8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(used in) provided by financing activities</w:t>
            </w:r>
          </w:p>
        </w:tc>
        <w:tc>
          <w:tcPr>
            <w:tcW w:w="60" w:type="dxa"/>
            <w:tcBorders/>
            <w:shd w:fill="CCEEFF" w:val="clear"/>
            <w:vAlign w:val="center"/>
          </w:tcPr>
          <w:p>
            <w:pPr>
              <w:pStyle w:val="TableContents"/>
              <w:spacing w:before="0" w:after="283"/>
              <w:ind w:left="0" w:right="0" w:hanging="0"/>
              <w:rPr/>
            </w:pPr>
            <w:r>
              <w:rPr/>
              <w:t> </w:t>
            </w:r>
          </w:p>
        </w:tc>
        <w:tc>
          <w:tcPr>
            <w:tcW w:w="1322" w:type="dxa"/>
            <w:gridSpan w:val="2"/>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(384</w:t>
            </w:r>
          </w:p>
        </w:tc>
        <w:tc>
          <w:tcPr>
            <w:tcW w:w="13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spacing w:before="0" w:after="283"/>
              <w:rPr/>
            </w:pPr>
            <w:r>
              <w:rPr/>
              <w:t> </w:t>
            </w:r>
          </w:p>
        </w:tc>
        <w:tc>
          <w:tcPr>
            <w:tcW w:w="21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3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968</w:t>
            </w:r>
          </w:p>
        </w:tc>
        <w:tc>
          <w:tcPr>
            <w:tcW w:w="80" w:type="dxa"/>
            <w:tcBorders/>
            <w:shd w:fill="CCEEFF" w:val="clear"/>
            <w:vAlign w:val="center"/>
          </w:tcPr>
          <w:p>
            <w:pPr>
              <w:pStyle w:val="TableContents"/>
              <w:spacing w:before="0" w:after="283"/>
              <w:rPr/>
            </w:pPr>
            <w:r>
              <w:rPr/>
              <w:t> </w:t>
            </w:r>
          </w:p>
        </w:tc>
      </w:tr>
      <w:tr>
        <w:trPr/>
        <w:tc>
          <w:tcPr>
            <w:tcW w:w="38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spacing w:before="0" w:after="283"/>
              <w:ind w:left="0" w:right="0" w:hanging="0"/>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(12,965</w:t>
            </w:r>
          </w:p>
        </w:tc>
        <w:tc>
          <w:tcPr>
            <w:tcW w:w="13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spacing w:before="0" w:after="283"/>
              <w:ind w:left="0" w:right="0" w:hanging="0"/>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cash used in operating activities consisted of a net loss of $8.6 million and an investment in net operating assets of $6.6 million, partially offset by non-cash operating expenses of $2.8 million. The investment in net operating assets was attributable to an increase in accounts receivable of $3.2 million, an increase in inventories of $0.9 million, an increase in advances to suppliers of $1.4 million, an increase in other current assets of $0.4 million, a decrease in trade payables of $0.1 million, a decrease in accrued expenses and other current liabilities of $1.1 million, and a decrease in severance pay funds of $0.1 million. This was partially offset by a decrease in prepaid expenses of $0.3 million, an increase in unearned interest income of $0.1 million, and an increase in other long-term liabilities of $0.2 million. The non-cash operating expenses consisted of provision for bad debts of $1.0 million, depreciation and amortization of $1.1 million, finance expenses and accretion of $0.1 million, stock-based compensation expense of $0.4 million, provision for inventory obsolescence of $0.1 million, and deferred tax expense of $0.1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2021, cash used in operating activities consisted of a net loss of $9.4 million and an investment in net operating assets of $2.2 million, partially offset by non-cash operating expenses of $3.4 million. The investment in net operating assets was attributable to an increase in inventories of $0.5 million, an increase in advances to suppliers of $1.4 million, a decrease in accrued expenses and other current liabilities of $3.6 million, a decrease in unearned interest income of $0.2 million, a decrease in accounts payable of $0.2 million and a decrease in other non-current liabilities of $0.1 million. This was partially offset by a decrease in accounts receivable of $2.4 million, primarily due to the decrease in subscription sales, a decrease in other current assets of $1.3 million, and a decrease in prepaid expenses of $0.1 million. The non-cash operating expenses consisted mainly of a provision for bad debts of $1.1 million, depreciation and amortization of $1.3 million, finance expenses and accretion of $0.5 million, stock-based compensation expense of $0.5 million, provision for inventory obsolescence of $0.3 million and deferred tax recovery of $0.3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three months ended March 31, 2022, cash used in investing activities consisted of $0.2 million for the purchase of property and equipment.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three months ended March 31, 2021, cash used in investing activities consisted of $0.1 million for the purchase of 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three months ended March 31, 2022, cash used in financing activities primarily consisted of $0.4 million repayment of government assistance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three months ended March 31, 2021, cash from financing activities consisted primarily of proceeds from exercise of 2020 December Public Offering Warrants of $0.9 million, proceeds from exercise of options of $0.2 million, partially offset by the payment of the NeoGraft earn-out liability of $0.1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Contractual Obligations and Other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premises and those of our subsidiaries are leased under various operating lease agreements, which expire on various 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2022, we had non-cancellable purchase orders placed with our contract manufacturers in the amount of $16.6 million. In addition, as of March 31, 2022, we had $5.7 million of open purchase orders that can be cancelled with 270 days’ notice, except for a portion equal to 25% of the total amount representing the purchase of “long lead items”.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 summarizes our contractual obligations as of March 31, 2022, which represent material expected or contractually committed future obligations.</w:t>
      </w:r>
    </w:p>
    <w:p>
      <w:pPr>
        <w:pStyle w:val="TextBody"/>
        <w:spacing w:before="0" w:after="0"/>
        <w:ind w:left="0" w:right="0" w:hanging="0"/>
        <w:rPr>
          <w:caps w:val="false"/>
          <w:smallCaps w:val="false"/>
        </w:rPr>
      </w:pPr>
      <w:r>
        <w:rPr>
          <w:caps w:val="false"/>
          <w:smallCaps w:val="false"/>
        </w:rPr>
        <w:t> </w:t>
      </w:r>
    </w:p>
    <w:tbl>
      <w:tblPr>
        <w:tblW w:w="9407" w:type="dxa"/>
        <w:jc w:val="left"/>
        <w:tblInd w:w="0" w:type="dxa"/>
        <w:tblCellMar>
          <w:top w:w="0" w:type="dxa"/>
          <w:left w:w="0" w:type="dxa"/>
          <w:bottom w:w="0" w:type="dxa"/>
          <w:right w:w="0" w:type="dxa"/>
        </w:tblCellMar>
      </w:tblPr>
      <w:tblGrid>
        <w:gridCol w:w="2915"/>
        <w:gridCol w:w="60"/>
        <w:gridCol w:w="250"/>
        <w:gridCol w:w="1180"/>
        <w:gridCol w:w="60"/>
        <w:gridCol w:w="60"/>
        <w:gridCol w:w="179"/>
        <w:gridCol w:w="845"/>
        <w:gridCol w:w="60"/>
        <w:gridCol w:w="60"/>
        <w:gridCol w:w="179"/>
        <w:gridCol w:w="845"/>
        <w:gridCol w:w="60"/>
        <w:gridCol w:w="60"/>
        <w:gridCol w:w="326"/>
        <w:gridCol w:w="1268"/>
        <w:gridCol w:w="60"/>
        <w:gridCol w:w="60"/>
        <w:gridCol w:w="125"/>
        <w:gridCol w:w="695"/>
        <w:gridCol w:w="60"/>
      </w:tblGrid>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372"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Payments Due by Period</w:t>
            </w:r>
          </w:p>
        </w:tc>
        <w:tc>
          <w:tcPr>
            <w:tcW w:w="60" w:type="dxa"/>
            <w:tcBorders/>
            <w:shd w:fill="FFFFFF" w:val="clear"/>
            <w:vAlign w:val="center"/>
          </w:tcPr>
          <w:p>
            <w:pPr>
              <w:pStyle w:val="TableContents"/>
              <w:spacing w:before="0" w:after="283"/>
              <w:rPr/>
            </w:pPr>
            <w:r>
              <w:rPr/>
              <w:t> </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Less than 1 Year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 to 3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 to 5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More than 5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372" w:type="dxa"/>
            <w:gridSpan w:val="18"/>
            <w:tcBorders/>
            <w:shd w:fill="FFFFFF" w:val="clear"/>
            <w:vAlign w:val="center"/>
          </w:tcPr>
          <w:p>
            <w:pPr>
              <w:pStyle w:val="TableContents"/>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spacing w:before="0" w:after="283"/>
              <w:rPr/>
            </w:pPr>
            <w:r>
              <w:rPr/>
              <w:t> </w:t>
            </w:r>
          </w:p>
        </w:tc>
      </w:tr>
      <w:tr>
        <w:trPr/>
        <w:tc>
          <w:tcPr>
            <w:tcW w:w="29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Debt obligations, including interest</w:t>
            </w:r>
          </w:p>
        </w:tc>
        <w:tc>
          <w:tcPr>
            <w:tcW w:w="60" w:type="dxa"/>
            <w:tcBorders/>
            <w:shd w:fill="CCEEFF" w:val="clear"/>
            <w:vAlign w:val="center"/>
          </w:tcPr>
          <w:p>
            <w:pPr>
              <w:pStyle w:val="TableContents"/>
              <w:spacing w:before="0" w:after="283"/>
              <w:rPr/>
            </w:pPr>
            <w:r>
              <w:rPr/>
              <w:t> </w:t>
            </w:r>
          </w:p>
        </w:tc>
        <w:tc>
          <w:tcPr>
            <w:tcW w:w="25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18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3,964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21,157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66,058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268"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91,179</w:t>
            </w:r>
          </w:p>
        </w:tc>
        <w:tc>
          <w:tcPr>
            <w:tcW w:w="60" w:type="dxa"/>
            <w:tcBorders/>
            <w:shd w:fill="CCEEFF" w:val="clear"/>
            <w:vAlign w:val="center"/>
          </w:tcPr>
          <w:p>
            <w:pPr>
              <w:pStyle w:val="TableContents"/>
              <w:spacing w:before="0" w:after="283"/>
              <w:rPr/>
            </w:pPr>
            <w:r>
              <w:rPr/>
              <w:t> </w:t>
            </w:r>
          </w:p>
        </w:tc>
      </w:tr>
      <w:tr>
        <w:trPr/>
        <w:tc>
          <w:tcPr>
            <w:tcW w:w="291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spacing w:before="0" w:after="283"/>
              <w:rPr/>
            </w:pPr>
            <w:r>
              <w:rPr/>
              <w:t> </w:t>
            </w:r>
          </w:p>
        </w:tc>
        <w:tc>
          <w:tcPr>
            <w:tcW w:w="250" w:type="dxa"/>
            <w:tcBorders/>
            <w:shd w:fill="FFFFFF" w:val="clear"/>
            <w:vAlign w:val="center"/>
          </w:tcPr>
          <w:p>
            <w:pPr>
              <w:pStyle w:val="TableContents"/>
              <w:spacing w:before="0" w:after="283"/>
              <w:rPr/>
            </w:pPr>
            <w:r>
              <w:rPr/>
              <w:t> </w:t>
            </w:r>
          </w:p>
        </w:tc>
        <w:tc>
          <w:tcPr>
            <w:tcW w:w="118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2,305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2,084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26" w:type="dxa"/>
            <w:tcBorders/>
            <w:shd w:fill="FFFFFF" w:val="clear"/>
            <w:vAlign w:val="center"/>
          </w:tcPr>
          <w:p>
            <w:pPr>
              <w:pStyle w:val="TableContents"/>
              <w:spacing w:before="0" w:after="283"/>
              <w:rPr/>
            </w:pPr>
            <w:r>
              <w:rPr/>
              <w:t> </w:t>
            </w:r>
          </w:p>
        </w:tc>
        <w:tc>
          <w:tcPr>
            <w:tcW w:w="12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6,648</w:t>
            </w:r>
          </w:p>
        </w:tc>
        <w:tc>
          <w:tcPr>
            <w:tcW w:w="60" w:type="dxa"/>
            <w:tcBorders/>
            <w:shd w:fill="FFFFFF" w:val="clear"/>
            <w:vAlign w:val="center"/>
          </w:tcPr>
          <w:p>
            <w:pPr>
              <w:pStyle w:val="TableContents"/>
              <w:spacing w:before="0" w:after="283"/>
              <w:rPr/>
            </w:pPr>
            <w:r>
              <w:rPr/>
              <w:t> </w:t>
            </w:r>
          </w:p>
        </w:tc>
      </w:tr>
      <w:tr>
        <w:trPr/>
        <w:tc>
          <w:tcPr>
            <w:tcW w:w="29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Purchase commitments</w:t>
            </w:r>
          </w:p>
        </w:tc>
        <w:tc>
          <w:tcPr>
            <w:tcW w:w="60" w:type="dxa"/>
            <w:tcBorders/>
            <w:shd w:fill="CCEEFF" w:val="clear"/>
            <w:vAlign w:val="center"/>
          </w:tcPr>
          <w:p>
            <w:pPr>
              <w:pStyle w:val="TableContents"/>
              <w:spacing w:before="0" w:after="283"/>
              <w:ind w:left="0" w:right="0" w:hanging="0"/>
              <w:rPr/>
            </w:pPr>
            <w:r>
              <w:rPr/>
              <w:t> </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0"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18,551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5"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5"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68"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18,551</w:t>
            </w:r>
          </w:p>
        </w:tc>
        <w:tc>
          <w:tcPr>
            <w:tcW w:w="60" w:type="dxa"/>
            <w:tcBorders/>
            <w:shd w:fill="CCEEFF" w:val="clear"/>
            <w:vAlign w:val="center"/>
          </w:tcPr>
          <w:p>
            <w:pPr>
              <w:pStyle w:val="TableContents"/>
              <w:spacing w:before="0" w:after="283"/>
              <w:rPr/>
            </w:pPr>
            <w:r>
              <w:rPr/>
              <w:t> </w:t>
            </w:r>
          </w:p>
        </w:tc>
      </w:tr>
      <w:tr>
        <w:trPr/>
        <w:tc>
          <w:tcPr>
            <w:tcW w:w="29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contractual obligations</w:t>
            </w:r>
          </w:p>
        </w:tc>
        <w:tc>
          <w:tcPr>
            <w:tcW w:w="60" w:type="dxa"/>
            <w:tcBorders/>
            <w:shd w:fill="FFFFFF" w:val="clear"/>
            <w:vAlign w:val="center"/>
          </w:tcPr>
          <w:p>
            <w:pPr>
              <w:pStyle w:val="TableContents"/>
              <w:spacing w:before="0" w:after="283"/>
              <w:ind w:left="0" w:right="0" w:hanging="0"/>
              <w:rPr/>
            </w:pPr>
            <w:r>
              <w:rPr/>
              <w:t> </w:t>
            </w:r>
          </w:p>
        </w:tc>
        <w:tc>
          <w:tcPr>
            <w:tcW w:w="25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23,462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68,142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116,378</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2021, we entered into an endorsement agreement for the services of Venus Williams, four-time Olympic Gold Medalist, seven-time Grand Slam Champion and entrepreneur, pursuant to which Ms. Williams will act as a brand ambassador for Venus Bliss.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an additional description of our commitments see Note 8, “Commitments and Contingencies” to the unaudited condensed consolidated financial statements included elsewhere in this Quarterly Report on Form 10-Q.</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Off-Balance Sheet Arrangements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currently engage in off-balance sheet financing arrangements. In addition, we do not have any interest in entities referred to as variable interest entities, which includes special purpose entities and other structure finance entities.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more fully described in Note 2 to the audited consolidated financial statements included in our Annual Report filed on Form 10-K for the year ended December 31, 2021. We believe that the assumptions and estimates associated with stock-based compensation, goodwill impairment, allowance for doubtful accounts, revenue recognition, accrual for severance and income taxes have the most significant impact on our unaudited condensed consolidated financial statements, and therefore, consider these to be our critical accounting policies and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generate revenue from (1) sales of systems through our subscription model, traditional system sales to customers and distributors, (2) other product revenues from the sale of ARTAS procedure kits, marketing supplies and kits, consumables and (3) service revenue from the sale of our extended warranty service contracts provided to existing customers and</w:t>
      </w:r>
      <w:r>
        <w:rPr>
          <w:rFonts w:ascii="Times New Roman" w:hAnsi="Times New Roman"/>
          <w:caps w:val="false"/>
          <w:smallCaps w:val="false"/>
          <w:sz w:val="20"/>
          <w:highlight w:val="white"/>
        </w:rPr>
        <w:t xml:space="preserve"> VeroGrafters technician services. VeroGrafters technician services were discontinued in the fourth quarter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record our revenue net of sales tax and shipping and handling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Long-term receivables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Long-term receivables relate to revenue from our subscription agreements or other contracts which stipulate payment terms exceeding one year. They are comprised of the unpaid principal balance, net of the allowance for doubtful accounts. These receivables have been discounted based on the implicit interest rate in the subscription lease of 9.7% for the three months ended March 31, 2022 and a range of between 8% to 9% for the three months ended March 31, 2021, respectively. Unearned interest revenue represents the interest-only portion of the respective subscription payments and will be recognized in income over the respective payment term as it is earned.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Allowance for doubtful accounts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Warranty accrual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stock-based compensation costs in accordance with the accounting standards for stock-based compensation, which require that all stock-based payments to employees be recognized in the unaudited condensed consolidated statements of operations based on their fair values.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Financial statements in U.S. dollars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JOBS Act Accounting Election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See Note 2 to our unaudited condensed consolidated financial statements included elsewhere in this Quarterly Report on Form 10-Q for recently issued accounting pronouncements not yet adopted as of the date of this Quarterly Report on Form 10-Q.</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bookmarkStart w:id="12" w:name="item3"/>
      <w:bookmarkEnd w:id="12"/>
      <w:r>
        <w:rPr>
          <w:rFonts w:ascii="Times New Roman" w:hAnsi="Times New Roman"/>
          <w:b/>
          <w:caps w:val="false"/>
          <w:smallCaps w:val="false"/>
          <w:sz w:val="20"/>
        </w:rPr>
        <w:t>ITEM 3. QUANTITATIVE AND QUALITATIVE DISCLOSURES ABOUT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disclosure for this Item.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3" w:name="item4"/>
      <w:bookmarkEnd w:id="13"/>
      <w:r>
        <w:rPr>
          <w:rFonts w:ascii="Times New Roman" w:hAnsi="Times New Roman"/>
          <w:b/>
          <w:caps w:val="false"/>
          <w:smallCaps w:val="false"/>
          <w:sz w:val="20"/>
        </w:rPr>
        <w:t>ITEM 4.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2022,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Limitations</w:t>
      </w:r>
      <w:r>
        <w:rPr>
          <w:rFonts w:ascii="Times New Roman" w:hAnsi="Times New Roman"/>
          <w:caps w:val="false"/>
          <w:smallCaps w:val="false"/>
          <w:sz w:val="20"/>
        </w:rPr>
        <w:t> </w:t>
      </w:r>
      <w:r>
        <w:rPr>
          <w:rFonts w:ascii="Times New Roman" w:hAnsi="Times New Roman"/>
          <w:b/>
          <w:caps w:val="false"/>
          <w:smallCaps w:val="false"/>
          <w:sz w:val="20"/>
        </w:rPr>
        <w:t>on Effectiveness of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material changes in our internal control over financial reporting during the three months ended March 31, 2022 that have materially affected, or are reasonably likely to materially affect, our internal controls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does not include an attestation report of our registered public accounting firm due to a transition period established by rules of the SEC for “emerging growth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14" w:name="part2"/>
      <w:bookmarkEnd w:id="14"/>
      <w:r>
        <w:rPr>
          <w:rFonts w:ascii="Times New Roman" w:hAnsi="Times New Roman"/>
          <w:b/>
          <w:caps w:val="false"/>
          <w:smallCaps w:val="false"/>
          <w:sz w:val="20"/>
        </w:rPr>
        <w:t>PART II 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our operations, we become involved in ordinary routine litigation incidental to the business. Material proceedings are described under Note 8, “Commitments and Contingencies” to the unaudited condensed consolidated financial statements included elsewhere in this Quarterly Report on Form 10-Q.</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Our operations and financial results are subject to various risk and uncertainties, including those described below and the risk factors described under Part I,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latest Form 10-K for the year ended December 31, 2021,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r>
        <w:rPr>
          <w:rFonts w:ascii="Times New Roman" w:hAnsi="Times New Roman"/>
          <w:i/>
          <w:caps w:val="false"/>
          <w:smallCaps w:val="false"/>
          <w:sz w:val="20"/>
        </w:rPr>
        <w:t xml:space="preserve">, included herein, and the risk factors previously disclosed in Part I,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Form 10-K for the year ended December 31, 2021</w:t>
      </w:r>
      <w:r>
        <w:rPr>
          <w:rFonts w:ascii="Times New Roman" w:hAnsi="Times New Roman"/>
          <w:caps w:val="false"/>
          <w:smallCaps w:val="false"/>
          <w:sz w:val="20"/>
        </w:rPr>
        <w:t xml:space="preserve">, </w:t>
      </w:r>
      <w:r>
        <w:rPr>
          <w:rFonts w:ascii="Times New Roman" w:hAnsi="Times New Roman"/>
          <w:i/>
          <w:caps w:val="false"/>
          <w:smallCaps w:val="false"/>
          <w:sz w:val="20"/>
        </w:rPr>
        <w:t>which are incorporated by reference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and 2021, approximately 47% of our system revenues were derived from our subscription-based model. Although the ARTAS System is not available under our subscription-based model, we expect our subscription-based business model to continue to represent the majority of our revenue for the foreseeable future.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installment is made on time and that the customer’s systems are serviced in accordance with the terms of the warranty, every system requires a monthly activation code, which we provide to the customer upon receiving each monthly installment. If a customer does not make timely payment of a monthly installment, the customer will not receive an activation code and will be unable to use the system. Because this process does not protect us from the economic impact of a customer’s failure to make its monthly payments, we normally maintain a purchase money security interest over the devices sold under a subscription agreement and therefore enjoy priority as a secured creditor, entitling us to certain rights in the event of a customer default or bankruptcy. We cannot provide any assurance that the financial position of customers purchasing products and services under a subscription agreement will not change adversely before we receive all the monthly installment payments due under the contract. As a result of the global economic turmoil that has resulted from COVID-19, many of our customers experienced difficulty i</w:t>
      </w:r>
      <w:r>
        <w:rPr>
          <w:rFonts w:ascii="Times New Roman" w:hAnsi="Times New Roman"/>
          <w:caps w:val="false"/>
          <w:smallCaps w:val="false"/>
          <w:sz w:val="20"/>
          <w:highlight w:val="white"/>
        </w:rPr>
        <w:t>n making timely payments, or payments at all, during the pandemic which had resulted in higher than anticipated bad debt expense over the course of the 2020 and 2021 fiscal years. Despite the improvement we have seen in our collection experience over the last year and throughout the first quarter of fiscal year 2022, we</w:t>
      </w:r>
      <w:r>
        <w:rPr>
          <w:rFonts w:ascii="Times New Roman" w:hAnsi="Times New Roman"/>
          <w:caps w:val="false"/>
          <w:smallCaps w:val="false"/>
          <w:sz w:val="20"/>
        </w:rPr>
        <w:t xml:space="preserve"> cannot assure you that our customers will continue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Global Supply Chain Disruption and Inflation may have a material adverse effect on the Company's business, financial condition and results of operations.</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Global supply chain disruption and Inflation may have a material adverse effect on the Company's business, financial condition and results of operations. The Company maintains manufacturing operations at its facilities in San Jose, California and Yokneam, Israel. We depend on third-party suppliers and manufacturers to produce components and provide raw materials used to manufacture our products. The disruptions to the global economy in 2020 and 2021 impeded global supply chains and resulted in longer lead times and increased component costs and freight expenses. As a result, our suppliers or manufacturers may not have the materials, capacity, or capability to timely manufacture our products and alternative suppliers or manufacturers may not be readily available or cost efficient, which would negatively affect our results of operations. Despite the actions the Company has undertaken to minimize the impacts from disruptions to the global economy, there can be no assurances that unforeseen future events in the global supply chain, and inflationary pressures, will not have a material adverse effect on its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7" w:name="unreg"/>
      <w:bookmarkEnd w:id="17"/>
      <w:r>
        <w:rPr>
          <w:rFonts w:ascii="Times New Roman" w:hAnsi="Times New Roman"/>
          <w:b/>
          <w:caps w:val="false"/>
          <w:smallCaps w:val="false"/>
          <w:sz w:val="20"/>
        </w:rPr>
        <w:t>ITEM 2. UNREGISTERED SALES OF EQUITY SECURITIES AND USE OF PROCEEDS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Unregistered Sales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There were no unregistered securities issued and sold during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Use of Proceeds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xml:space="preserve">Issuer Purchases of Equity Securities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9" w:name="mine"/>
      <w:bookmarkEnd w:id="19"/>
      <w:r>
        <w:rPr>
          <w:rFonts w:ascii="Times New Roman" w:hAnsi="Times New Roman"/>
          <w:b/>
          <w:caps w:val="false"/>
          <w:smallCaps w:val="false"/>
          <w:sz w:val="20"/>
        </w:rPr>
        <w:t>ITEM 4. 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20" w:name="other"/>
      <w:bookmarkEnd w:id="20"/>
      <w:r>
        <w:rPr>
          <w:rFonts w:ascii="Times New Roman" w:hAnsi="Times New Roman"/>
          <w:b/>
          <w:caps w:val="false"/>
          <w:smallCaps w:val="false"/>
          <w:sz w:val="20"/>
        </w:rPr>
        <w:t>ITEM 5. 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ITEM 6.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815"/>
        <w:gridCol w:w="6779"/>
        <w:gridCol w:w="500"/>
        <w:gridCol w:w="540"/>
        <w:gridCol w:w="710"/>
        <w:gridCol w:w="60"/>
        <w:gridCol w:w="801"/>
      </w:tblGrid>
      <w:tr>
        <w:trPr/>
        <w:tc>
          <w:tcPr>
            <w:tcW w:w="81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779"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50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54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7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bottom w:val="single" w:sz="2" w:space="0" w:color="000000"/>
            </w:tcBorders>
            <w:shd w:fill="auto" w:val="clear"/>
            <w:vAlign w:val="center"/>
          </w:tcPr>
          <w:p>
            <w:pPr>
              <w:pStyle w:val="TableContents"/>
              <w:spacing w:before="0" w:after="283"/>
              <w:rPr/>
            </w:pPr>
            <w:r>
              <w:rPr/>
              <w:t> </w:t>
            </w:r>
          </w:p>
        </w:tc>
        <w:tc>
          <w:tcPr>
            <w:tcW w:w="801"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Herewith</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779" w:type="dxa"/>
            <w:tcBorders/>
            <w:shd w:fill="auto" w:val="clear"/>
            <w:tcMar>
              <w:bottom w:w="0" w:type="dxa"/>
            </w:tcMar>
            <w:vAlign w:val="center"/>
          </w:tcPr>
          <w:p>
            <w:pPr>
              <w:pStyle w:val="TableContents"/>
              <w:spacing w:before="0" w:after="0"/>
              <w:ind w:left="0" w:right="0" w:hanging="0"/>
              <w:rPr/>
            </w:pPr>
            <w:hyperlink r:id="rId2">
              <w:r>
                <w:rPr>
                  <w:rStyle w:val="InternetLink"/>
                  <w:rFonts w:ascii="Times New Roman" w:hAnsi="Times New Roman"/>
                  <w:caps w:val="false"/>
                  <w:smallCaps w:val="false"/>
                  <w:sz w:val="20"/>
                </w:rPr>
                <w:t>Amended and Restated Certificate of Incorporation of Restoration Robotics, Inc.</w:t>
              </w:r>
            </w:hyperlink>
          </w:p>
        </w:tc>
        <w:tc>
          <w:tcPr>
            <w:tcW w:w="50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54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10-17-17</w:t>
            </w:r>
          </w:p>
        </w:tc>
        <w:tc>
          <w:tcPr>
            <w:tcW w:w="710" w:type="dxa"/>
            <w:tcBorders/>
            <w:shd w:fill="auto" w:val="clear"/>
            <w:tcMar>
              <w:bottom w:w="0" w:type="dxa"/>
            </w:tcMar>
            <w:vAlign w:val="center"/>
          </w:tcPr>
          <w:p>
            <w:pPr>
              <w:pStyle w:val="TableContents"/>
              <w:spacing w:before="0" w:after="0"/>
              <w:ind w:left="0" w:right="0" w:firstLine="14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779" w:type="dxa"/>
            <w:tcBorders/>
            <w:shd w:fill="auto" w:val="clear"/>
            <w:tcMar>
              <w:bottom w:w="0" w:type="dxa"/>
            </w:tcMar>
            <w:vAlign w:val="center"/>
          </w:tcPr>
          <w:p>
            <w:pPr>
              <w:pStyle w:val="TableContents"/>
              <w:spacing w:before="0" w:after="0"/>
              <w:ind w:left="0" w:right="0" w:hanging="0"/>
              <w:rPr/>
            </w:pPr>
            <w:hyperlink r:id="rId3">
              <w:r>
                <w:rPr>
                  <w:rStyle w:val="InternetLink"/>
                  <w:rFonts w:ascii="Times New Roman" w:hAnsi="Times New Roman"/>
                  <w:caps w:val="false"/>
                  <w:smallCaps w:val="false"/>
                  <w:sz w:val="20"/>
                </w:rPr>
                <w:t>Certificate of Amendment of Certificate of Incorporation of Restoration Robotics, Inc.</w:t>
              </w:r>
            </w:hyperlink>
          </w:p>
        </w:tc>
        <w:tc>
          <w:tcPr>
            <w:tcW w:w="50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54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11-7-19</w:t>
            </w:r>
          </w:p>
        </w:tc>
        <w:tc>
          <w:tcPr>
            <w:tcW w:w="710" w:type="dxa"/>
            <w:tcBorders/>
            <w:shd w:fill="auto" w:val="clear"/>
            <w:tcMar>
              <w:bottom w:w="0" w:type="dxa"/>
            </w:tcMar>
            <w:vAlign w:val="center"/>
          </w:tcPr>
          <w:p>
            <w:pPr>
              <w:pStyle w:val="TableContents"/>
              <w:spacing w:before="0" w:after="0"/>
              <w:ind w:left="0" w:right="0" w:firstLine="14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779"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 w:hAnsi="Times New Roman"/>
                  <w:caps w:val="false"/>
                  <w:smallCaps w:val="false"/>
                  <w:sz w:val="20"/>
                </w:rPr>
                <w:t>Second Amended and Restated Bylaws of Venus Concept Inc.</w:t>
              </w:r>
            </w:hyperlink>
          </w:p>
        </w:tc>
        <w:tc>
          <w:tcPr>
            <w:tcW w:w="50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54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11-7-19</w:t>
            </w:r>
          </w:p>
        </w:tc>
        <w:tc>
          <w:tcPr>
            <w:tcW w:w="710" w:type="dxa"/>
            <w:tcBorders/>
            <w:shd w:fill="auto" w:val="clear"/>
            <w:tcMar>
              <w:bottom w:w="0" w:type="dxa"/>
            </w:tcMar>
            <w:vAlign w:val="center"/>
          </w:tcPr>
          <w:p>
            <w:pPr>
              <w:pStyle w:val="TableContents"/>
              <w:spacing w:before="0" w:after="0"/>
              <w:ind w:left="0" w:right="0" w:firstLine="14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779" w:type="dxa"/>
            <w:tcBorders/>
            <w:shd w:fill="auto" w:val="clear"/>
            <w:tcMar>
              <w:bottom w:w="0" w:type="dxa"/>
            </w:tcMar>
            <w:vAlign w:val="center"/>
          </w:tcPr>
          <w:p>
            <w:pPr>
              <w:pStyle w:val="TableContents"/>
              <w:spacing w:before="0" w:after="0"/>
              <w:ind w:left="0" w:right="0" w:hanging="0"/>
              <w:rPr/>
            </w:pPr>
            <w:hyperlink w:anchor="ex_358923.htm">
              <w:r>
                <w:rPr>
                  <w:rStyle w:val="InternetLink"/>
                  <w:rFonts w:ascii="Times New Roman" w:hAnsi="Times New Roman"/>
                  <w:caps w:val="false"/>
                  <w:smallCaps w:val="false"/>
                  <w:sz w:val="20"/>
                </w:rPr>
                <w:t>Certification of Principal Executive Officer Pursuant to Rules 13a-14(a) and 15d-14(a) under the Securities Exchange Act of 1934, as Adopted Pursuant to Section 302 of the Sarbanes- Oxley Act of 2002.</w:t>
              </w:r>
            </w:hyperlink>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779" w:type="dxa"/>
            <w:tcBorders/>
            <w:shd w:fill="auto" w:val="clear"/>
            <w:tcMar>
              <w:bottom w:w="0" w:type="dxa"/>
            </w:tcMar>
            <w:vAlign w:val="center"/>
          </w:tcPr>
          <w:p>
            <w:pPr>
              <w:pStyle w:val="TableContents"/>
              <w:spacing w:before="0" w:after="0"/>
              <w:ind w:left="0" w:right="0" w:hanging="0"/>
              <w:rPr/>
            </w:pPr>
            <w:hyperlink w:anchor="ex_358924.htm">
              <w:r>
                <w:rPr>
                  <w:rStyle w:val="InternetLink"/>
                  <w:rFonts w:ascii="Times New Roman" w:hAnsi="Times New Roman"/>
                  <w:caps w:val="false"/>
                  <w:smallCaps w:val="false"/>
                  <w:sz w:val="20"/>
                </w:rPr>
                <w:t>Certification of Principal Financial Officer Pursuant to Rules 13a-14(a) and 15d-14(a) under the Securities Exchange Act of 1934, as Adopted Pursuant to Section 302 of the Sarbanes- Oxley Act of 2002.</w:t>
              </w:r>
            </w:hyperlink>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779" w:type="dxa"/>
            <w:tcBorders/>
            <w:shd w:fill="auto" w:val="clear"/>
            <w:tcMar>
              <w:bottom w:w="0" w:type="dxa"/>
            </w:tcMar>
            <w:vAlign w:val="center"/>
          </w:tcPr>
          <w:p>
            <w:pPr>
              <w:pStyle w:val="TableContents"/>
              <w:spacing w:before="0" w:after="0"/>
              <w:ind w:left="0" w:right="0" w:hanging="0"/>
              <w:rPr/>
            </w:pPr>
            <w:hyperlink w:anchor="ex_358925.htm">
              <w:r>
                <w:rPr>
                  <w:rStyle w:val="InternetLink"/>
                  <w:rFonts w:ascii="Times New Roman" w:hAnsi="Times New Roman"/>
                  <w:caps w:val="false"/>
                  <w:smallCaps w:val="false"/>
                  <w:sz w:val="20"/>
                </w:rPr>
                <w:t>Certification of Principal Executive Officer Pursuant to 18 U.S.C. Section 1350, as Adopted Pursuant to Section 906 of the Sarbanes-Oxley Act of 2002.</w:t>
              </w:r>
            </w:hyperlink>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779" w:type="dxa"/>
            <w:tcBorders/>
            <w:shd w:fill="auto" w:val="clear"/>
            <w:tcMar>
              <w:bottom w:w="0" w:type="dxa"/>
            </w:tcMar>
            <w:vAlign w:val="center"/>
          </w:tcPr>
          <w:p>
            <w:pPr>
              <w:pStyle w:val="TableContents"/>
              <w:spacing w:before="0" w:after="0"/>
              <w:ind w:left="0" w:right="0" w:hanging="0"/>
              <w:rPr/>
            </w:pPr>
            <w:hyperlink w:anchor="ex_358926.htm">
              <w:r>
                <w:rPr>
                  <w:rStyle w:val="InternetLink"/>
                  <w:rFonts w:ascii="Times New Roman" w:hAnsi="Times New Roman"/>
                  <w:caps w:val="false"/>
                  <w:smallCaps w:val="false"/>
                  <w:sz w:val="20"/>
                </w:rPr>
                <w:t>Certification of Principal Financial Officer Pursuant to 18 U.S.C. Section 1350, as Adopted Pursuant to Section 906 of the Sarbanes-Oxley Act of 2002.</w:t>
              </w:r>
            </w:hyperlink>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779"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779"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779"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779"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779"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779"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815" w:type="dxa"/>
            <w:tcBorders/>
            <w:shd w:fill="auto" w:val="clear"/>
            <w:tcMar>
              <w:bottom w:w="0" w:type="dxa"/>
            </w:tcMar>
            <w:vAlign w:val="center"/>
          </w:tcPr>
          <w:p>
            <w:pPr>
              <w:pStyle w:val="TableContents"/>
              <w:spacing w:before="0" w:after="283"/>
              <w:rPr/>
            </w:pPr>
            <w:r>
              <w:rPr/>
              <w:t> </w:t>
            </w:r>
          </w:p>
        </w:tc>
        <w:tc>
          <w:tcPr>
            <w:tcW w:w="6779" w:type="dxa"/>
            <w:tcBorders/>
            <w:shd w:fill="auto" w:val="clear"/>
            <w:tcMar>
              <w:bottom w:w="0" w:type="dxa"/>
            </w:tcMar>
            <w:vAlign w:val="center"/>
          </w:tcPr>
          <w:p>
            <w:pPr>
              <w:pStyle w:val="TableContents"/>
              <w:spacing w:before="0" w:after="283"/>
              <w:rPr/>
            </w:pPr>
            <w:r>
              <w:rPr/>
              <w:t> </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01" w:type="dxa"/>
            <w:tcBorders/>
            <w:shd w:fill="auto" w:val="clear"/>
            <w:tcMar>
              <w:bottom w:w="0" w:type="dxa"/>
            </w:tcMar>
            <w:vAlign w:val="center"/>
          </w:tcPr>
          <w:p>
            <w:pPr>
              <w:pStyle w:val="TableContents"/>
              <w:spacing w:before="0" w:after="283"/>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104</w:t>
            </w:r>
          </w:p>
        </w:tc>
        <w:tc>
          <w:tcPr>
            <w:tcW w:w="6779"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c>
          <w:tcPr>
            <w:tcW w:w="500" w:type="dxa"/>
            <w:tcBorders/>
            <w:shd w:fill="auto" w:val="clear"/>
            <w:tcMar>
              <w:bottom w:w="0" w:type="dxa"/>
            </w:tcMar>
            <w:vAlign w:val="center"/>
          </w:tcPr>
          <w:p>
            <w:pPr>
              <w:pStyle w:val="TableContents"/>
              <w:spacing w:before="0" w:after="283"/>
              <w:rPr/>
            </w:pPr>
            <w:r>
              <w:rPr/>
              <w:t> </w:t>
            </w:r>
          </w:p>
        </w:tc>
        <w:tc>
          <w:tcPr>
            <w:tcW w:w="540" w:type="dxa"/>
            <w:tcBorders/>
            <w:shd w:fill="auto" w:val="clear"/>
            <w:tcMar>
              <w:bottom w:w="0" w:type="dxa"/>
            </w:tcMar>
            <w:vAlign w:val="center"/>
          </w:tcPr>
          <w:p>
            <w:pPr>
              <w:pStyle w:val="TableContents"/>
              <w:spacing w:before="0" w:after="283"/>
              <w:rPr/>
            </w:pPr>
            <w:r>
              <w:rPr/>
              <w:t> </w:t>
            </w:r>
          </w:p>
        </w:tc>
        <w:tc>
          <w:tcPr>
            <w:tcW w:w="710" w:type="dxa"/>
            <w:tcBorders/>
            <w:shd w:fill="auto"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0"/>
              <w:ind w:left="0" w:right="0" w:hanging="0"/>
              <w:jc w:val="center"/>
              <w:rPr>
                <w:caps w:val="false"/>
                <w:smallCaps w:val="false"/>
              </w:rPr>
            </w:pPr>
            <w:r>
              <w:rPr>
                <w:caps w:val="false"/>
                <w:smallCaps w:val="false"/>
              </w:rPr>
              <w:t> </w:t>
            </w:r>
          </w:p>
        </w:tc>
        <w:tc>
          <w:tcPr>
            <w:tcW w:w="801" w:type="dxa"/>
            <w:tcBorders/>
            <w:shd w:fill="auto" w:val="clear"/>
            <w:tcMar>
              <w:bottom w:w="0" w:type="dxa"/>
            </w:tcMar>
            <w:vAlign w:val="center"/>
          </w:tcPr>
          <w:p>
            <w:pPr>
              <w:pStyle w:val="TableContents"/>
              <w:spacing w:before="0" w:after="283"/>
              <w:jc w:val="center"/>
              <w:rPr/>
            </w:pPr>
            <w:r>
              <w:rPr/>
              <w:t>X</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22" w:name="sigs"/>
      <w:bookmarkEnd w:id="22"/>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4035" w:type="dxa"/>
        <w:jc w:val="left"/>
        <w:tblInd w:w="0" w:type="dxa"/>
        <w:tblCellMar>
          <w:top w:w="0" w:type="dxa"/>
          <w:left w:w="0" w:type="dxa"/>
          <w:bottom w:w="0" w:type="dxa"/>
          <w:right w:w="0" w:type="dxa"/>
        </w:tblCellMar>
      </w:tblPr>
      <w:tblGrid>
        <w:gridCol w:w="1640"/>
        <w:gridCol w:w="60"/>
        <w:gridCol w:w="320"/>
        <w:gridCol w:w="2015"/>
      </w:tblGrid>
      <w:tr>
        <w:trPr/>
        <w:tc>
          <w:tcPr>
            <w:tcW w:w="16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35"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Venus Concept Inc.</w:t>
            </w:r>
          </w:p>
        </w:tc>
      </w:tr>
      <w:tr>
        <w:trPr/>
        <w:tc>
          <w:tcPr>
            <w:tcW w:w="16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6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May 12, 2022</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201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Domenic Serafino</w:t>
            </w:r>
          </w:p>
        </w:tc>
      </w:tr>
      <w:tr>
        <w:trPr/>
        <w:tc>
          <w:tcPr>
            <w:tcW w:w="16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Domenic Serafino</w:t>
            </w:r>
          </w:p>
        </w:tc>
      </w:tr>
      <w:tr>
        <w:trPr/>
        <w:tc>
          <w:tcPr>
            <w:tcW w:w="16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w:t>
            </w:r>
          </w:p>
        </w:tc>
      </w:tr>
      <w:tr>
        <w:trPr/>
        <w:tc>
          <w:tcPr>
            <w:tcW w:w="16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6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May 12, 2022</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201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Domenic Della Penna</w:t>
            </w:r>
          </w:p>
        </w:tc>
      </w:tr>
      <w:tr>
        <w:trPr/>
        <w:tc>
          <w:tcPr>
            <w:tcW w:w="16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Domenic Della Penna</w:t>
            </w:r>
          </w:p>
        </w:tc>
      </w:tr>
      <w:tr>
        <w:trPr/>
        <w:tc>
          <w:tcPr>
            <w:tcW w:w="16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jc w:val="center"/>
        <w:rPr>
          <w:rFonts w:ascii="Times New Roman" w:hAnsi="Times New Roman"/>
          <w:sz w:val="20"/>
        </w:rPr>
      </w:pPr>
      <w:r>
        <w:rPr>
          <w:rFonts w:ascii="Times New Roman" w:hAnsi="Times New Roman"/>
          <w:sz w:val="20"/>
        </w:rPr>
        <w:t xml:space="preserve">46 </w:t>
      </w:r>
      <w:r>
        <w:br w:type="page"/>
      </w:r>
    </w:p>
    <w:p>
      <w:pPr>
        <w:pStyle w:val="TextBody"/>
        <w:spacing w:before="0" w:after="0"/>
        <w:ind w:left="0" w:right="0" w:hanging="0"/>
        <w:jc w:val="right"/>
        <w:rPr>
          <w:rFonts w:ascii="Times New Roman" w:hAnsi="Times New Roman"/>
          <w:b/>
          <w:caps w:val="false"/>
          <w:smallCaps w:val="false"/>
          <w:sz w:val="20"/>
        </w:rPr>
      </w:pPr>
      <w:bookmarkStart w:id="23" w:name="ex_358923.htm"/>
      <w:bookmarkStart w:id="24" w:name="ksex_358923"/>
      <w:bookmarkEnd w:id="23"/>
      <w:bookmarkEnd w:id="24"/>
      <w:r>
        <w:rPr>
          <w:rFonts w:ascii="Times New Roman" w:hAnsi="Times New Roman"/>
          <w:b/>
          <w:caps w:val="false"/>
          <w:smallCaps w:val="false"/>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302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Domenic Serafino,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Venus Concept Inc.;</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6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09"/>
        <w:gridCol w:w="9936"/>
      </w:tblGrid>
      <w:tr>
        <w:trPr/>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3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4455" w:type="dxa"/>
        <w:jc w:val="left"/>
        <w:tblInd w:w="0" w:type="dxa"/>
        <w:tblCellMar>
          <w:top w:w="0" w:type="dxa"/>
          <w:left w:w="0" w:type="dxa"/>
          <w:bottom w:w="0" w:type="dxa"/>
          <w:right w:w="0" w:type="dxa"/>
        </w:tblCellMar>
      </w:tblPr>
      <w:tblGrid>
        <w:gridCol w:w="1655"/>
        <w:gridCol w:w="320"/>
        <w:gridCol w:w="2480"/>
      </w:tblGrid>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0"/>
              <w:ind w:left="6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Date: May 12, 2022</w:t>
            </w:r>
          </w:p>
        </w:tc>
        <w:tc>
          <w:tcPr>
            <w:tcW w:w="320" w:type="dxa"/>
            <w:tcBorders/>
            <w:shd w:fill="auto"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2480" w:type="dxa"/>
            <w:tcBorders>
              <w:bottom w:val="single" w:sz="2" w:space="0" w:color="000000"/>
            </w:tcBorders>
            <w:shd w:fill="auto" w:val="clear"/>
            <w:tcMar>
              <w:bottom w:w="28" w:type="dxa"/>
            </w:tcMar>
            <w:vAlign w:val="center"/>
          </w:tcPr>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/s/ Domenic Serafino</w:t>
            </w:r>
          </w:p>
        </w:tc>
      </w:tr>
      <w:tr>
        <w:trPr/>
        <w:tc>
          <w:tcPr>
            <w:tcW w:w="1975" w:type="dxa"/>
            <w:gridSpan w:val="2"/>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Name: Domenic Serafino</w:t>
            </w:r>
          </w:p>
        </w:tc>
      </w:tr>
      <w:tr>
        <w:trPr/>
        <w:tc>
          <w:tcPr>
            <w:tcW w:w="1975" w:type="dxa"/>
            <w:gridSpan w:val="2"/>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Chief Executive Officer </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25" w:name="ex_358924.htm"/>
      <w:bookmarkStart w:id="26" w:name="ksex_358924"/>
      <w:bookmarkEnd w:id="25"/>
      <w:bookmarkEnd w:id="26"/>
      <w:r>
        <w:rPr>
          <w:rFonts w:ascii="Times New Roman" w:hAnsi="Times New Roman"/>
          <w:b/>
          <w:caps w:val="false"/>
          <w:smallCaps w:val="false"/>
          <w:sz w:val="20"/>
        </w:rPr>
        <w:t>Exhibit 31.2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302 OF THE SARBANES 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Domenic Della Penna, certify that:</w:t>
      </w:r>
    </w:p>
    <w:p>
      <w:pPr>
        <w:pStyle w:val="TextBody"/>
        <w:spacing w:before="0" w:after="0"/>
        <w:ind w:left="0" w:right="0" w:hanging="0"/>
        <w:rPr>
          <w:caps w:val="false"/>
          <w:smallCaps w:val="false"/>
        </w:rPr>
      </w:pPr>
      <w:r>
        <w:rPr>
          <w:caps w:val="false"/>
          <w:smallCaps w:val="false"/>
        </w:rPr>
        <w:t> </w:t>
      </w:r>
    </w:p>
    <w:tbl>
      <w:tblPr>
        <w:tblW w:w="6190" w:type="dxa"/>
        <w:jc w:val="left"/>
        <w:tblInd w:w="0" w:type="dxa"/>
        <w:tblCellMar>
          <w:top w:w="0" w:type="dxa"/>
          <w:left w:w="0" w:type="dxa"/>
          <w:bottom w:w="0" w:type="dxa"/>
          <w:right w:w="0" w:type="dxa"/>
        </w:tblCellMar>
      </w:tblPr>
      <w:tblGrid>
        <w:gridCol w:w="170"/>
        <w:gridCol w:w="6020"/>
      </w:tblGrid>
      <w:tr>
        <w:trPr/>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6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Venus Concept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09"/>
        <w:gridCol w:w="9936"/>
      </w:tblGrid>
      <w:tr>
        <w:trPr/>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3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4425" w:type="dxa"/>
        <w:jc w:val="left"/>
        <w:tblInd w:w="0" w:type="dxa"/>
        <w:tblCellMar>
          <w:top w:w="0" w:type="dxa"/>
          <w:left w:w="0" w:type="dxa"/>
          <w:bottom w:w="0" w:type="dxa"/>
          <w:right w:w="0" w:type="dxa"/>
        </w:tblCellMar>
      </w:tblPr>
      <w:tblGrid>
        <w:gridCol w:w="1655"/>
        <w:gridCol w:w="320"/>
        <w:gridCol w:w="2450"/>
      </w:tblGrid>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0"/>
              <w:ind w:left="6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Date: May 12, 2022</w:t>
            </w:r>
          </w:p>
        </w:tc>
        <w:tc>
          <w:tcPr>
            <w:tcW w:w="320" w:type="dxa"/>
            <w:tcBorders/>
            <w:shd w:fill="auto"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2450" w:type="dxa"/>
            <w:tcBorders>
              <w:bottom w:val="single" w:sz="2" w:space="0" w:color="000000"/>
            </w:tcBorders>
            <w:shd w:fill="auto" w:val="clear"/>
            <w:tcMar>
              <w:bottom w:w="28" w:type="dxa"/>
            </w:tcMar>
            <w:vAlign w:val="center"/>
          </w:tcPr>
          <w:p>
            <w:pPr>
              <w:pStyle w:val="TableContents"/>
              <w:spacing w:before="0" w:after="0"/>
              <w:ind w:left="0" w:right="0" w:hanging="0"/>
              <w:rPr>
                <w:caps w:val="false"/>
                <w:smallCaps w:val="false"/>
              </w:rPr>
            </w:pPr>
            <w:r>
              <w:rPr>
                <w:caps w:val="false"/>
                <w:smallCaps w:val="false"/>
              </w:rPr>
              <w:t> </w:t>
            </w:r>
            <w:r>
              <w:rPr>
                <w:rFonts w:ascii="Times New Roman;Times;serif" w:hAnsi="Times New Roman;Times;serif"/>
                <w:caps w:val="false"/>
                <w:smallCaps w:val="false"/>
                <w:sz w:val="20"/>
              </w:rPr>
              <w:t>/s/ Domenic Della Penna</w:t>
            </w:r>
          </w:p>
        </w:tc>
      </w:tr>
      <w:tr>
        <w:trPr/>
        <w:tc>
          <w:tcPr>
            <w:tcW w:w="1975" w:type="dxa"/>
            <w:gridSpan w:val="2"/>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Domenic Della Penna</w:t>
            </w:r>
          </w:p>
        </w:tc>
      </w:tr>
      <w:tr>
        <w:trPr/>
        <w:tc>
          <w:tcPr>
            <w:tcW w:w="1975" w:type="dxa"/>
            <w:gridSpan w:val="2"/>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Chief Financial Officer </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(Principal Financial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27" w:name="ex_358925.htm"/>
      <w:bookmarkStart w:id="28" w:name="ksex_358925"/>
      <w:bookmarkEnd w:id="27"/>
      <w:bookmarkEnd w:id="28"/>
      <w:r>
        <w:rPr>
          <w:rFonts w:ascii="Times New Roman" w:hAnsi="Times New Roman"/>
          <w:b/>
          <w:caps w:val="false"/>
          <w:smallCaps w:val="false"/>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 18 U.S.C. Section 1350 as Adopted Pursuant to 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I, Domenic Serafino, the Chief Executive Officer of Venus Concept Inc. (the “Company”), hereby certify, that, to my knowledge: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5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Quarterly Report on Form 10-Q for the quarter ended </w:t>
            </w:r>
            <w:bookmarkStart w:id="29" w:name="led242472F20223141649968086327"/>
            <w:bookmarkEnd w:id="29"/>
            <w:r>
              <w:rPr>
                <w:rFonts w:ascii="Times New Roman" w:hAnsi="Times New Roman"/>
                <w:caps w:val="false"/>
                <w:smallCaps w:val="false"/>
                <w:sz w:val="20"/>
              </w:rPr>
              <w:t>March 31, 2022 (the “Report”) of the Company fully complies with the requirements of Section 13(a) of the Securities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4425" w:type="dxa"/>
        <w:jc w:val="left"/>
        <w:tblInd w:w="0" w:type="dxa"/>
        <w:tblCellMar>
          <w:top w:w="0" w:type="dxa"/>
          <w:left w:w="0" w:type="dxa"/>
          <w:bottom w:w="0" w:type="dxa"/>
          <w:right w:w="0" w:type="dxa"/>
        </w:tblCellMar>
      </w:tblPr>
      <w:tblGrid>
        <w:gridCol w:w="1640"/>
        <w:gridCol w:w="320"/>
        <w:gridCol w:w="2465"/>
      </w:tblGrid>
      <w:tr>
        <w:trPr/>
        <w:tc>
          <w:tcPr>
            <w:tcW w:w="164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0"/>
              <w:ind w:left="60" w:right="0" w:hanging="0"/>
              <w:rPr>
                <w:rFonts w:ascii="Times New Roman" w:hAnsi="Times New Roman"/>
                <w:caps w:val="false"/>
                <w:smallCaps w:val="false"/>
                <w:sz w:val="20"/>
              </w:rPr>
            </w:pPr>
            <w:r>
              <w:rPr>
                <w:rFonts w:ascii="Times New Roman" w:hAnsi="Times New Roman"/>
                <w:caps w:val="false"/>
                <w:smallCaps w:val="false"/>
                <w:sz w:val="20"/>
              </w:rPr>
              <w:t>Date: May 12, 2022</w:t>
            </w:r>
          </w:p>
        </w:tc>
        <w:tc>
          <w:tcPr>
            <w:tcW w:w="32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2465" w:type="dxa"/>
            <w:tcBorders>
              <w:bottom w:val="single" w:sz="2" w:space="0" w:color="000000"/>
            </w:tcBorders>
            <w:shd w:fill="auto" w:val="clear"/>
            <w:tcMar>
              <w:bottom w:w="28" w:type="dxa"/>
            </w:tcMar>
            <w:vAlign w:val="center"/>
          </w:tcPr>
          <w:p>
            <w:pPr>
              <w:pStyle w:val="TableContents"/>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/s/ Domenic Serafino</w:t>
            </w:r>
          </w:p>
        </w:tc>
      </w:tr>
      <w:tr>
        <w:trPr/>
        <w:tc>
          <w:tcPr>
            <w:tcW w:w="1960" w:type="dxa"/>
            <w:gridSpan w:val="2"/>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Domenic Serafino</w:t>
            </w:r>
          </w:p>
        </w:tc>
      </w:tr>
      <w:tr>
        <w:trPr/>
        <w:tc>
          <w:tcPr>
            <w:tcW w:w="1960" w:type="dxa"/>
            <w:gridSpan w:val="2"/>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30" w:name="ex_358926.htm"/>
      <w:bookmarkStart w:id="31" w:name="ksex_358926"/>
      <w:bookmarkEnd w:id="30"/>
      <w:bookmarkEnd w:id="31"/>
      <w:r>
        <w:rPr>
          <w:rFonts w:ascii="Times New Roman" w:hAnsi="Times New Roman"/>
          <w:b/>
          <w:caps w:val="false"/>
          <w:smallCaps w:val="false"/>
          <w:sz w:val="20"/>
        </w:rPr>
        <w:t>Exhibit 32.2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 18 U.S.C. Section 1350 as Adopted Pursuant to 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I, Domenic Della Penna, the Chief Financial Officer of Venus Concept Inc. (the “Company”), hereby certify, that, to my knowledge: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1005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Quarterly Report on Form 10-Q for the quarter ended </w:t>
            </w:r>
            <w:bookmarkStart w:id="32" w:name="led242472F20223141649969329039"/>
            <w:bookmarkEnd w:id="32"/>
            <w:r>
              <w:rPr>
                <w:rFonts w:ascii="Times New Roman" w:hAnsi="Times New Roman"/>
                <w:caps w:val="false"/>
                <w:smallCaps w:val="false"/>
                <w:sz w:val="20"/>
              </w:rPr>
              <w:t>March 31, 2022 (the “Report”) of the Company fully complies with the requirements of Section 13(a) of the Securities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5115" w:type="dxa"/>
        <w:jc w:val="left"/>
        <w:tblInd w:w="0" w:type="dxa"/>
        <w:tblCellMar>
          <w:top w:w="0" w:type="dxa"/>
          <w:left w:w="0" w:type="dxa"/>
          <w:bottom w:w="0" w:type="dxa"/>
          <w:right w:w="0" w:type="dxa"/>
        </w:tblCellMar>
      </w:tblPr>
      <w:tblGrid>
        <w:gridCol w:w="1640"/>
        <w:gridCol w:w="320"/>
        <w:gridCol w:w="3155"/>
      </w:tblGrid>
      <w:tr>
        <w:trPr/>
        <w:tc>
          <w:tcPr>
            <w:tcW w:w="164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155" w:type="dxa"/>
            <w:tcBorders/>
            <w:shd w:fill="auto" w:val="cle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0"/>
              <w:ind w:left="60" w:right="0" w:hanging="0"/>
              <w:rPr>
                <w:rFonts w:ascii="Times New Roman" w:hAnsi="Times New Roman"/>
                <w:caps w:val="false"/>
                <w:smallCaps w:val="false"/>
                <w:sz w:val="20"/>
              </w:rPr>
            </w:pPr>
            <w:r>
              <w:rPr>
                <w:rFonts w:ascii="Times New Roman" w:hAnsi="Times New Roman"/>
                <w:caps w:val="false"/>
                <w:smallCaps w:val="false"/>
                <w:sz w:val="20"/>
              </w:rPr>
              <w:t>Date: May 12, 2022</w:t>
            </w:r>
          </w:p>
        </w:tc>
        <w:tc>
          <w:tcPr>
            <w:tcW w:w="32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3155" w:type="dxa"/>
            <w:tcBorders>
              <w:bottom w:val="single" w:sz="2" w:space="0" w:color="000000"/>
            </w:tcBorders>
            <w:shd w:fill="auto" w:val="clear"/>
            <w:tcMar>
              <w:bottom w:w="28" w:type="dxa"/>
            </w:tcMar>
            <w:vAlign w:val="center"/>
          </w:tcPr>
          <w:p>
            <w:pPr>
              <w:pStyle w:val="TableContents"/>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/s/ Domenic Della Penna</w:t>
            </w:r>
          </w:p>
        </w:tc>
      </w:tr>
      <w:tr>
        <w:trPr/>
        <w:tc>
          <w:tcPr>
            <w:tcW w:w="1960" w:type="dxa"/>
            <w:gridSpan w:val="2"/>
            <w:tcBorders/>
            <w:shd w:fill="auto" w:val="clear"/>
            <w:vAlign w:val="center"/>
          </w:tcPr>
          <w:p>
            <w:pPr>
              <w:pStyle w:val="TableContents"/>
              <w:spacing w:before="0" w:after="283"/>
              <w:rPr/>
            </w:pPr>
            <w:r>
              <w:rPr/>
              <w:t> </w:t>
            </w:r>
          </w:p>
        </w:tc>
        <w:tc>
          <w:tcPr>
            <w:tcW w:w="3155"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Name: Domenic Della Penna</w:t>
            </w:r>
          </w:p>
        </w:tc>
      </w:tr>
      <w:tr>
        <w:trPr/>
        <w:tc>
          <w:tcPr>
            <w:tcW w:w="1960" w:type="dxa"/>
            <w:gridSpan w:val="2"/>
            <w:tcBorders/>
            <w:shd w:fill="auto" w:val="clear"/>
            <w:vAlign w:val="center"/>
          </w:tcPr>
          <w:p>
            <w:pPr>
              <w:pStyle w:val="TableContents"/>
              <w:spacing w:before="0" w:after="283"/>
              <w:rPr/>
            </w:pPr>
            <w:r>
              <w:rPr/>
              <w:t> </w:t>
            </w:r>
          </w:p>
        </w:tc>
        <w:tc>
          <w:tcPr>
            <w:tcW w:w="3155" w:type="dxa"/>
            <w:tcBorders/>
            <w:shd w:fill="auto" w:val="clear"/>
            <w:vAlign w:val="center"/>
          </w:tcPr>
          <w:p>
            <w:pPr>
              <w:pStyle w:val="TableContents"/>
              <w:spacing w:before="0" w:after="0"/>
              <w:ind w:left="1280" w:right="0" w:hanging="240"/>
              <w:rPr>
                <w:caps w:val="false"/>
                <w:smallCaps w:val="false"/>
              </w:rPr>
            </w:pPr>
            <w:r>
              <w:rPr>
                <w:caps w:val="false"/>
                <w:smallCaps w:val="false"/>
              </w:rPr>
              <w:t xml:space="preserve">              </w:t>
            </w:r>
            <w:r>
              <w:rPr>
                <w:rFonts w:ascii="Times New Roman" w:hAnsi="Times New Roman"/>
                <w:b/>
                <w:caps w:val="false"/>
                <w:smallCaps w:val="false"/>
                <w:sz w:val="20"/>
              </w:rPr>
              <w:t xml:space="preserve">Chief Financial Officer </w:t>
            </w:r>
          </w:p>
          <w:p>
            <w:pPr>
              <w:pStyle w:val="TableContents"/>
              <w:spacing w:before="0" w:after="0"/>
              <w:ind w:left="1280" w:right="0" w:hanging="240"/>
              <w:rPr>
                <w:caps w:val="false"/>
                <w:smallCaps w:val="false"/>
              </w:rPr>
            </w:pPr>
            <w:r>
              <w:rPr>
                <w:caps w:val="false"/>
                <w:smallCaps w:val="false"/>
              </w:rPr>
              <w:t xml:space="preserve">            </w:t>
            </w:r>
            <w:r>
              <w:rPr>
                <w:rFonts w:ascii="Times New Roman" w:hAnsi="Times New Roman"/>
                <w:b/>
                <w:caps w:val="false"/>
                <w:smallCaps w:val="false"/>
                <w:sz w:val="20"/>
              </w:rPr>
              <w:t>(Principal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409269/000119312517311810/d448597dex31.htm" TargetMode="External"/><Relationship Id="rId3" Type="http://schemas.openxmlformats.org/officeDocument/2006/relationships/hyperlink" Target="http://www.sec.gov/Archives/edgar/data/0001409269/000119312519286952/d827576dex31.htm" TargetMode="External"/><Relationship Id="rId4" Type="http://schemas.openxmlformats.org/officeDocument/2006/relationships/hyperlink" Target="http://www.sec.gov/Archives/edgar/data/0001409269/000119312519286952/d827576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26965</Words>
  <CharactersWithSpaces>175228</CharactersWithSpaces>
  <Paragraphs>6427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