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58420</wp:posOffset>
            </wp:positionV>
            <wp:extent cx="1062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660" w:right="1600" w:hanging="3652"/>
        <w:spacing w:after="0" w:line="493" w:lineRule="auto"/>
        <w:tabs>
          <w:tab w:leader="none" w:pos="49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240" w:right="1580" w:hanging="3232"/>
        <w:spacing w:after="0" w:line="500" w:lineRule="auto"/>
        <w:tabs>
          <w:tab w:leader="none" w:pos="49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 to 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1062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Venus Concept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11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06-1681204</w:t>
      </w:r>
    </w:p>
    <w:p>
      <w:pPr>
        <w:spacing w:after="0" w:line="31" w:lineRule="exact"/>
        <w:rPr>
          <w:sz w:val="24"/>
          <w:szCs w:val="24"/>
          <w:color w:val="auto"/>
        </w:rPr>
      </w:pPr>
    </w:p>
    <w:p>
      <w:pPr>
        <w:sectPr>
          <w:pgSz w:w="11900" w:h="16838" w:orient="portrait"/>
          <w:cols w:equalWidth="0" w:num="2">
            <w:col w:w="7280" w:space="720"/>
            <w:col w:w="3240"/>
          </w:cols>
          <w:pgMar w:left="320" w:top="476" w:right="339" w:bottom="1440" w:gutter="0" w:footer="0" w:header="0"/>
          <w:type w:val="continuous"/>
        </w:sectPr>
      </w:pPr>
    </w:p>
    <w:p>
      <w:pPr>
        <w:spacing w:after="0" w:line="1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140" w:space="720"/>
            <w:col w:w="3380"/>
          </w:cols>
          <w:pgMar w:left="320" w:top="47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235 Yorkland Blvd., Suite 900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 M2J 4Y8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(877) 848-8430</w:t>
      </w:r>
    </w:p>
    <w:p>
      <w:pPr>
        <w:sectPr>
          <w:pgSz w:w="11900" w:h="16838" w:orient="portrait"/>
          <w:cols w:equalWidth="0" w:num="1">
            <w:col w:w="11240"/>
          </w:cols>
          <w:pgMar w:left="320" w:top="476"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w:t>
      </w:r>
      <w:r>
        <w:rPr>
          <w:rFonts w:ascii="Arial" w:cs="Arial" w:eastAsia="Arial" w:hAnsi="Arial"/>
          <w:sz w:val="14"/>
          <w:szCs w:val="14"/>
          <w:color w:val="auto"/>
        </w:rPr>
        <w:t>’</w:t>
      </w:r>
      <w:r>
        <w:rPr>
          <w:rFonts w:ascii="Arial" w:cs="Arial" w:eastAsia="Arial" w:hAnsi="Arial"/>
          <w:sz w:val="14"/>
          <w:szCs w:val="14"/>
          <w:b w:val="1"/>
          <w:bCs w:val="1"/>
          <w:color w:val="auto"/>
        </w:rPr>
        <w: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154940</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4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40" w:type="dxa"/>
            <w:vAlign w:val="bottom"/>
          </w:tcPr>
          <w:p>
            <w:pPr>
              <w:spacing w:after="0"/>
              <w:rPr>
                <w:sz w:val="18"/>
                <w:szCs w:val="18"/>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4580" w:type="dxa"/>
            <w:vAlign w:val="bottom"/>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6"/>
              </w:rPr>
              <w:t>VERO</w:t>
            </w:r>
          </w:p>
        </w:tc>
        <w:tc>
          <w:tcPr>
            <w:tcW w:w="40" w:type="dxa"/>
            <w:vAlign w:val="bottom"/>
          </w:tcPr>
          <w:p>
            <w:pPr>
              <w:spacing w:after="0"/>
              <w:rPr>
                <w:sz w:val="17"/>
                <w:szCs w:val="17"/>
                <w:color w:val="auto"/>
              </w:rPr>
            </w:pPr>
          </w:p>
        </w:tc>
        <w:tc>
          <w:tcPr>
            <w:tcW w:w="48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9" w:lineRule="exact"/>
        <w:rPr>
          <w:sz w:val="24"/>
          <w:szCs w:val="24"/>
          <w:color w:val="auto"/>
        </w:rPr>
      </w:pPr>
    </w:p>
    <w:p>
      <w:pPr>
        <w:jc w:val="both"/>
        <w:ind w:firstLine="45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firstLine="45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2" w:lineRule="exact"/>
        <w:rPr>
          <w:sz w:val="24"/>
          <w:szCs w:val="24"/>
          <w:color w:val="auto"/>
        </w:rPr>
      </w:pPr>
    </w:p>
    <w:p>
      <w:pPr>
        <w:jc w:val="both"/>
        <w:ind w:firstLine="45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180" w:type="dxa"/>
            <w:vAlign w:val="bottom"/>
          </w:tcPr>
          <w:p>
            <w:pPr>
              <w:ind w:left="306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4"/>
          <w:szCs w:val="24"/>
          <w:color w:val="auto"/>
        </w:rPr>
      </w:pPr>
    </w:p>
    <w:p>
      <w:pPr>
        <w:ind w:right="20" w:firstLine="45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1" w:lineRule="exact"/>
        <w:rPr>
          <w:sz w:val="24"/>
          <w:szCs w:val="24"/>
          <w:color w:val="auto"/>
        </w:rPr>
      </w:pPr>
    </w:p>
    <w:p>
      <w:pPr>
        <w:ind w:left="460"/>
        <w:spacing w:after="0" w:line="184" w:lineRule="exact"/>
        <w:tabs>
          <w:tab w:leader="none" w:pos="7960" w:val="left"/>
          <w:tab w:leader="none" w:pos="85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November 8, 2022 the registrant had 67,584,573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80" w:type="dxa"/>
            <w:vAlign w:val="bottom"/>
            <w:gridSpan w:val="21"/>
          </w:tcPr>
          <w:p>
            <w:pPr>
              <w:spacing w:after="0"/>
              <w:rPr>
                <w:sz w:val="20"/>
                <w:szCs w:val="20"/>
                <w:color w:val="auto"/>
              </w:rPr>
            </w:pPr>
            <w:r>
              <w:rPr>
                <w:rFonts w:ascii="Arial" w:cs="Arial" w:eastAsia="Arial" w:hAnsi="Arial"/>
                <w:sz w:val="18"/>
                <w:szCs w:val="18"/>
                <w:color w:val="0000EE"/>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20" w:type="dxa"/>
            <w:vAlign w:val="bottom"/>
            <w:gridSpan w:val="7"/>
          </w:tcPr>
          <w:p>
            <w:pPr>
              <w:ind w:left="8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19"/>
            <w:vMerge w:val="restart"/>
          </w:tcPr>
          <w:p>
            <w:pPr>
              <w:spacing w:after="0"/>
              <w:rPr>
                <w:sz w:val="20"/>
                <w:szCs w:val="20"/>
                <w:color w:val="auto"/>
              </w:rPr>
            </w:pPr>
            <w:r>
              <w:rPr>
                <w:rFonts w:ascii="Arial" w:cs="Arial" w:eastAsia="Arial" w:hAnsi="Arial"/>
                <w:sz w:val="18"/>
                <w:szCs w:val="18"/>
                <w:b w:val="1"/>
                <w:bCs w:val="1"/>
                <w:color w:val="0000EE"/>
              </w:rPr>
              <w:t>Financial Information</w:t>
            </w:r>
          </w:p>
        </w:tc>
        <w:tc>
          <w:tcPr>
            <w:tcW w:w="6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440" w:type="dxa"/>
            <w:vAlign w:val="bottom"/>
            <w:gridSpan w:val="19"/>
            <w:vMerge w:val="continue"/>
          </w:tcPr>
          <w:p>
            <w:pPr>
              <w:spacing w:after="0"/>
              <w:rPr>
                <w:sz w:val="14"/>
                <w:szCs w:val="14"/>
                <w:color w:val="auto"/>
              </w:rPr>
            </w:pPr>
          </w:p>
        </w:tc>
        <w:tc>
          <w:tcPr>
            <w:tcW w:w="660" w:type="dxa"/>
            <w:vAlign w:val="bottom"/>
            <w:tcBorders>
              <w:top w:val="single" w:sz="8" w:color="auto"/>
            </w:tcBorders>
            <w:gridSpan w:val="3"/>
          </w:tcPr>
          <w:p>
            <w:pPr>
              <w:jc w:val="right"/>
              <w:spacing w:after="0" w:line="169" w:lineRule="exact"/>
              <w:rPr>
                <w:sz w:val="20"/>
                <w:szCs w:val="20"/>
                <w:color w:val="auto"/>
              </w:rPr>
            </w:pPr>
            <w:r>
              <w:rPr>
                <w:rFonts w:ascii="Arial" w:cs="Arial" w:eastAsia="Arial" w:hAnsi="Arial"/>
                <w:sz w:val="18"/>
                <w:szCs w:val="18"/>
                <w:color w:val="0000EE"/>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4520" w:type="dxa"/>
            <w:vAlign w:val="bottom"/>
            <w:gridSpan w:val="15"/>
          </w:tcPr>
          <w:p>
            <w:pPr>
              <w:spacing w:after="0" w:line="196" w:lineRule="exact"/>
              <w:rPr>
                <w:sz w:val="20"/>
                <w:szCs w:val="20"/>
                <w:color w:val="auto"/>
              </w:rPr>
            </w:pPr>
            <w:r>
              <w:rPr>
                <w:rFonts w:ascii="Arial" w:cs="Arial" w:eastAsia="Arial" w:hAnsi="Arial"/>
                <w:sz w:val="18"/>
                <w:szCs w:val="18"/>
                <w:b w:val="1"/>
                <w:bCs w:val="1"/>
                <w:color w:val="0000EE"/>
                <w:w w:val="89"/>
              </w:rPr>
              <w:t>Condensed Consolidated Financial Statements (unaudited)</w:t>
            </w:r>
          </w:p>
        </w:tc>
        <w:tc>
          <w:tcPr>
            <w:tcW w:w="4920" w:type="dxa"/>
            <w:vAlign w:val="bottom"/>
            <w:gridSpan w:val="4"/>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10"/>
          </w:tcPr>
          <w:p>
            <w:pPr>
              <w:spacing w:after="0" w:line="196" w:lineRule="exact"/>
              <w:rPr>
                <w:sz w:val="20"/>
                <w:szCs w:val="20"/>
                <w:color w:val="auto"/>
              </w:rPr>
            </w:pPr>
            <w:r>
              <w:rPr>
                <w:rFonts w:ascii="Arial" w:cs="Arial" w:eastAsia="Arial" w:hAnsi="Arial"/>
                <w:sz w:val="18"/>
                <w:szCs w:val="18"/>
                <w:color w:val="0000EE"/>
                <w:w w:val="87"/>
              </w:rPr>
              <w:t>Condensed Consolidated Balance Sheets</w:t>
            </w:r>
          </w:p>
        </w:tc>
        <w:tc>
          <w:tcPr>
            <w:tcW w:w="1580" w:type="dxa"/>
            <w:vAlign w:val="bottom"/>
            <w:gridSpan w:val="5"/>
          </w:tcPr>
          <w:p>
            <w:pPr>
              <w:spacing w:after="0"/>
              <w:rPr>
                <w:sz w:val="17"/>
                <w:szCs w:val="17"/>
                <w:color w:val="auto"/>
              </w:rPr>
            </w:pPr>
          </w:p>
        </w:tc>
        <w:tc>
          <w:tcPr>
            <w:tcW w:w="4920" w:type="dxa"/>
            <w:vAlign w:val="bottom"/>
            <w:gridSpan w:val="4"/>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11"/>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w:t>
            </w:r>
          </w:p>
        </w:tc>
        <w:tc>
          <w:tcPr>
            <w:tcW w:w="5780" w:type="dxa"/>
            <w:vAlign w:val="bottom"/>
            <w:gridSpan w:val="8"/>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80" w:type="dxa"/>
            <w:vAlign w:val="bottom"/>
            <w:gridSpan w:val="14"/>
          </w:tcPr>
          <w:p>
            <w:pPr>
              <w:spacing w:after="0" w:line="196" w:lineRule="exact"/>
              <w:rPr>
                <w:sz w:val="20"/>
                <w:szCs w:val="20"/>
                <w:color w:val="auto"/>
              </w:rPr>
            </w:pPr>
            <w:r>
              <w:rPr>
                <w:rFonts w:ascii="Arial" w:cs="Arial" w:eastAsia="Arial" w:hAnsi="Arial"/>
                <w:sz w:val="18"/>
                <w:szCs w:val="18"/>
                <w:color w:val="0000EE"/>
                <w:w w:val="88"/>
              </w:rPr>
              <w:t>Condensed Consolidated Statements of Comprehensive Loss</w:t>
            </w:r>
          </w:p>
        </w:tc>
        <w:tc>
          <w:tcPr>
            <w:tcW w:w="506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80" w:type="dxa"/>
            <w:vAlign w:val="bottom"/>
            <w:gridSpan w:val="14"/>
          </w:tcPr>
          <w:p>
            <w:pPr>
              <w:spacing w:after="0" w:line="196" w:lineRule="exact"/>
              <w:rPr>
                <w:sz w:val="20"/>
                <w:szCs w:val="20"/>
                <w:color w:val="auto"/>
              </w:rPr>
            </w:pPr>
            <w:r>
              <w:rPr>
                <w:rFonts w:ascii="Arial" w:cs="Arial" w:eastAsia="Arial" w:hAnsi="Arial"/>
                <w:sz w:val="18"/>
                <w:szCs w:val="18"/>
                <w:color w:val="0000EE"/>
                <w:w w:val="89"/>
              </w:rPr>
              <w:t>Condensed Consolidated Statements of Stockholders’ Equity</w:t>
            </w:r>
          </w:p>
        </w:tc>
        <w:tc>
          <w:tcPr>
            <w:tcW w:w="506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Arial" w:cs="Arial" w:eastAsia="Arial" w:hAnsi="Arial"/>
                <w:sz w:val="18"/>
                <w:szCs w:val="18"/>
                <w:color w:val="0000EE"/>
                <w:w w:val="88"/>
              </w:rPr>
              <w:t>Condensed Consolidated Statements of Cash Flows</w:t>
            </w:r>
          </w:p>
        </w:tc>
        <w:tc>
          <w:tcPr>
            <w:tcW w:w="660" w:type="dxa"/>
            <w:vAlign w:val="bottom"/>
            <w:gridSpan w:val="2"/>
          </w:tcPr>
          <w:p>
            <w:pPr>
              <w:spacing w:after="0"/>
              <w:rPr>
                <w:sz w:val="17"/>
                <w:szCs w:val="17"/>
                <w:color w:val="auto"/>
              </w:rPr>
            </w:pPr>
          </w:p>
        </w:tc>
        <w:tc>
          <w:tcPr>
            <w:tcW w:w="506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60" w:type="dxa"/>
            <w:vAlign w:val="bottom"/>
            <w:gridSpan w:val="13"/>
          </w:tcPr>
          <w:p>
            <w:pPr>
              <w:spacing w:after="0" w:line="196" w:lineRule="exact"/>
              <w:rPr>
                <w:sz w:val="20"/>
                <w:szCs w:val="20"/>
                <w:color w:val="auto"/>
              </w:rPr>
            </w:pPr>
            <w:r>
              <w:rPr>
                <w:rFonts w:ascii="Arial" w:cs="Arial" w:eastAsia="Arial" w:hAnsi="Arial"/>
                <w:sz w:val="18"/>
                <w:szCs w:val="18"/>
                <w:color w:val="0000EE"/>
                <w:w w:val="88"/>
              </w:rPr>
              <w:t>Notes to the Condensed Consolidated Financial Statements</w:t>
            </w:r>
          </w:p>
        </w:tc>
        <w:tc>
          <w:tcPr>
            <w:tcW w:w="5180" w:type="dxa"/>
            <w:vAlign w:val="bottom"/>
            <w:gridSpan w:val="6"/>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944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Management</w:t>
            </w:r>
            <w:r>
              <w:rPr>
                <w:rFonts w:ascii="Arial" w:cs="Arial" w:eastAsia="Arial" w:hAnsi="Arial"/>
                <w:sz w:val="18"/>
                <w:szCs w:val="18"/>
                <w:color w:val="0000EE"/>
              </w:rPr>
              <w:t>’</w:t>
            </w:r>
            <w:r>
              <w:rPr>
                <w:rFonts w:ascii="Arial" w:cs="Arial" w:eastAsia="Arial" w:hAnsi="Arial"/>
                <w:sz w:val="18"/>
                <w:szCs w:val="18"/>
                <w:b w:val="1"/>
                <w:bCs w:val="1"/>
                <w:color w:val="0000EE"/>
              </w:rPr>
              <w:t>s Discussion and Analysis of Financial Condition and Results of Operations</w:t>
            </w:r>
          </w:p>
        </w:tc>
        <w:tc>
          <w:tcPr>
            <w:tcW w:w="6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684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b w:val="1"/>
                <w:bCs w:val="1"/>
                <w:color w:val="0000EE"/>
              </w:rPr>
              <w:t>Quantitative and Qualitative Disclosures About Market Risk</w:t>
            </w: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b w:val="1"/>
                <w:bCs w:val="1"/>
                <w:color w:val="0000EE"/>
                <w:w w:val="88"/>
              </w:rPr>
              <w:t>Controls and Procedures</w:t>
            </w:r>
          </w:p>
        </w:tc>
        <w:tc>
          <w:tcPr>
            <w:tcW w:w="2740" w:type="dxa"/>
            <w:vAlign w:val="bottom"/>
            <w:tcBorders>
              <w:top w:val="single" w:sz="8" w:color="0000EE"/>
            </w:tcBorders>
            <w:gridSpan w:val="9"/>
          </w:tcPr>
          <w:p>
            <w:pPr>
              <w:spacing w:after="0"/>
              <w:rPr>
                <w:sz w:val="17"/>
                <w:szCs w:val="17"/>
                <w:color w:val="auto"/>
              </w:rPr>
            </w:pPr>
          </w:p>
        </w:tc>
        <w:tc>
          <w:tcPr>
            <w:tcW w:w="47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944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Other Information</w:t>
            </w:r>
          </w:p>
        </w:tc>
        <w:tc>
          <w:tcPr>
            <w:tcW w:w="6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58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14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b w:val="1"/>
                <w:bCs w:val="1"/>
                <w:color w:val="0000EE"/>
                <w:w w:val="88"/>
              </w:rPr>
              <w:t>Legal Proceedings</w:t>
            </w:r>
          </w:p>
        </w:tc>
        <w:tc>
          <w:tcPr>
            <w:tcW w:w="800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b w:val="1"/>
                <w:bCs w:val="1"/>
                <w:color w:val="0000EE"/>
                <w:w w:val="88"/>
              </w:rPr>
              <w:t>Risk Factors</w:t>
            </w:r>
          </w:p>
        </w:tc>
        <w:tc>
          <w:tcPr>
            <w:tcW w:w="420" w:type="dxa"/>
            <w:vAlign w:val="bottom"/>
            <w:tcBorders>
              <w:top w:val="single" w:sz="8" w:color="0000EE"/>
            </w:tcBorders>
          </w:tcPr>
          <w:p>
            <w:pPr>
              <w:spacing w:after="0"/>
              <w:rPr>
                <w:sz w:val="17"/>
                <w:szCs w:val="17"/>
                <w:color w:val="auto"/>
              </w:rPr>
            </w:pPr>
          </w:p>
        </w:tc>
        <w:tc>
          <w:tcPr>
            <w:tcW w:w="804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944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Unregistered Sales of Equity Securities and Use of Proceeds</w:t>
            </w:r>
          </w:p>
        </w:tc>
        <w:tc>
          <w:tcPr>
            <w:tcW w:w="6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59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b w:val="1"/>
                <w:bCs w:val="1"/>
                <w:color w:val="0000EE"/>
              </w:rPr>
              <w:t>Defaults Upon Senior Securities</w:t>
            </w:r>
          </w:p>
        </w:tc>
        <w:tc>
          <w:tcPr>
            <w:tcW w:w="488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b w:val="1"/>
                <w:bCs w:val="1"/>
                <w:color w:val="0000EE"/>
                <w:w w:val="87"/>
              </w:rPr>
              <w:t>Mine Safety Disclosures</w:t>
            </w:r>
          </w:p>
        </w:tc>
        <w:tc>
          <w:tcPr>
            <w:tcW w:w="600" w:type="dxa"/>
            <w:vAlign w:val="bottom"/>
            <w:tcBorders>
              <w:top w:val="single" w:sz="8" w:color="0000EE"/>
            </w:tcBorders>
            <w:gridSpan w:val="2"/>
          </w:tcPr>
          <w:p>
            <w:pPr>
              <w:spacing w:after="0"/>
              <w:rPr>
                <w:sz w:val="17"/>
                <w:szCs w:val="17"/>
                <w:color w:val="auto"/>
              </w:rPr>
            </w:pPr>
          </w:p>
        </w:tc>
        <w:tc>
          <w:tcPr>
            <w:tcW w:w="700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5.</w:t>
            </w:r>
          </w:p>
        </w:tc>
        <w:tc>
          <w:tcPr>
            <w:tcW w:w="944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Other Information</w:t>
            </w:r>
          </w:p>
        </w:tc>
        <w:tc>
          <w:tcPr>
            <w:tcW w:w="6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EE"/>
              </w:rPr>
              <w:t>60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b w:val="1"/>
                <w:bCs w:val="1"/>
                <w:color w:val="0000EE"/>
              </w:rPr>
              <w:t>Exhibits</w:t>
            </w:r>
          </w:p>
        </w:tc>
        <w:tc>
          <w:tcPr>
            <w:tcW w:w="800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0000EE"/>
              </w:rPr>
              <w:t>Signatures</w:t>
            </w: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30,876</w:t>
            </w: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1"/>
              </w:rPr>
              <w:t>Accounts receivable, net of allowance of $13,102 and $11,997 as of September 30, 2022, and December</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31, 2021, respectively</w:t>
            </w: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40,876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46,918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2,737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to suppliers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3,758</w:t>
            </w:r>
          </w:p>
        </w:tc>
      </w:tr>
      <w:tr>
        <w:trPr>
          <w:trHeight w:val="209"/>
        </w:trPr>
        <w:tc>
          <w:tcPr>
            <w:tcW w:w="80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80,762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receivables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Severance pay funds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2,669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color w:val="auto"/>
              </w:rPr>
              <w:t>Total long-term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46,873</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120,626</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153,867</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Trade payables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6,093</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4,913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interest income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Warranty accrual</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Current portion of government assistance loans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31,215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77,325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payable</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Unearned interest income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Warranty accrual</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81,056</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112,271</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 (Note 8)</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1"/>
              </w:rPr>
              <w:t>Common Stock, $0.0001 par value: 300,000,000 shares authorized as of September 30, 2022 and December</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w w:val="92"/>
              </w:rPr>
              <w:t>31, 2021; 65,584,573 and 63,982,580 issued and outstanding as of September 30, 2022, and December 31,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2021, respectively</w:t>
            </w: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221,321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(214,188)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(180,405)</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120,626</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153,867</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5" w:right="339" w:bottom="1081"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81"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Leases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7,193</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12,634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29,490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33,958</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 and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39,030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24,563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75,211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72,988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Leases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2,938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7,444</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 and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7,257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25,029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21,731</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51,257</w:t>
            </w:r>
          </w:p>
        </w:tc>
      </w:tr>
      <w:tr>
        <w:trPr>
          <w:trHeight w:val="209"/>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26,743</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41,471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31,983</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Gain on forgiveness of government assistance loans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(2,775)</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61,956</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(11,425)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(5,389)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(25,987)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(10,699)</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Foreign exchange loss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2,489</w:t>
            </w: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4,046</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Loss on disposal of subsidiaries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(17,422)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(14,496)</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(33,644)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Net loss attributable to stockholders of the Company</w:t>
            </w:r>
          </w:p>
        </w:tc>
        <w:tc>
          <w:tcPr>
            <w:tcW w:w="240" w:type="dxa"/>
            <w:vAlign w:val="bottom"/>
          </w:tcPr>
          <w:p>
            <w:pPr>
              <w:spacing w:after="0"/>
              <w:rPr>
                <w:sz w:val="17"/>
                <w:szCs w:val="17"/>
                <w:color w:val="auto"/>
              </w:rPr>
            </w:pP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(14,605)</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(9,798)</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(33,783)</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(18,680)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960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649</w:t>
            </w: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(0.22)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(0.52)</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(0.35)</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Weighted-average number of shares used in per share calculation:</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65,255</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54,145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64,462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53,994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65,255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54,145</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64,462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53,994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5"/>
          <w:szCs w:val="15"/>
          <w:b w:val="1"/>
          <w:bCs w:val="1"/>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(14,496)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Loss attributable to stockholders of the Company</w:t>
            </w:r>
          </w:p>
        </w:tc>
        <w:tc>
          <w:tcPr>
            <w:tcW w:w="240" w:type="dxa"/>
            <w:vAlign w:val="bottom"/>
          </w:tcPr>
          <w:p>
            <w:pPr>
              <w:spacing w:after="0"/>
              <w:rPr>
                <w:sz w:val="17"/>
                <w:szCs w:val="17"/>
                <w:color w:val="auto"/>
              </w:rPr>
            </w:pP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(14,605)</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(9,798)</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(33,783)</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(18,680)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non-controlling interest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(14,496)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(8,838)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(33,644)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(18,031)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3880" w:type="dxa"/>
            <w:vAlign w:val="bottom"/>
          </w:tcPr>
          <w:p>
            <w:pPr>
              <w:spacing w:after="0"/>
              <w:rPr>
                <w:sz w:val="3"/>
                <w:szCs w:val="3"/>
                <w:color w:val="auto"/>
              </w:rPr>
            </w:pPr>
          </w:p>
        </w:tc>
        <w:tc>
          <w:tcPr>
            <w:tcW w:w="9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Series A</w:t>
            </w:r>
          </w:p>
        </w:tc>
        <w:tc>
          <w:tcPr>
            <w:tcW w:w="80" w:type="dxa"/>
            <w:vAlign w:val="bottom"/>
          </w:tcPr>
          <w:p>
            <w:pPr>
              <w:spacing w:after="0"/>
              <w:rPr>
                <w:sz w:val="3"/>
                <w:szCs w:val="3"/>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A</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86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3"/>
                <w:szCs w:val="3"/>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38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Preferred</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Preferred</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Paid-</w:t>
            </w:r>
          </w:p>
        </w:tc>
        <w:tc>
          <w:tcPr>
            <w:tcW w:w="1060" w:type="dxa"/>
            <w:vAlign w:val="bottom"/>
            <w:gridSpan w:val="4"/>
            <w:vMerge w:val="continue"/>
          </w:tcPr>
          <w:p>
            <w:pPr>
              <w:spacing w:after="0"/>
              <w:rPr>
                <w:sz w:val="12"/>
                <w:szCs w:val="12"/>
                <w:color w:val="auto"/>
              </w:rPr>
            </w:pPr>
          </w:p>
        </w:tc>
        <w:tc>
          <w:tcPr>
            <w:tcW w:w="9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in-Capital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 January 1, 2022</w:t>
            </w:r>
          </w:p>
        </w:tc>
        <w:tc>
          <w:tcPr>
            <w:tcW w:w="7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3,790,755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63,982,580</w:t>
            </w:r>
          </w:p>
        </w:tc>
        <w:tc>
          <w:tcPr>
            <w:tcW w:w="2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221,321</w:t>
            </w:r>
          </w:p>
        </w:tc>
        <w:tc>
          <w:tcPr>
            <w:tcW w:w="24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(180,405)</w:t>
            </w:r>
          </w:p>
        </w:tc>
        <w:tc>
          <w:tcPr>
            <w:tcW w:w="1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653</w:t>
            </w:r>
          </w:p>
        </w:tc>
        <w:tc>
          <w:tcPr>
            <w:tcW w:w="140" w:type="dxa"/>
            <w:vAlign w:val="bottom"/>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41,596</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9" w:lineRule="exact"/>
              <w:rPr>
                <w:sz w:val="20"/>
                <w:szCs w:val="20"/>
                <w:color w:val="auto"/>
              </w:rPr>
            </w:pPr>
            <w:r>
              <w:rPr>
                <w:rFonts w:ascii="Arial" w:cs="Arial" w:eastAsia="Arial" w:hAnsi="Arial"/>
                <w:sz w:val="14"/>
                <w:szCs w:val="14"/>
                <w:color w:val="auto"/>
              </w:rPr>
              <w:t>Options exercised</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16,464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loss — the Company</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(8,619)</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9" w:lineRule="exact"/>
              <w:rPr>
                <w:sz w:val="20"/>
                <w:szCs w:val="20"/>
                <w:color w:val="auto"/>
              </w:rPr>
            </w:pPr>
            <w:r>
              <w:rPr>
                <w:rFonts w:ascii="Arial" w:cs="Arial" w:eastAsia="Arial" w:hAnsi="Arial"/>
                <w:sz w:val="14"/>
                <w:szCs w:val="14"/>
                <w:color w:val="auto"/>
              </w:rPr>
              <w:t>Net loss — non-controlling interest</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bottom w:val="single" w:sz="8" w:color="CCEEFF"/>
            </w:tcBorders>
          </w:tcPr>
          <w:p>
            <w:pPr>
              <w:spacing w:after="0" w:line="142" w:lineRule="exact"/>
              <w:rPr>
                <w:sz w:val="20"/>
                <w:szCs w:val="20"/>
                <w:color w:val="auto"/>
              </w:rPr>
            </w:pPr>
            <w:r>
              <w:rPr>
                <w:rFonts w:ascii="Arial" w:cs="Arial" w:eastAsia="Arial" w:hAnsi="Arial"/>
                <w:sz w:val="14"/>
                <w:szCs w:val="14"/>
                <w:color w:val="auto"/>
              </w:rPr>
              <w:t>Balance — March 31, 2022</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3,790,755</w:t>
            </w:r>
          </w:p>
        </w:tc>
        <w:tc>
          <w:tcPr>
            <w:tcW w:w="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63,999,044</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27</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221,787</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(189,024)</w:t>
            </w:r>
          </w:p>
        </w:tc>
        <w:tc>
          <w:tcPr>
            <w:tcW w:w="1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636</w:t>
            </w: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33,426</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shd w:val="clear" w:color="auto" w:fill="CCEEFF"/>
          </w:tcPr>
          <w:p>
            <w:pPr>
              <w:ind w:left="180"/>
              <w:spacing w:after="0" w:line="129" w:lineRule="exact"/>
              <w:rPr>
                <w:sz w:val="20"/>
                <w:szCs w:val="20"/>
                <w:color w:val="auto"/>
              </w:rPr>
            </w:pPr>
            <w:r>
              <w:rPr>
                <w:rFonts w:ascii="Arial" w:cs="Arial" w:eastAsia="Arial" w:hAnsi="Arial"/>
                <w:sz w:val="14"/>
                <w:szCs w:val="14"/>
                <w:color w:val="auto"/>
              </w:rPr>
              <w:t>Net loss — the Company</w:t>
            </w:r>
          </w:p>
        </w:tc>
        <w:tc>
          <w:tcPr>
            <w:tcW w:w="900" w:type="dxa"/>
            <w:vAlign w:val="bottom"/>
            <w:gridSpan w:val="3"/>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4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(10,559)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(10,559)</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9" w:lineRule="exact"/>
              <w:rPr>
                <w:sz w:val="20"/>
                <w:szCs w:val="20"/>
                <w:color w:val="auto"/>
              </w:rPr>
            </w:pPr>
            <w:r>
              <w:rPr>
                <w:rFonts w:ascii="Arial" w:cs="Arial" w:eastAsia="Arial" w:hAnsi="Arial"/>
                <w:sz w:val="14"/>
                <w:szCs w:val="14"/>
                <w:color w:val="auto"/>
              </w:rPr>
              <w:t>Net income — non-controlling interest</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Equity issuance</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Dividends from subsidiaries</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bottom w:val="single" w:sz="8" w:color="CCEEFF"/>
            </w:tcBorders>
          </w:tcPr>
          <w:p>
            <w:pPr>
              <w:spacing w:after="0" w:line="142" w:lineRule="exact"/>
              <w:rPr>
                <w:sz w:val="20"/>
                <w:szCs w:val="20"/>
                <w:color w:val="auto"/>
              </w:rPr>
            </w:pPr>
            <w:r>
              <w:rPr>
                <w:rFonts w:ascii="Arial" w:cs="Arial" w:eastAsia="Arial" w:hAnsi="Arial"/>
                <w:sz w:val="14"/>
                <w:szCs w:val="14"/>
                <w:color w:val="auto"/>
              </w:rPr>
              <w:t>Balance — June 30, 2022</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3,790,755</w:t>
            </w:r>
          </w:p>
        </w:tc>
        <w:tc>
          <w:tcPr>
            <w:tcW w:w="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64,399,044</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27</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222,393</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(199,583)</w:t>
            </w:r>
          </w:p>
        </w:tc>
        <w:tc>
          <w:tcPr>
            <w:tcW w:w="1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559</w:t>
            </w: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23,396</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shd w:val="clear" w:color="auto" w:fill="CCEEFF"/>
          </w:tcPr>
          <w:p>
            <w:pPr>
              <w:ind w:left="180"/>
              <w:spacing w:after="0" w:line="129" w:lineRule="exact"/>
              <w:rPr>
                <w:sz w:val="20"/>
                <w:szCs w:val="20"/>
                <w:color w:val="auto"/>
              </w:rPr>
            </w:pPr>
            <w:r>
              <w:rPr>
                <w:rFonts w:ascii="Arial" w:cs="Arial" w:eastAsia="Arial" w:hAnsi="Arial"/>
                <w:sz w:val="14"/>
                <w:szCs w:val="14"/>
                <w:color w:val="auto"/>
              </w:rPr>
              <w:t>Net loss — the Company</w:t>
            </w:r>
          </w:p>
        </w:tc>
        <w:tc>
          <w:tcPr>
            <w:tcW w:w="900" w:type="dxa"/>
            <w:vAlign w:val="bottom"/>
            <w:gridSpan w:val="3"/>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4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(14,605)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(14,605)</w:t>
            </w:r>
          </w:p>
        </w:tc>
        <w:tc>
          <w:tcPr>
            <w:tcW w:w="0" w:type="dxa"/>
            <w:vAlign w:val="bottom"/>
          </w:tcPr>
          <w:p>
            <w:pPr>
              <w:spacing w:after="0"/>
              <w:rPr>
                <w:sz w:val="1"/>
                <w:szCs w:val="1"/>
                <w:color w:val="auto"/>
              </w:rPr>
            </w:pPr>
          </w:p>
        </w:tc>
      </w:tr>
      <w:tr>
        <w:trPr>
          <w:trHeight w:val="149"/>
        </w:trPr>
        <w:tc>
          <w:tcPr>
            <w:tcW w:w="3880" w:type="dxa"/>
            <w:vAlign w:val="bottom"/>
          </w:tcPr>
          <w:p>
            <w:pPr>
              <w:ind w:left="180"/>
              <w:spacing w:after="0" w:line="149" w:lineRule="exact"/>
              <w:rPr>
                <w:sz w:val="20"/>
                <w:szCs w:val="20"/>
                <w:color w:val="auto"/>
              </w:rPr>
            </w:pPr>
            <w:r>
              <w:rPr>
                <w:rFonts w:ascii="Arial" w:cs="Arial" w:eastAsia="Arial" w:hAnsi="Arial"/>
                <w:sz w:val="14"/>
                <w:szCs w:val="14"/>
                <w:color w:val="auto"/>
              </w:rPr>
              <w:t>Net income — non-controlling interest</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Equity issuance</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1,185,529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48"/>
        </w:trPr>
        <w:tc>
          <w:tcPr>
            <w:tcW w:w="388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Dividends from subsidiaries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bottom w:val="single" w:sz="8" w:color="CCEEFF"/>
            </w:tcBorders>
          </w:tcPr>
          <w:p>
            <w:pPr>
              <w:spacing w:after="0" w:line="142" w:lineRule="exact"/>
              <w:rPr>
                <w:sz w:val="20"/>
                <w:szCs w:val="20"/>
                <w:color w:val="auto"/>
              </w:rPr>
            </w:pPr>
            <w:r>
              <w:rPr>
                <w:rFonts w:ascii="Arial" w:cs="Arial" w:eastAsia="Arial" w:hAnsi="Arial"/>
                <w:sz w:val="14"/>
                <w:szCs w:val="14"/>
                <w:color w:val="auto"/>
              </w:rPr>
              <w:t>Balance — September 30, 2022</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3,790,755</w:t>
            </w:r>
          </w:p>
        </w:tc>
        <w:tc>
          <w:tcPr>
            <w:tcW w:w="20" w:type="dxa"/>
            <w:vAlign w:val="bottom"/>
            <w:tcBorders>
              <w:top w:val="single" w:sz="8" w:color="CCEEFF"/>
              <w:bottom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65,584,573</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27</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223,506</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(214,188)</w:t>
            </w:r>
          </w:p>
        </w:tc>
        <w:tc>
          <w:tcPr>
            <w:tcW w:w="1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668</w:t>
            </w: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10,013</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3900" w:type="dxa"/>
            <w:vAlign w:val="bottom"/>
          </w:tcPr>
          <w:p>
            <w:pPr>
              <w:spacing w:after="0"/>
              <w:rPr>
                <w:sz w:val="3"/>
                <w:szCs w:val="3"/>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Series A</w:t>
            </w:r>
          </w:p>
        </w:tc>
        <w:tc>
          <w:tcPr>
            <w:tcW w:w="80" w:type="dxa"/>
            <w:vAlign w:val="bottom"/>
          </w:tcPr>
          <w:p>
            <w:pPr>
              <w:spacing w:after="0"/>
              <w:rPr>
                <w:sz w:val="3"/>
                <w:szCs w:val="3"/>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A</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86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3"/>
                <w:szCs w:val="3"/>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39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Preferred</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9"/>
              </w:rPr>
              <w:t>Paid-</w:t>
            </w:r>
          </w:p>
        </w:tc>
        <w:tc>
          <w:tcPr>
            <w:tcW w:w="1040" w:type="dxa"/>
            <w:vAlign w:val="bottom"/>
            <w:gridSpan w:val="4"/>
            <w:vMerge w:val="continue"/>
          </w:tcPr>
          <w:p>
            <w:pPr>
              <w:spacing w:after="0"/>
              <w:rPr>
                <w:sz w:val="12"/>
                <w:szCs w:val="12"/>
                <w:color w:val="auto"/>
              </w:rPr>
            </w:pPr>
          </w:p>
        </w:tc>
        <w:tc>
          <w:tcPr>
            <w:tcW w:w="9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in-Capital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 January 1, 2021</w:t>
            </w:r>
          </w:p>
        </w:tc>
        <w:tc>
          <w:tcPr>
            <w:tcW w:w="88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53,551,126</w:t>
            </w:r>
          </w:p>
        </w:tc>
        <w:tc>
          <w:tcPr>
            <w:tcW w:w="2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201,598</w:t>
            </w:r>
          </w:p>
        </w:tc>
        <w:tc>
          <w:tcPr>
            <w:tcW w:w="22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(157,392)</w:t>
            </w:r>
          </w:p>
        </w:tc>
        <w:tc>
          <w:tcPr>
            <w:tcW w:w="1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(471)</w:t>
            </w:r>
          </w:p>
        </w:tc>
        <w:tc>
          <w:tcPr>
            <w:tcW w:w="140" w:type="dxa"/>
            <w:vAlign w:val="bottom"/>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43,761</w:t>
            </w:r>
          </w:p>
        </w:tc>
        <w:tc>
          <w:tcPr>
            <w:tcW w:w="0" w:type="dxa"/>
            <w:vAlign w:val="bottom"/>
          </w:tcPr>
          <w:p>
            <w:pPr>
              <w:spacing w:after="0"/>
              <w:rPr>
                <w:sz w:val="1"/>
                <w:szCs w:val="1"/>
                <w:color w:val="auto"/>
              </w:rPr>
            </w:pPr>
          </w:p>
        </w:tc>
      </w:tr>
      <w:tr>
        <w:trPr>
          <w:trHeight w:val="148"/>
        </w:trPr>
        <w:tc>
          <w:tcPr>
            <w:tcW w:w="3900" w:type="dxa"/>
            <w:vAlign w:val="bottom"/>
          </w:tcPr>
          <w:p>
            <w:pPr>
              <w:ind w:left="180"/>
              <w:spacing w:after="0" w:line="149" w:lineRule="exact"/>
              <w:rPr>
                <w:sz w:val="20"/>
                <w:szCs w:val="20"/>
                <w:color w:val="auto"/>
              </w:rPr>
            </w:pPr>
            <w:r>
              <w:rPr>
                <w:rFonts w:ascii="Arial" w:cs="Arial" w:eastAsia="Arial" w:hAnsi="Arial"/>
                <w:sz w:val="14"/>
                <w:szCs w:val="14"/>
                <w:color w:val="auto"/>
              </w:rPr>
              <w:t>December 2020 Public Offering warrants exercise</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361,200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Options exercised</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157,304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3900" w:type="dxa"/>
            <w:vAlign w:val="bottom"/>
          </w:tcPr>
          <w:p>
            <w:pPr>
              <w:ind w:left="180"/>
              <w:spacing w:after="0" w:line="149" w:lineRule="exact"/>
              <w:rPr>
                <w:sz w:val="20"/>
                <w:szCs w:val="20"/>
                <w:color w:val="auto"/>
              </w:rPr>
            </w:pPr>
            <w:r>
              <w:rPr>
                <w:rFonts w:ascii="Arial" w:cs="Arial" w:eastAsia="Arial" w:hAnsi="Arial"/>
                <w:sz w:val="14"/>
                <w:szCs w:val="14"/>
                <w:color w:val="auto"/>
              </w:rPr>
              <w:t>Net loss — the Company</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(9,259)</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loss — non-controlling interest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(176)</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8"/>
        </w:trPr>
        <w:tc>
          <w:tcPr>
            <w:tcW w:w="390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82"/>
        </w:trPr>
        <w:tc>
          <w:tcPr>
            <w:tcW w:w="39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 March 31, 2021</w:t>
            </w:r>
          </w:p>
        </w:tc>
        <w:tc>
          <w:tcPr>
            <w:tcW w:w="680" w:type="dxa"/>
            <w:vAlign w:val="bottom"/>
            <w:tcBorders>
              <w:top w:val="single" w:sz="8" w:color="auto"/>
              <w:bottom w:val="single" w:sz="8" w:color="auto"/>
            </w:tcBorders>
            <w:shd w:val="clear" w:color="auto" w:fill="CCEEFF"/>
          </w:tcPr>
          <w:p>
            <w:pPr>
              <w:ind w:left="520"/>
              <w:spacing w:after="0" w:line="129" w:lineRule="exact"/>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Arial" w:cs="Arial" w:eastAsia="Arial" w:hAnsi="Arial"/>
                <w:sz w:val="14"/>
                <w:szCs w:val="14"/>
                <w:color w:val="auto"/>
                <w:w w:val="85"/>
              </w:rPr>
              <w:t>—</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54,069,630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26</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203,221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(166,651)</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(647)</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35,949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900" w:type="dxa"/>
            <w:vAlign w:val="bottom"/>
          </w:tcPr>
          <w:p>
            <w:pPr>
              <w:ind w:left="180"/>
              <w:spacing w:after="0" w:line="129" w:lineRule="exact"/>
              <w:rPr>
                <w:sz w:val="20"/>
                <w:szCs w:val="20"/>
                <w:color w:val="auto"/>
              </w:rPr>
            </w:pPr>
            <w:r>
              <w:rPr>
                <w:rFonts w:ascii="Arial" w:cs="Arial" w:eastAsia="Arial" w:hAnsi="Arial"/>
                <w:sz w:val="14"/>
                <w:szCs w:val="14"/>
                <w:color w:val="auto"/>
              </w:rPr>
              <w:t>Options exercised</w:t>
            </w:r>
          </w:p>
        </w:tc>
        <w:tc>
          <w:tcPr>
            <w:tcW w:w="880" w:type="dxa"/>
            <w:vAlign w:val="bottom"/>
            <w:gridSpan w:val="2"/>
          </w:tcPr>
          <w:p>
            <w:pPr>
              <w:ind w:left="520"/>
              <w:spacing w:after="0" w:line="12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tcPr>
          <w:p>
            <w:pPr>
              <w:ind w:left="44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72,192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98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 — the Company</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48"/>
        </w:trPr>
        <w:tc>
          <w:tcPr>
            <w:tcW w:w="3900" w:type="dxa"/>
            <w:vAlign w:val="bottom"/>
          </w:tcPr>
          <w:p>
            <w:pPr>
              <w:ind w:left="180"/>
              <w:spacing w:after="0" w:line="149" w:lineRule="exact"/>
              <w:rPr>
                <w:sz w:val="20"/>
                <w:szCs w:val="20"/>
                <w:color w:val="auto"/>
              </w:rPr>
            </w:pPr>
            <w:r>
              <w:rPr>
                <w:rFonts w:ascii="Arial" w:cs="Arial" w:eastAsia="Arial" w:hAnsi="Arial"/>
                <w:sz w:val="14"/>
                <w:szCs w:val="14"/>
                <w:color w:val="auto"/>
              </w:rPr>
              <w:t>Net loss — non-controlling interest</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bottom w:val="single" w:sz="8" w:color="CCEEFF"/>
            </w:tcBorders>
          </w:tcPr>
          <w:p>
            <w:pPr>
              <w:spacing w:after="0" w:line="142" w:lineRule="exact"/>
              <w:rPr>
                <w:sz w:val="20"/>
                <w:szCs w:val="20"/>
                <w:color w:val="auto"/>
              </w:rPr>
            </w:pPr>
            <w:r>
              <w:rPr>
                <w:rFonts w:ascii="Arial" w:cs="Arial" w:eastAsia="Arial" w:hAnsi="Arial"/>
                <w:sz w:val="14"/>
                <w:szCs w:val="14"/>
                <w:color w:val="auto"/>
              </w:rPr>
              <w:t>Balance — June 30, 2021</w:t>
            </w:r>
          </w:p>
        </w:tc>
        <w:tc>
          <w:tcPr>
            <w:tcW w:w="680" w:type="dxa"/>
            <w:vAlign w:val="bottom"/>
            <w:tcBorders>
              <w:top w:val="single" w:sz="8" w:color="auto"/>
              <w:bottom w:val="single" w:sz="8" w:color="auto"/>
            </w:tcBorders>
          </w:tcPr>
          <w:p>
            <w:pPr>
              <w:ind w:left="520"/>
              <w:spacing w:after="0" w:line="129"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54,141,822</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26</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203,877</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(166,274)</w:t>
            </w:r>
          </w:p>
        </w:tc>
        <w:tc>
          <w:tcPr>
            <w:tcW w:w="1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(782)</w:t>
            </w: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36,847</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00" w:type="dxa"/>
            <w:vAlign w:val="bottom"/>
            <w:shd w:val="clear" w:color="auto" w:fill="CCEEFF"/>
          </w:tcPr>
          <w:p>
            <w:pPr>
              <w:ind w:left="180"/>
              <w:spacing w:after="0" w:line="129" w:lineRule="exact"/>
              <w:rPr>
                <w:sz w:val="20"/>
                <w:szCs w:val="20"/>
                <w:color w:val="auto"/>
              </w:rPr>
            </w:pPr>
            <w:r>
              <w:rPr>
                <w:rFonts w:ascii="Arial" w:cs="Arial" w:eastAsia="Arial" w:hAnsi="Arial"/>
                <w:sz w:val="14"/>
                <w:szCs w:val="14"/>
                <w:color w:val="auto"/>
              </w:rPr>
              <w:t>Options exercised</w:t>
            </w:r>
          </w:p>
        </w:tc>
        <w:tc>
          <w:tcPr>
            <w:tcW w:w="880" w:type="dxa"/>
            <w:vAlign w:val="bottom"/>
            <w:gridSpan w:val="2"/>
            <w:shd w:val="clear" w:color="auto" w:fill="CCEEFF"/>
          </w:tcPr>
          <w:p>
            <w:pPr>
              <w:ind w:left="520"/>
              <w:spacing w:after="0" w:line="12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40"/>
              <w:spacing w:after="0" w:line="12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16,147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3900" w:type="dxa"/>
            <w:vAlign w:val="bottom"/>
          </w:tcPr>
          <w:p>
            <w:pPr>
              <w:ind w:left="180"/>
              <w:spacing w:after="0" w:line="149" w:lineRule="exact"/>
              <w:rPr>
                <w:sz w:val="20"/>
                <w:szCs w:val="20"/>
                <w:color w:val="auto"/>
              </w:rPr>
            </w:pPr>
            <w:r>
              <w:rPr>
                <w:rFonts w:ascii="Arial" w:cs="Arial" w:eastAsia="Arial" w:hAnsi="Arial"/>
                <w:sz w:val="14"/>
                <w:szCs w:val="14"/>
                <w:color w:val="auto"/>
              </w:rPr>
              <w:t>Net loss — the Company</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(9,798)</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 — non-controlling interest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48"/>
        </w:trPr>
        <w:tc>
          <w:tcPr>
            <w:tcW w:w="3900" w:type="dxa"/>
            <w:vAlign w:val="bottom"/>
          </w:tcPr>
          <w:p>
            <w:pPr>
              <w:ind w:left="180"/>
              <w:spacing w:after="0" w:line="149" w:lineRule="exact"/>
              <w:rPr>
                <w:sz w:val="20"/>
                <w:szCs w:val="20"/>
                <w:color w:val="auto"/>
              </w:rPr>
            </w:pPr>
            <w:r>
              <w:rPr>
                <w:rFonts w:ascii="Arial" w:cs="Arial" w:eastAsia="Arial" w:hAnsi="Arial"/>
                <w:sz w:val="14"/>
                <w:szCs w:val="14"/>
                <w:color w:val="auto"/>
              </w:rPr>
              <w:t>Acquisition of non-controlling interest</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341</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Disposal of subsidiary</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8"/>
        </w:trPr>
        <w:tc>
          <w:tcPr>
            <w:tcW w:w="390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82"/>
        </w:trPr>
        <w:tc>
          <w:tcPr>
            <w:tcW w:w="39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 September 30, 2021</w:t>
            </w:r>
          </w:p>
        </w:tc>
        <w:tc>
          <w:tcPr>
            <w:tcW w:w="680" w:type="dxa"/>
            <w:vAlign w:val="bottom"/>
            <w:tcBorders>
              <w:top w:val="single" w:sz="8" w:color="auto"/>
              <w:bottom w:val="single" w:sz="8" w:color="auto"/>
            </w:tcBorders>
            <w:shd w:val="clear" w:color="auto" w:fill="CCEEFF"/>
          </w:tcPr>
          <w:p>
            <w:pPr>
              <w:ind w:left="520"/>
              <w:spacing w:after="0" w:line="129" w:lineRule="exact"/>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Arial" w:cs="Arial" w:eastAsia="Arial" w:hAnsi="Arial"/>
                <w:sz w:val="14"/>
                <w:szCs w:val="14"/>
                <w:color w:val="auto"/>
                <w:w w:val="85"/>
              </w:rPr>
              <w:t>—</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54,157,969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26</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204,094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(176,072)</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723</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28,771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5"/>
          <w:szCs w:val="15"/>
          <w:b w:val="1"/>
          <w:bCs w:val="1"/>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(33,644)</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(18,031)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Provision (recovery) for bad debt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5,912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inventory obsolescence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Finance expenses and accretion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recovery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Loss on disposal of subsidiary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forgiveness of government assistance loans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receivable short and long-term</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4,493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3,468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Advances to suppliers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current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long-term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Trade payables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(1,573)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expenses and other current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Severance pay funds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Unearned interest income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long-term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(23,573)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(19,370)</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Cash received from sale of subsidiary, net of cash relinquished</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net of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Exercises of 2020 December Public Offering Warrants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earn-out liability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Repayment of government assistance loans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options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Dividends from subsidiaries paid to non-controlling interest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DECREASE IN CASH AND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(24,099)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(18,516)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30,876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AND RESTRICTED CASH — End of period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6,777</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15,864</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2,885</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FINANCING INFORMATION:</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Common stock issuance costs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unless otherwise noted,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condensed consolidated financial statements, the “Company” and “Venus Concept”, refer to Venus Concept Inc. and its subsidiaries on a consolidated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had recurring net operating losses and negative cash flows from operations. As of September 30, 2022 and December 31, 2021, the Company had an accumulated deficit of $214,188 and $180,405, respectively. The Company was in compliance with all required covenants as of September 30, 2022, and December 31, 2021. The Company’s recurring losses from operations and negative cash flows raise substantial doubt about the Company’s ability to continue as a going concern within 12 months from the date that the unaudited condensed consolidated financial statements are issued. As of September 30, 2022, and for the nine months then ended management believes the impact of Covid-19 on our business has largely subsided, but we continue to closely monitor all Covid-19 developments including its impact on our customers, employees, suppliers, vendors, business partners, and distribution channels. In addition, the global economy, including the financial and credit markets, has recently experienced extreme volatility and disruptions, including increases to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On June 16, 2020, the Company entered into a purchase agreement (the "Equity Purchase Agreement") with Lincoln Park Capital Fund LLC ("Lincoln Park"), which provided that, upon the terms and subject to the conditions and limitations set forth therein, the Company may sell to Lincoln Park up to $31,000 worth of shares of its common stock from time to time over the two-year term of the agreement. Any shares of common stock sold to Lincoln Park will be sold at a purchase price that is based on the prevailing prices of the common stock at the time of each sale. During the nine months ended September 30, 2022, the Company raised net cash proceeds of $272 under the Equity Purchase Agreement as described below. The Equity Purchase Agreement expired on July 1, 2022. On July 12, 2022, the Company entered into a subsequent purchase agreement (the “2022 LPC Purchase Agreement”) with Lincoln Park, the details of which are described Note 14 below. In December 2021, the Company issued and sold to investors 9,808,418 shares of common stock, par value $0.0001 per share, and 3,790,755 shares of the convertible preferred stock, par value $0.0001 per share for the total gross proceeds of $16,999 (see “The 2021 Private Placement” in Note 14). In February 2021, several investors exercised an aggregate of 361,200 December 2020 Public Offering Warrants at the exercise price of $2.50 per share. The total proceeds received by the Company from the December 2020 Public Offering Warrants exercises were $903. Until the Company generates revenue at a level to support its cost structure, the Company expects to continue to incur substantial operating losses and net cash outflows from operating activities.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Given the economic uncertainty in U.S. and international markets,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unaudited condensed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Review of Subsidiaries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and nine months ended September 30, 2022, the Board of Directors of the Company (the "Board") made several strategic decisions to dissolve itself of underperforming direct sales offices in the countries which were not anticipated to produce sustainable results. As a part of this initiative, the Company has enacted a plan to dissolve its equity interests in Venus Concept Sucursal Colombia ("Venus Colombia"), a branch office of Venus Concept Canada Corp ("Venus Canada"), Venus Concept France SAS ("Venus France"), and Venus Concept Argentina SA ("Venus Argentina"). No divestitures have occurred during the three and nine months ended September 30, 2022 and no severance costs are expected to be incurred in association with the planned divestiture of Venus Colombia, Venus France, or Venus Argentina. The Company did recognize employee severance and retention cost associated with Venus Concept SL ("Venus Spain") totaling $126 during three and nine months ended September 30, 2022. The Company is also assessing lease exit costs associated with the planned divestiture of Venus France, which are expected to be immaterial. These disposals will not constitute a strategic shift that will have a major effect on the Company’s operations and financial results, therefore the results of operations and net assets of these subsidiaries are not reported as discontinued operations or held for sale, respectively, under the guidance of Accounting Standards Codification (“ASC”) 205-20-45.</w:t>
      </w:r>
    </w:p>
    <w:p>
      <w:pPr>
        <w:sectPr>
          <w:pgSz w:w="11900" w:h="16838" w:orient="portrait"/>
          <w:cols w:equalWidth="0" w:num="1">
            <w:col w:w="11240"/>
          </w:cols>
          <w:pgMar w:left="320" w:top="125" w:right="339" w:bottom="42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2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Venus Concept Inc. have been prepared in accordance with accounting principles generally accepted in the United States (“U.S. GAAP”) and with the instructions to Form 10-Q and Article 10 of Regulation S-X. Accordingly, they do not include all of the information and footnotes required by U.S. GAAP for complete financial statements. These unaudited condensed consolidated financial statements should be read in conjunction with the Company’s audited consolidated financial statements included in its Annual Report on Form 10-K for the year ended December 31, 2021, filed with the Securities and Exchange Commission (the “SEC”) on March 28, 2022. In the opinion of management, all adjustments (consisting only of normal recurring adjustments) considered necessary for fair presentation have been included. Operating results for the nine months ended September 30, 2022 are not necessarily indicative of the results that may be expected for the year ending December 31, 2022. For further information, refer to the consolidated financial statements and footnotes thereto included in Item 8 of the Company’s most recent Annual Report on Form 10-K.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Form 10-Q for the period ended March 31, 2021, filed with the SEC on May 17, 2021, in the Form 10-Q for the period ended June 30, 2021, filed with the SEC on August 17, 2021, in the form 10-Q for the period ended September 30, 2021, filed with the SEC on November 12, 2021 and in the Form 10-K for the year ended December 31, 2021, filed with the SEC on March 28, 2022, the revenue by geographic location, which is based on the product shipped to location, was presented incorrectly (see below). The Company corrected the presentation in the accompanying unaudited condensed consolidated financial statements for the periods presented (see Note 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Reclassification Adjustment</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9"/>
              </w:rPr>
              <w:t>Three Months Ended</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r>
      <w:tr>
        <w:trPr>
          <w:trHeight w:val="191"/>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6"/>
                <w:szCs w:val="16"/>
                <w:color w:val="auto"/>
              </w:rPr>
            </w:pPr>
          </w:p>
        </w:tc>
        <w:tc>
          <w:tcPr>
            <w:tcW w:w="11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2021</w:t>
            </w:r>
          </w:p>
        </w:tc>
        <w:tc>
          <w:tcPr>
            <w:tcW w:w="2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(703)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these unaudited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as of September 30, 2022 and through the date of this report filing. The accounting matters assessed included, but were not limited to, the allowance for doubtful accounts and the carrying value of intangible and long-lived assets.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reported in thousands within this report are computed based on the amounts in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policies the Company follows are set forth in the Company’s audited consolidated financial statements for fiscal year 2021. For further information, refer to the consolidated financial statements and footnotes thereto included in Item 8 of the Company’s most recent Annual Report on Form 10-K. There have been no material changes to these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within the meaning of the 1933 Act, as modified by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unaudited condensed consolidated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2021, the FASB issued ASU No. 2021-10, Government Assistance (Topic 832). The authoritative guidance intended to provide consistent and transparent disclosures around government assistance by requiring disclosures of the type of government assistance, our accounting for the government assistance and the effect on our financial statements. This guidance was effective for the Company for the year ended December 31, 2021. See Note 12 for more details regarding government assistance.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2021, the FASB issued ASU 2021-04, Earnings Per Share (Topic 260): Debt—Modifications and Extinguishments (Subtopic 470-50), Compensation—Stock Compensation (Topic 718), and Derivatives and Hedging—Contracts in Entity’s Own Equity (Subtopic 815-40)”, which clarifies and reduces diversity in an issuer’s accounting for a modification or an exchange of a freestanding equity-classified written call option that remains equity being classified after modification or exchange as (1) an adjustment to equity and, if so, the related earnings per share (EPS) effects, if any, or (2) an expense and, if so, the manner and pattern of recognition. This was effective for fiscal years beginning after December 15, 2021, and interim periods within those years. The adoption of the guidance did not have a material impact on the Company's unaudited condensed consolidated financial statements.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ASU 2019-12 – Income Taxes (Topic 740): Simplifying the Accounting for Income Taxes, an authoritative guidance that simplifies the accounting for income taxes by removing certain exceptions and making simplifications in other areas. It is effective from the first quarter of fiscal year 2022, with early adoption permitted in any interim period. The amendments have differing adoption methods including retrospectively, prospectively and/or modified retrospective basis through a cumulative-effect adjustment to retained earnings as of the beginning of the fiscal year of adoption, depending on the specific change. The adoption of the guidance did not have a material impact on the Company’s unaudited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2021, the Financial Accounting Standards Board (the “FASB”) issued Accounting Standards Update ("ASU") No. 2021-08, Business Combinations (Topic 805), Accounting for Contract Assets and Contract Liabilities from Contracts with Customers, which requires an entity (acquirer) to recognize and measure contract assets and liabilities acquired in a business combination in accordance with Topic 606, Revenue from Contracts with Customers. This update is effective for fiscal years beginning after December 15, 2022, and interim periods within those fiscal years, with early adoption permitted. The amendments should be applied prospectively to business combinations occurring on or after the effective date of the amendments. The Company is currently evaluating the impact the standard will have on its consolidated financial statements.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2020,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will require us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for the Company on January 1, 2024, with early adoption permitted. ASU No. 2020-06 can be adopted on either a fully retrospective or modified retrospective basis. The Company is currently assessing the impact of applying this guidance as well as when to adopt this guidance.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2020, the FASB issued a Staff Question-and-Answer Document (Q&amp;A): ASC Topic 842 and ASC Topic 840: Accounting for Lease Concessions Related to the Effects of the COVID-19 Pandemic, that focuses on the application of the lease guidance for lease concessions related solely to the effects of COVID-19. The FASB issued the guidelines to reduce the burden and complexity for companies to account for such lease concessions (e.g., rent abatements or other economic incentives) under current lease accounting rules due to COVID-19 by providing certain practical expedients that can be used. This guidance can be applied immediately.</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2020, the FASB issued Accounting Standards Update (“ASU”) 2020-04 - Facilitation of the Effects of Reference Rate Reform on Financial Reporting (ASC Topic 848). This authoritative guidance provides optional relief for companies preparing for the discontinuation of interest rates such as LIBOR, which was phased out at the end of calendar 2021, and applies to lease contracts, hedging instruments, held-to-maturity debt securities and debt arrangements that have LIBOR as the benchmark rate. This guidance can be applied for a limited time, as of the beginning of the interim period that includes March 12, 2020 or any date thereafter, through December 31, 2022. The guidance may no longer be applied after December 31, 2022. In January 2021, the FASB issued authoritative guidance that makes amendments to the new rules on accounting for reference rate reform. The amendments clarify that all derivative instruments affected by the changes to interest rates used for discounting, margining or contract price alignment, regardless of whether they reference LIBOR, or another rate expected to be discontinued as a result of reference rate reform, an entity may apply certain practical expedients in ASC Topic 848. The adoption of the guidance did not have a material impact on the Company’s unaudited condensed consolidated financial statements.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February 2020, the FASB issued authoritative guidance (ASU 2020-02 – Financial Instruments – Credit Losses (Topic 326) and Leases (Topic 842)) that amends and clarifies Topic 326 and Topic 842. For Topic 326, the codification was updated to include the SEC staff interpretations associated with registrants engaged in lending activities. ASC Topic 326 is effective for annual periods beginning after January 1, 2023, including interim periods within those fiscal years. The Company is currently evaluating the impact of applying this guidance on its financial instruments, such as accounts receivable.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and the weighted average number of shares used in computing basic and diluted net loss per share (in thousands, except per share data):</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2"/>
              </w:rPr>
              <w:t>Three Months Ended September</w:t>
            </w:r>
          </w:p>
        </w:tc>
        <w:tc>
          <w:tcPr>
            <w:tcW w:w="100" w:type="dxa"/>
            <w:vAlign w:val="bottom"/>
          </w:tcPr>
          <w:p>
            <w:pPr>
              <w:spacing w:after="0"/>
              <w:rPr>
                <w:sz w:val="18"/>
                <w:szCs w:val="18"/>
                <w:color w:val="auto"/>
              </w:rPr>
            </w:pPr>
          </w:p>
        </w:tc>
        <w:tc>
          <w:tcPr>
            <w:tcW w:w="26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9"/>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(14,496)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(8,838)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(33,644)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 allocated to stockholders of the Company</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(14,605)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(33,783)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Weighted-average shares of common stock outstanding used</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65,255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54,145</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64,462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53,994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 computing net loss per share, basic</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w w:val="90"/>
              </w:rPr>
              <w:t>Weighted-average shares of common stock outstanding used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in computing net loss per share, diluted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65,255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54,145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64,462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(0.52)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(0.22)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(0.52)</w:t>
            </w:r>
          </w:p>
        </w:tc>
        <w:tc>
          <w:tcPr>
            <w:tcW w:w="3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 presented because their effect would have been antidilutive: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Options to purchase common stock and restricted stock units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-107315</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Shares reserved for convertible notes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for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Total potential dilutive shares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88"/>
              </w:rPr>
              <w:t>September 30, 2022</w:t>
            </w:r>
          </w:p>
        </w:tc>
        <w:tc>
          <w:tcPr>
            <w:tcW w:w="17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7,483,514</w:t>
            </w:r>
          </w:p>
        </w:tc>
        <w:tc>
          <w:tcPr>
            <w:tcW w:w="200" w:type="dxa"/>
            <w:vAlign w:val="bottom"/>
          </w:tcPr>
          <w:p>
            <w:pPr>
              <w:spacing w:after="0"/>
              <w:rPr>
                <w:sz w:val="16"/>
                <w:szCs w:val="16"/>
                <w:color w:val="auto"/>
              </w:rPr>
            </w:pP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5,695,900</w:t>
            </w:r>
          </w:p>
        </w:tc>
      </w:tr>
      <w:tr>
        <w:trPr>
          <w:trHeight w:val="216"/>
        </w:trPr>
        <w:tc>
          <w:tcPr>
            <w:tcW w:w="1520" w:type="dxa"/>
            <w:vAlign w:val="bottom"/>
          </w:tcPr>
          <w:p>
            <w:pPr>
              <w:jc w:val="right"/>
              <w:spacing w:after="0"/>
              <w:rPr>
                <w:sz w:val="20"/>
                <w:szCs w:val="20"/>
                <w:color w:val="auto"/>
              </w:rPr>
            </w:pPr>
            <w:r>
              <w:rPr>
                <w:rFonts w:ascii="Arial" w:cs="Arial" w:eastAsia="Arial" w:hAnsi="Arial"/>
                <w:sz w:val="18"/>
                <w:szCs w:val="18"/>
                <w:color w:val="auto"/>
              </w:rPr>
              <w:t>3,790,755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spacing w:after="0"/>
              <w:rPr>
                <w:sz w:val="20"/>
                <w:szCs w:val="20"/>
                <w:color w:val="auto"/>
              </w:rPr>
            </w:pPr>
            <w:r>
              <w:rPr>
                <w:rFonts w:ascii="Arial" w:cs="Arial" w:eastAsia="Arial" w:hAnsi="Arial"/>
                <w:sz w:val="18"/>
                <w:szCs w:val="18"/>
                <w:color w:val="auto"/>
              </w:rPr>
              <w:t>8,213,880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8,213,880</w:t>
            </w:r>
          </w:p>
        </w:tc>
      </w:tr>
      <w:tr>
        <w:trPr>
          <w:trHeight w:val="230"/>
        </w:trPr>
        <w:tc>
          <w:tcPr>
            <w:tcW w:w="1520" w:type="dxa"/>
            <w:vAlign w:val="bottom"/>
          </w:tcPr>
          <w:p>
            <w:pPr>
              <w:jc w:val="right"/>
              <w:spacing w:after="0"/>
              <w:rPr>
                <w:sz w:val="20"/>
                <w:szCs w:val="20"/>
                <w:color w:val="auto"/>
              </w:rPr>
            </w:pPr>
            <w:r>
              <w:rPr>
                <w:rFonts w:ascii="Arial" w:cs="Arial" w:eastAsia="Arial" w:hAnsi="Arial"/>
                <w:sz w:val="18"/>
                <w:szCs w:val="18"/>
                <w:color w:val="auto"/>
              </w:rPr>
              <w:t>15,928,867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15,928,867</w:t>
            </w:r>
          </w:p>
        </w:tc>
      </w:tr>
      <w:tr>
        <w:trPr>
          <w:trHeight w:val="210"/>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35,417,016</w:t>
            </w:r>
          </w:p>
        </w:tc>
        <w:tc>
          <w:tcPr>
            <w:tcW w:w="2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29,838,647</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47" w:lineRule="exact"/>
        <w:rPr>
          <w:sz w:val="20"/>
          <w:szCs w:val="20"/>
          <w:color w:val="auto"/>
        </w:rPr>
      </w:pPr>
    </w:p>
    <w:p>
      <w:pPr>
        <w:sectPr>
          <w:pgSz w:w="11900" w:h="16838" w:orient="portrait"/>
          <w:cols w:equalWidth="0" w:num="2">
            <w:col w:w="6640" w:space="720"/>
            <w:col w:w="3880"/>
          </w:cols>
          <w:pgMar w:left="320" w:top="125" w:right="339" w:bottom="1440" w:gutter="0" w:footer="0" w:header="0"/>
          <w:type w:val="continuous"/>
        </w:sectPr>
      </w:pPr>
    </w:p>
    <w:p>
      <w:pPr>
        <w:spacing w:after="0" w:line="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 except for GIC which is at fair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financial instruments of the Company consist of cash and cash equivalents, restricted cash, accounts receivable, long-term receivables, lines of credit, trade payables, government assistance loans, accrued expenses and other current liabilities, other long-term liabilities and long-term debt. In view of their nature, the fair value of these financial instruments approximates their carrying amounts.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in markets that are not active, or other inputs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observable or can be corroborated by observable market data for substantially the full term of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Guaranteed investment certificates (“GIC”) are classified within Level 2 as the Company uses alternative pricing sources and models utilizing market observable inputs for valuation. The following tables set forth the fair value of the Company’s Level 1, Level 2 and Level 3 financial assets and liabilities within the fair value hierarchy: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GIC</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GIC</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Fair Value Measurements as of 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Significant</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in Active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Significant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Markets using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Observable</w:t>
            </w: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Identical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Inputs (Level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Inputs (Level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426"/>
        </w:trPr>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9"/>
        </w:trPr>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413"/>
        </w:trPr>
        <w:tc>
          <w:tcPr>
            <w:tcW w:w="1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0"/>
          </w:tcPr>
          <w:p>
            <w:pPr>
              <w:jc w:val="right"/>
              <w:ind w:right="690"/>
              <w:spacing w:after="0"/>
              <w:rPr>
                <w:sz w:val="20"/>
                <w:szCs w:val="20"/>
                <w:color w:val="auto"/>
              </w:rPr>
            </w:pPr>
            <w:r>
              <w:rPr>
                <w:rFonts w:ascii="Arial" w:cs="Arial" w:eastAsia="Arial" w:hAnsi="Arial"/>
                <w:sz w:val="18"/>
                <w:szCs w:val="18"/>
                <w:b w:val="1"/>
                <w:bCs w:val="1"/>
                <w:color w:val="auto"/>
              </w:rPr>
              <w:t>Fair Value Measurements as of December 31, 2021</w:t>
            </w:r>
          </w:p>
        </w:tc>
      </w:tr>
      <w:tr>
        <w:trPr>
          <w:trHeight w:val="191"/>
        </w:trPr>
        <w:tc>
          <w:tcPr>
            <w:tcW w:w="12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Significant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in Active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Significant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Markets using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Observable</w:t>
            </w: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Identical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Inputs (Level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Inputs (Level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426"/>
        </w:trPr>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9"/>
        </w:trPr>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-1868170</wp:posOffset>
            </wp:positionV>
            <wp:extent cx="641223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-1585595</wp:posOffset>
            </wp:positionV>
            <wp:extent cx="641223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-445135</wp:posOffset>
            </wp:positionV>
            <wp:extent cx="641223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-162560</wp:posOffset>
            </wp:positionV>
            <wp:extent cx="641223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720"/>
            <w:col w:w="6100"/>
          </w:cols>
          <w:pgMar w:left="320" w:top="125"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products may be sold under subscription agreements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financing receivable is a contractual right to receive money, on demand or on fixed or determinable dates, that is recognized as an asset on the Company's unaudited condensed consolidated balance sheets. The Company's financing receivables, consisting of sales-type leases, totaled $45,497 and $53,887 as of September 30, 2022 and December 31, 2021, respectively, and are included in accounts receivable and long-term receivables on the unaudited condensed consolidated balance sheets. The Company evaluates the credit quality of an obligor at lease inception and monitors credit quality over the term of the underlying transactions.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performed an assessment of the allowance for doubtful accounts as of September 30, 2022 and December 31, 2021. Based upon such assessment, the Company recorded an allowance for doubtful accounts totaling $13,102 and $11,997 as of September 30, 2022, and December 31, 2021,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A summary of the Company’s accounts receivables is presented below:</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86,625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Unearned income</w:t>
            </w:r>
          </w:p>
        </w:tc>
        <w:tc>
          <w:tcPr>
            <w:tcW w:w="1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(3,930)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(4,033)</w:t>
            </w: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(11,997)</w:t>
            </w: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60,199</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70,595</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78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Reported as:</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trade receivables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40,876</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46,918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unearned interest income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(2,678)</w:t>
            </w: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Long-term trade receivables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27,710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unearned interest income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(1,355)</w:t>
            </w: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60,199</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70,595</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 subscription agreements are reported as part of accounts receivable. The following are the contractual commitments, net of allowance for doubtful accounts, to be received by the Company over the next 5 years:</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7"/>
              </w:rPr>
              <w:t>September 30,</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Current financing receivables, net of allowance</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of $6,293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Long-term financing receivables, net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22,997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17,499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5,463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ind w:left="540"/>
              <w:spacing w:after="0"/>
              <w:rPr>
                <w:sz w:val="20"/>
                <w:szCs w:val="20"/>
                <w:color w:val="auto"/>
              </w:rPr>
            </w:pPr>
            <w:r>
              <w:rPr>
                <w:rFonts w:ascii="Arial" w:cs="Arial" w:eastAsia="Arial" w:hAnsi="Arial"/>
                <w:sz w:val="18"/>
                <w:szCs w:val="18"/>
                <w:color w:val="auto"/>
                <w:w w:val="79"/>
              </w:rPr>
              <w:t>35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80" w:type="dxa"/>
            <w:vAlign w:val="bottom"/>
            <w:gridSpan w:val="2"/>
          </w:tcPr>
          <w:p>
            <w:pPr>
              <w:spacing w:after="0"/>
              <w:rPr>
                <w:sz w:val="20"/>
                <w:szCs w:val="20"/>
                <w:color w:val="auto"/>
              </w:rPr>
            </w:pPr>
            <w:r>
              <w:rPr>
                <w:rFonts w:ascii="Arial" w:cs="Arial" w:eastAsia="Arial" w:hAnsi="Arial"/>
                <w:sz w:val="18"/>
                <w:szCs w:val="18"/>
                <w:color w:val="auto"/>
              </w:rPr>
              <w:t>allowance of $779</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35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the Company’s estimates and could be material to its unaudited condensed consolidated financial position, results of operations and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1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140" w:type="dxa"/>
            <w:vAlign w:val="bottom"/>
            <w:gridSpan w:val="3"/>
          </w:tcPr>
          <w:p>
            <w:pPr>
              <w:spacing w:after="0"/>
              <w:rPr>
                <w:sz w:val="20"/>
                <w:szCs w:val="20"/>
                <w:color w:val="auto"/>
              </w:rPr>
            </w:pPr>
            <w:r>
              <w:rPr>
                <w:rFonts w:ascii="Arial" w:cs="Arial" w:eastAsia="Arial" w:hAnsi="Arial"/>
                <w:sz w:val="18"/>
                <w:szCs w:val="18"/>
                <w:color w:val="auto"/>
              </w:rPr>
              <w:t>The allowance for doubtful accounts consisted of the following activity:</w:t>
            </w: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24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1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Recovery</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5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Balance at December 31, 2021</w:t>
            </w:r>
          </w:p>
        </w:tc>
        <w:tc>
          <w:tcPr>
            <w:tcW w:w="1920" w:type="dxa"/>
            <w:vAlign w:val="bottom"/>
            <w:tcBorders>
              <w:top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19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1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w:t>
            </w:r>
          </w:p>
        </w:tc>
        <w:tc>
          <w:tcPr>
            <w:tcW w:w="1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Balance at June 30, 2022</w:t>
            </w:r>
          </w:p>
        </w:tc>
        <w:tc>
          <w:tcPr>
            <w:tcW w:w="19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19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1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SELECT BALANCE SHEET AND STATEMENT OF OPERATIONS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Work-in-progress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Finished goods</w:t>
      </w:r>
    </w:p>
    <w:p>
      <w:pPr>
        <w:spacing w:after="0" w:line="4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195"/>
        </w:trPr>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2,275</w:t>
            </w:r>
          </w:p>
        </w:tc>
        <w:tc>
          <w:tcPr>
            <w:tcW w:w="18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2,368</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1,649</w:t>
            </w: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20,698</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16,526</w:t>
            </w:r>
          </w:p>
        </w:tc>
      </w:tr>
      <w:tr>
        <w:trPr>
          <w:trHeight w:val="210"/>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20,543</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440"/>
            <w:col w:w="3860"/>
          </w:cols>
          <w:pgMar w:left="320" w:top="108" w:right="339" w:bottom="1440" w:gutter="0" w:footer="0" w:header="0"/>
          <w:type w:val="continuous"/>
        </w:sectPr>
      </w:pP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Additions to inventory are primarily comprised of newly produced units and applicators, refurbishment cost from demonstration units and used equipment which were reacquired during the period from upgraded sales. The Company expensed $7,696 and $23,437 in cost of goods sold in the three and nine months ended September 30, 2022, respectively ($6,584 and $19,150 in cost of goods sold in the three and nine months ended September 30, 2021, respectively). The balance of cost of goods sold represents the sale of applicators, parts and warranties.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September 30, 2022 and December 31, 2021, a provision for obsolescence of $3,194 and $2,213 was taken against inventory,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48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880" w:type="dxa"/>
            <w:vAlign w:val="bottom"/>
            <w:gridSpan w:val="3"/>
          </w:tcPr>
          <w:p>
            <w:pPr>
              <w:spacing w:after="0"/>
              <w:rPr>
                <w:sz w:val="20"/>
                <w:szCs w:val="20"/>
                <w:color w:val="auto"/>
              </w:rPr>
            </w:pPr>
            <w:r>
              <w:rPr>
                <w:rFonts w:ascii="Arial" w:cs="Arial" w:eastAsia="Arial" w:hAnsi="Arial"/>
                <w:sz w:val="18"/>
                <w:szCs w:val="18"/>
                <w:color w:val="auto"/>
              </w:rPr>
              <w:t>Property and equipment, net consist of the following:</w:t>
            </w: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40" w:type="dxa"/>
            <w:vAlign w:val="bottom"/>
          </w:tcPr>
          <w:p>
            <w:pPr>
              <w:jc w:val="center"/>
              <w:ind w:left="690"/>
              <w:spacing w:after="0"/>
              <w:rPr>
                <w:sz w:val="20"/>
                <w:szCs w:val="20"/>
                <w:color w:val="auto"/>
              </w:rPr>
            </w:pPr>
            <w:r>
              <w:rPr>
                <w:rFonts w:ascii="Arial" w:cs="Arial" w:eastAsia="Arial" w:hAnsi="Arial"/>
                <w:sz w:val="18"/>
                <w:szCs w:val="18"/>
                <w:b w:val="1"/>
                <w:bCs w:val="1"/>
                <w:color w:val="auto"/>
                <w:w w:val="88"/>
              </w:rPr>
              <w:t>Useful Lives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40" w:type="dxa"/>
            <w:vAlign w:val="bottom"/>
          </w:tcPr>
          <w:p>
            <w:pPr>
              <w:jc w:val="center"/>
              <w:ind w:left="710"/>
              <w:spacing w:after="0"/>
              <w:rPr>
                <w:sz w:val="20"/>
                <w:szCs w:val="20"/>
                <w:color w:val="auto"/>
              </w:rPr>
            </w:pPr>
            <w:r>
              <w:rPr>
                <w:rFonts w:ascii="Arial" w:cs="Arial" w:eastAsia="Arial" w:hAnsi="Arial"/>
                <w:sz w:val="18"/>
                <w:szCs w:val="18"/>
                <w:b w:val="1"/>
                <w:bCs w:val="1"/>
                <w:color w:val="auto"/>
                <w:w w:val="89"/>
              </w:rPr>
              <w:t>(in years)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 equipment tooling and molds</w:t>
            </w:r>
          </w:p>
        </w:tc>
        <w:tc>
          <w:tcPr>
            <w:tcW w:w="224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91"/>
              </w:rPr>
              <w:t>4 – 10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Office furniture and equipment</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1"/>
              </w:rPr>
              <w:t>6 – 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up to 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Computers and software</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224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9"/>
              </w:rPr>
              <w:t>5 – 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Clinical Training Units</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2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13,845</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(11,665)</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(11,197)</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property and equipment, net</w:t>
            </w:r>
          </w:p>
        </w:tc>
        <w:tc>
          <w:tcPr>
            <w:tcW w:w="22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Depreciation expense amounted to $206 and $431 for the three months ended September 30, 2022 and 2021, respectively. Depreciation expense was $695 and $1,159 for the nine months ended September 30, 2022 and 2021,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520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Government remittances </w:t>
            </w:r>
            <w:r>
              <w:rPr>
                <w:rFonts w:ascii="Arial" w:cs="Arial" w:eastAsia="Arial" w:hAnsi="Arial"/>
                <w:sz w:val="24"/>
                <w:szCs w:val="24"/>
                <w:color w:val="auto"/>
                <w:vertAlign w:val="superscript"/>
              </w:rPr>
              <w:t>(1)</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Consideration receivable from sale of subsidiaries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Sundry assets and miscellaneous</w:t>
            </w:r>
          </w:p>
        </w:tc>
        <w:tc>
          <w:tcPr>
            <w:tcW w:w="1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current assets</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remittances are receivables from the local tax authorities for refunds of sales taxes and 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Accrued expenses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Commission accrual</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Sales and consumption taxes</w:t>
            </w:r>
          </w:p>
        </w:tc>
        <w:tc>
          <w:tcPr>
            <w:tcW w:w="2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accrued expenses and other current liabilities</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19,512</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438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jc w:val="right"/>
              <w:ind w:right="1590"/>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Accrual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the change in the Company’s warranty accrual: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period</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Warranties issued during the period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 during the period</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(1,117)</w:t>
            </w:r>
          </w:p>
        </w:tc>
      </w:tr>
      <w:tr>
        <w:trPr>
          <w:trHeight w:val="20"/>
        </w:trPr>
        <w:tc>
          <w:tcPr>
            <w:tcW w:w="58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800" w:type="dxa"/>
            <w:vAlign w:val="bottom"/>
            <w:gridSpan w:val="2"/>
          </w:tcPr>
          <w:p>
            <w:pPr>
              <w:ind w:left="560"/>
              <w:spacing w:after="0"/>
              <w:rPr>
                <w:sz w:val="20"/>
                <w:szCs w:val="20"/>
                <w:color w:val="auto"/>
              </w:rPr>
            </w:pPr>
            <w:r>
              <w:rPr>
                <w:rFonts w:ascii="Arial" w:cs="Arial" w:eastAsia="Arial" w:hAnsi="Arial"/>
                <w:sz w:val="18"/>
                <w:szCs w:val="18"/>
                <w:color w:val="auto"/>
              </w:rPr>
              <w:t>Balance at the end of the period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1,147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Long-term</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Finance Expenses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Three Months Ended September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5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Accretion on long-term debt and amortization of fees</w:t>
            </w: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197</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finance expenses</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of accumulated amortization and goodwill were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2"/>
              </w:rPr>
              <w:t>At September 30, 2022</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Gross Amount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Amortization</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Net Amount</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Brand</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(8,209)</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Supplier agreement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(1,391)</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12,795</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4"/>
              </w:rPr>
              <w:t>At December 31, 2021</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Gross 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Amortization</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Net Amount</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Brand</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Supplier agreement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15,393</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September 30, 2022 and 2021, amortization expense was $875 and $874, respectively. For the nine months ended September 30, 2022 and 2021, amortization expense was $2,598 and $2,597, respectively.</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100" w:type="dxa"/>
            <w:vAlign w:val="bottom"/>
            <w:gridSpan w:val="5"/>
          </w:tcPr>
          <w:p>
            <w:pPr>
              <w:spacing w:after="0"/>
              <w:rPr>
                <w:sz w:val="20"/>
                <w:szCs w:val="20"/>
                <w:color w:val="auto"/>
              </w:rPr>
            </w:pPr>
            <w:r>
              <w:rPr>
                <w:rFonts w:ascii="Arial" w:cs="Arial" w:eastAsia="Arial" w:hAnsi="Arial"/>
                <w:sz w:val="18"/>
                <w:szCs w:val="18"/>
                <w:color w:val="0000EE"/>
              </w:rPr>
              <w:t>Table of Contents</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100" w:type="dxa"/>
            <w:vAlign w:val="bottom"/>
            <w:gridSpan w:val="5"/>
          </w:tcPr>
          <w:p>
            <w:pPr>
              <w:spacing w:after="0"/>
              <w:rPr>
                <w:sz w:val="20"/>
                <w:szCs w:val="20"/>
                <w:color w:val="auto"/>
              </w:rPr>
            </w:pPr>
            <w:r>
              <w:rPr>
                <w:rFonts w:ascii="Arial" w:cs="Arial" w:eastAsia="Arial" w:hAnsi="Arial"/>
                <w:sz w:val="18"/>
                <w:szCs w:val="18"/>
                <w:color w:val="auto"/>
              </w:rPr>
              <w:t>Estimated amortization expense for the next five fiscal years and all years thereafter are as follows: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7540" w:type="dxa"/>
            <w:vAlign w:val="bottom"/>
            <w:gridSpan w:val="4"/>
          </w:tcPr>
          <w:p>
            <w:pPr>
              <w:spacing w:after="0"/>
              <w:rPr>
                <w:sz w:val="20"/>
                <w:szCs w:val="20"/>
                <w:color w:val="auto"/>
              </w:rPr>
            </w:pPr>
            <w:r>
              <w:rPr>
                <w:rFonts w:ascii="Arial" w:cs="Arial" w:eastAsia="Arial" w:hAnsi="Arial"/>
                <w:sz w:val="18"/>
                <w:szCs w:val="18"/>
                <w:b w:val="1"/>
                <w:bCs w:val="1"/>
                <w:color w:val="auto"/>
              </w:rPr>
              <w:t>Years ending December 31,</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38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2023</w:t>
            </w:r>
          </w:p>
        </w:tc>
        <w:tc>
          <w:tcPr>
            <w:tcW w:w="13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8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2025</w:t>
            </w:r>
          </w:p>
        </w:tc>
        <w:tc>
          <w:tcPr>
            <w:tcW w:w="13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38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9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various operating lease agreements, which expire on various dates.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recognizes rent expense on a straight-line basis over the non-cancellable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Aggregate future minimum lease payments, and service and purchase commitments with manufacturers as of September 30, 2022 are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Purchase and</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Service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Years ending December 31,</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Office Lease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Commitments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w:t>
            </w:r>
          </w:p>
        </w:tc>
        <w:tc>
          <w:tcPr>
            <w:tcW w:w="14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863</w:t>
            </w:r>
          </w:p>
        </w:tc>
        <w:tc>
          <w:tcPr>
            <w:tcW w:w="3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17,785</w:t>
            </w:r>
          </w:p>
        </w:tc>
        <w:tc>
          <w:tcPr>
            <w:tcW w:w="5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2023</w:t>
            </w: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2025</w:t>
            </w: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25,182</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total rent expense for all operating leases for the three months ended September 30, 2022 and 2021 was $637 and $528, respectively. The total rent expense for all operating leases for the nine months ended September 30, 2022 and 2021 was $1,950 and $1,623,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the Company has non-cancellable purchase orders placed with its contract manufacturers in the amount of $16,506. In addition, as of September 30, 2022, the Company had $5,119 of open purchase orders that can be cancelled with 270 days’ notice, except for a portion equal to 25% of the total amount representing the purchase of “long lead items”.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25, 2021, the Company entered into an endorsement agreement for the services of Venus Williams, four-time Olympic Gold Medalist, seven-time Grand Slam Champion and entrepreneur, pursuant to which Ms. Williams will act as a brand ambassador for Venus Bliss. The endorsement agreement expired on November 1,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Purported Shareholder Class Actions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2018 and 2019, four putative shareholder class action complaints were filed against Restoration Robotics, Inc., certain of its former officers and directors, certain of its venture capital investors, and the underwriters of the initial public offering (“IPO”). Two claims, captioned Wong v. Restoration Robotics, Inc., et al., No. 18CIV02609, and Li v. Restoration Robotics, Inc., et al., No. 19CIV08173 (together, the “State Actions”), were filed in the Superior Court of the State of California, County of San Mateo, and assert claims under Sections 11, 12(a)(2) and 15 of the 1933 Act. Two additional claims, captioned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1933 Act. The complaints in both the State Actions and Federal Actions alleged,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sought unspecified monetary damages, other equitable relief and attorneys’ fees and costs. A settlement in the Federal Actions was granted final approval in the District Court on September 9, 2021.</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State Actions, the Plaintiffs filed a consolidated amended complaint on January 17, 2020 seeking unspecified monetary damages, other equitable relief and attorneys’ fees and costs. Following the Delaware Supreme Court reversal of the Chancery Court’s decision in Sciabacucchi v. Salzberg which held that exclusive federal forum provisions are valid under Delaware law, the Company filed a renewed motion to dismiss based on its federal forum selection clause on March 30, 2020, which was granted as to the Company and the individual defendants on September 1, 2020 and a judgement of dismissal was entered by the Court on September 22, 2020. On November 23, 2020, plaintiff filed a notice of appeal of the Court’s order granting the renewed motion to dismiss. The court of appeal heard oral argument related to the appeal on April 20, 2022, and on April 28, 2022, issued its opinion affirming the trial court’s dismissal of the State Actions based on the federal forum selection clause. On June 7, 2022, Plaintiff-Appellant Wong petitioned the California Supreme Court to review the appellate court’s opinion. The Company filed its Response to Plaintiff-Appellant Wong’s petition on June 27, 2022, and Plaintiff-Appellant Wong filed a Reply in Support of the Petition For Review on July 7, 2022. On July 27, 2022, the California Supreme Court denied Plaintiff-Appellant Wong’s petition for review. Plaintiff-Appellant Wong’s deadline to seek review in the United States Supreme Court was October 25, 2022, but no petition for review has been filed.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11, 2019, a verified shareholder derivative complaint was filed in the United States District Court for the Northern District of California, captioned Mason v. Rhodes, No. 5:19-cv-03997-NC. The complaint alleges that certain of Restoration Robotics’ former officers and directors breached their fiduciary duties, have been unjustly enriched and violated Section 14(a) of the 1934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On June 21, 2021, the District Court granted the parties’ further stipulation to stay the Mason action and the case remains stayed.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MAIN STREET TERM LOAN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8, 2020,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December 31, 2021, the Company was in compliance with all required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scheduled payments on the outstanding borrowings as of September 30, 2022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5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2023</w:t>
            </w:r>
          </w:p>
        </w:tc>
        <w:tc>
          <w:tcPr>
            <w:tcW w:w="5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10,948</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9,314</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2025</w:t>
            </w:r>
          </w:p>
        </w:tc>
        <w:tc>
          <w:tcPr>
            <w:tcW w:w="59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39,580</w:t>
            </w:r>
          </w:p>
        </w:tc>
        <w:tc>
          <w:tcPr>
            <w:tcW w:w="100" w:type="dxa"/>
            <w:vAlign w:val="bottom"/>
          </w:tcPr>
          <w:p>
            <w:pPr>
              <w:spacing w:after="0"/>
              <w:rPr>
                <w:sz w:val="18"/>
                <w:szCs w:val="18"/>
                <w:color w:val="auto"/>
              </w:rPr>
            </w:pPr>
          </w:p>
        </w:tc>
      </w:tr>
      <w:tr>
        <w:trPr>
          <w:trHeight w:val="249"/>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60,623</w:t>
            </w:r>
          </w:p>
        </w:tc>
      </w:tr>
      <w:tr>
        <w:trPr>
          <w:trHeight w:val="628"/>
        </w:trPr>
        <w:tc>
          <w:tcPr>
            <w:tcW w:w="3760" w:type="dxa"/>
            <w:vAlign w:val="bottom"/>
            <w:tcBorders>
              <w:top w:val="single" w:sz="8" w:color="CCEEFF"/>
            </w:tcBorders>
          </w:tcPr>
          <w:p>
            <w:pPr>
              <w:spacing w:after="0"/>
              <w:rPr>
                <w:sz w:val="24"/>
                <w:szCs w:val="24"/>
                <w:color w:val="auto"/>
              </w:rPr>
            </w:pPr>
          </w:p>
        </w:tc>
        <w:tc>
          <w:tcPr>
            <w:tcW w:w="5920" w:type="dxa"/>
            <w:vAlign w:val="bottom"/>
            <w:tcBorders>
              <w:top w:val="single" w:sz="8" w:color="CCEEFF"/>
            </w:tcBorders>
          </w:tcPr>
          <w:p>
            <w:pPr>
              <w:jc w:val="right"/>
              <w:ind w:right="3870"/>
              <w:spacing w:after="0"/>
              <w:rPr>
                <w:sz w:val="20"/>
                <w:szCs w:val="20"/>
                <w:color w:val="auto"/>
              </w:rPr>
            </w:pPr>
            <w:r>
              <w:rPr>
                <w:rFonts w:ascii="Arial" w:cs="Arial" w:eastAsia="Arial" w:hAnsi="Arial"/>
                <w:sz w:val="18"/>
                <w:szCs w:val="18"/>
                <w:color w:val="auto"/>
              </w:rPr>
              <w:t>19</w:t>
            </w: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59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MADRYN LONG-TERM DEBT AND CONVERTIBLE NOTES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11, 2016, Venus Concept Ltd., a wholly owned subsidiary of the Company ("Venus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Ltd.’s subsidiaries (the “Subsidiary Obligors”). The Madryn Credit Agreement was comprised of four tranches of debt aggregating $70,000. As of September 30, 2020, the Subsidiary Obligors had borrowed $60,000 under the term A-1 and A-2 and B tranches of the Madryn Credit Agreement. Borrowings under the Madryn Credit Agreement were secured by substantially all of the Company’s assets and the assets of the Subsidiary Obligors. On the 24th payment date, which was September 30, 2022, the aggregate outstanding principal amount of the loans, together with any accrued and unpaid interest thereon and all other amounts due and owing under the loan agreement were to become due and payable in full. The Madryn Credit Agreement was terminated effective December 9, 2020 upon the funding and closing of the MSLP Loan as discussed below.</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9, 2020, contemporaneously with the MSLP Loan Agreement (Note 9), the Company and its subsidiaries, Venus Concept USA, Inc., a Delaware corporation (“Venus USA”), Venus Canada, Venus Ltd., and the Madryn Noteholders (as defined below), entered into a Securities Exchange Agreement (the “Exchange Agreement”) dated as of December 8, 2020, pursuant to which the Company (i) repaid $42,500 aggregate principal amount owed under the Madryn Credit Agreement, and (ii) issued, to the Madryn Health Partners (Cayman Master), LP and Madryn Health Partners, LP (together the “Madryn Noteholders”) secured subordinated convertible notes in the aggregate principal amount of $26,695 (the “Notes”). The Madryn Credit Agreement was terminated effective December 9, 2020 upon the funding and closing of the MSLP Loan and the issuance of the Notes.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Notes will accrue interest at a rate of 8.0% per annum from the date of original issuance of the Notes to the third anniversary date of the original issuance and thereafter interest will accrue at a rate of 6.0% per annum. Under certain circumstances, in the case of an event of default under the Notes, the then-applicable interest rate will increase by 4.0% per annum. Interest is payable quarterly in arrears on the last business day of each calendar quarter of each year after the original issuance date, beginning on December 31, 2020. The Notes will mature on December 9, 2025, unless earlier redeemed or converted. In connection with the Exchange Agreement, the Company also entered into, by and among the Company, Venus USA, Venus Canada, Venus Ltd., and the Madryn Noteholders, (i) a Guaranty and Security Agreement dated as of December 9, 2020 (the "Madryn Security Agreement"), pursuant to which the Company agreed to grant Madryn a security interest in substantially all of its assets to secure the obligations under the Notes and (ii) a Subordination of Debt Agreement dated as of December 9, 2020 (the "CNB Subordination Agreement"). The security interests and liens granted to the Madryn Noteholders under the Madryn Security Agreement will terminate upon the earlier of (i) an assignment of the Notes (other than to an affiliate of the Madryn Noteholders) pursuant to the terms of the Exchange Agreement and (ii) the first date on which the outstanding principal amount of the Notes is less than $10,000. Obligations under the Notes are secured by substantially all of the assets of Venus Concept Inc. and its subsidiaries party to the Madryn Security Agreement. The Company’s obligations under the Notes and the security interests and liens created by the Madryn Security Agreement are subordinated to the Company’s indebtedness owing to CNB (including, but not limited, pursuant to the MSLP Loan Agreement (Note 9) and the CNB Loan Agreement, (Note 11)) and any security interests and liens which secure such indebtedness owing to CNB. The Notes are convertible at any time into shares of the Company’s common stock, par value $0.0001 per share, calculated by dividing the outstanding principal amount of the Notes (and any accrued and unpaid interest under the Notes) by the initial conversion price of $3.25 per share. In connection with the Notes, the Company recognized interest expense of $546 during the three months ended September 30, 2022 and 2021, respectively. The Company recognized interest expense of $1,086 and $1,613 during the nine months ended September 30, 2022 and 2021, respectively. The conversion feature, providing the Madryn Noteholders with a right to receive the Company’s shares upon conversion of the Notes, was qualified for a scope exception in ASC 815-10-15 and did not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September 30, 2022, and December 31, 2021, therefore a nominal value was allocated to the underlying embedded derivative liabilities as of September 30, 2022, and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The scheduled payments on the outstanding borrowings as of September 30, 2022 are as follows:</w:t>
            </w:r>
          </w:p>
        </w:tc>
        <w:tc>
          <w:tcPr>
            <w:tcW w:w="1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2023</w:t>
            </w: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2,131</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2025</w:t>
            </w:r>
          </w:p>
        </w:tc>
        <w:tc>
          <w:tcPr>
            <w:tcW w:w="13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28,217</w:t>
            </w:r>
          </w:p>
        </w:tc>
        <w:tc>
          <w:tcPr>
            <w:tcW w:w="100" w:type="dxa"/>
            <w:vAlign w:val="bottom"/>
          </w:tcPr>
          <w:p>
            <w:pPr>
              <w:spacing w:after="0"/>
              <w:rPr>
                <w:sz w:val="18"/>
                <w:szCs w:val="18"/>
                <w:color w:val="auto"/>
              </w:rPr>
            </w:pPr>
          </w:p>
        </w:tc>
      </w:tr>
      <w:tr>
        <w:trPr>
          <w:trHeight w:val="24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2022, the Company did not make any principal repayments.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29, 2018, Venus Ltd. entered into an Amended and Restated Loan Agreement as a guarantor with CNB, as amended on March 20, 2020, December 9, 2020 and August 26, 2021 (the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August 29, 2018, as amended on March 20, 2020, December 9, 2020 and August 26, 2021 (the “CNB Guaranty”), pursuant to which Venus Ltd. agreed to guaranty the obligations of its subsidiaries under the CNB Loan Agreement. On March 20, 2020, the Company also entered into a Security Agreement with CNB (the “CNB Security Agreement”), as amended on December 9, 2020 and August 26, 2021, pursuant to which it agreed to grant CNB a security interest in substantially all of our assets to secure the obligations under the CNB Loan Agreement.</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fails to comply with these covenants, it will result in a default and require the Company to repay all outstanding principal amounts and any accrued interest. In connection with the CNB Loan Agreement, a loan fee of $1,000 was paid in equal installments on January 25, February 25 and March 25, 2021.</w:t>
      </w:r>
    </w:p>
    <w:p>
      <w:pPr>
        <w:spacing w:after="0" w:line="1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26, 2021, the Company, Venus USA and Venus Canada entered into a Fourth Amended and Restated Loan Agreement (the “Amended CNB Loan Agreement”) with CNB, pursuant to which, among other things, (i) the maximum principal amount the revolving credit facility was reduced from $10,000 to $5,000 at the LIBOR 30-Day rate plus 3.25%, subject to a minimum LIBOR rate floor of 0.50%, and (ii) beginning December 10, 2021, the cash deposit requirement was reduced from $3,000 to $1,500, to be maintained with CNB at all times during the term of the Amended CNB Loan Agreement. The Amended CNB Loan Agreement is secured by substantially all of the Company’s assets and the assets of certain of its subsidiaries.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and December 31, 2021, the Company was in compliance with all required covenants. An event of default under this agreement would cause a default under the MSLP Loan (see Note 9).</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Amended CNB Loan Agreement, the Company, Venus USA and Venus Canada issued a promissory note dated August 26, 2021, in favor of CNB (the “CNB Note”) in the amount of $5,000 with a maturity date of July 24, 2023 and the obligations of the Company pursuant to certain of the Company’s outstanding promissory notes were reaffirmed as subordinated to the indebtedness of the Company owing to CNB pursuant to a Supplement to Subordination of Debt Agreements dated as of August 26, 2021 (the “Subordination Supplement”) by and among Madryn Health Partners, LP, Madryn Health Partners (Cayman Master), LP, the Company and CNB.</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GOVERNMENT ASSISTANCE PROGRAMS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Venus Concept Inc. and Venus USA, received funding in the total amount of $4,048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Venus Concept Inc. entered into a U.S. Small Business Administration Note dated as of April 21, 2020 in favor of CNB pursuant to which the Company borrowed $1,665 original principal amount, which was funded on April 29, 2020 (the “Venus Concept PPP Loan”). The Venus Concept PPP Loan bears interest at 1% per annum and matures in two years from the date of disbursement of funds under the loan.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Venus USA entered into a U.S. Small Business Administration Note dated as of April 15, 2020 in favor of CNB. Venus USA borrowed $2,383 original principal amount, which was funded on April 20, 2020 (the “Venus USA PPP Loan” and together with the Venus Concept PPP Loan, individually each a “PPP Loan” and collectively, the “PPP Loans”). The terms of the Venus USA PPP Loan were substantially similar to the terms of the Venus Concept PPP Loan.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Venus Concept PPP Loan contained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2021, through CNB, the Company applied for and received partial forgiveness of the Venus USA PPP Loan in the amount of $1,689 and the Venus Concept PPP Loan in the amount of $1,086. The Company repaid $407 during the three months ended March 31, 2022, and the remaining portion of the</w:t>
      </w:r>
    </w:p>
    <w:p>
      <w:pPr>
        <w:ind w:firstLine="8"/>
        <w:spacing w:after="0" w:line="290" w:lineRule="auto"/>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Loans in the amount of $136 was fully repaid in April 2022. As of September 30, 2022, the Company had $nil outstanding under the PPP Loans ($543 as of December 31,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 RESERVED FOR ISSUANCE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required to reserve and keep available out of its authorized but unissued shares of common stock a number of shares sufficient to affect the exercise of all options granted and available for grant under the incentive plans, warrants to purchase common stock and preferred shares which are convertible to common stock.</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September 30, 2022</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December 31, 2021</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Outstanding common stock warrants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15,928,867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15,928,867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Outstanding stock options and RSUs</w:t>
            </w:r>
          </w:p>
        </w:tc>
        <w:tc>
          <w:tcPr>
            <w:tcW w:w="1520" w:type="dxa"/>
            <w:vAlign w:val="bottom"/>
          </w:tcPr>
          <w:p>
            <w:pPr>
              <w:jc w:val="right"/>
              <w:spacing w:after="0"/>
              <w:rPr>
                <w:sz w:val="20"/>
                <w:szCs w:val="20"/>
                <w:color w:val="auto"/>
              </w:rPr>
            </w:pPr>
            <w:r>
              <w:rPr>
                <w:rFonts w:ascii="Arial" w:cs="Arial" w:eastAsia="Arial" w:hAnsi="Arial"/>
                <w:sz w:val="18"/>
                <w:szCs w:val="18"/>
                <w:color w:val="auto"/>
              </w:rPr>
              <w:t>7,483,514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5,977,179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3,790,755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3,790,755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Shares reserved for conversion of future preferred share issuance</w:t>
            </w:r>
          </w:p>
        </w:tc>
        <w:tc>
          <w:tcPr>
            <w:tcW w:w="1520" w:type="dxa"/>
            <w:vAlign w:val="bottom"/>
          </w:tcPr>
          <w:p>
            <w:pPr>
              <w:jc w:val="right"/>
              <w:spacing w:after="0"/>
              <w:rPr>
                <w:sz w:val="20"/>
                <w:szCs w:val="20"/>
                <w:color w:val="auto"/>
              </w:rPr>
            </w:pPr>
            <w:r>
              <w:rPr>
                <w:rFonts w:ascii="Arial" w:cs="Arial" w:eastAsia="Arial" w:hAnsi="Arial"/>
                <w:sz w:val="18"/>
                <w:szCs w:val="18"/>
                <w:color w:val="auto"/>
              </w:rPr>
              <w:t>1,209,245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1,209,245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future option grants and RSUs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1,624,130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589,064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Shares reserved for Lincoln Park</w:t>
            </w:r>
          </w:p>
        </w:tc>
        <w:tc>
          <w:tcPr>
            <w:tcW w:w="1520" w:type="dxa"/>
            <w:vAlign w:val="bottom"/>
          </w:tcPr>
          <w:p>
            <w:pPr>
              <w:jc w:val="right"/>
              <w:spacing w:after="0"/>
              <w:rPr>
                <w:sz w:val="20"/>
                <w:szCs w:val="20"/>
                <w:color w:val="auto"/>
              </w:rPr>
            </w:pPr>
            <w:r>
              <w:rPr>
                <w:rFonts w:ascii="Arial" w:cs="Arial" w:eastAsia="Arial" w:hAnsi="Arial"/>
                <w:sz w:val="18"/>
                <w:szCs w:val="18"/>
                <w:color w:val="auto"/>
              </w:rPr>
              <w:t>21,814,471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5,222,867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 for Madryn Noteholders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8,213,880</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8,213,880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Total common stock reserved for issuance</w:t>
            </w:r>
          </w:p>
        </w:tc>
        <w:tc>
          <w:tcPr>
            <w:tcW w:w="1520" w:type="dxa"/>
            <w:vAlign w:val="bottom"/>
          </w:tcPr>
          <w:p>
            <w:pPr>
              <w:jc w:val="right"/>
              <w:spacing w:after="0"/>
              <w:rPr>
                <w:sz w:val="20"/>
                <w:szCs w:val="20"/>
                <w:color w:val="auto"/>
              </w:rPr>
            </w:pPr>
            <w:r>
              <w:rPr>
                <w:rFonts w:ascii="Arial" w:cs="Arial" w:eastAsia="Arial" w:hAnsi="Arial"/>
                <w:sz w:val="18"/>
                <w:szCs w:val="18"/>
                <w:color w:val="auto"/>
              </w:rPr>
              <w:t>60,064,862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40,931,857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confers upon its holders the following rights:</w:t>
      </w:r>
    </w:p>
    <w:p>
      <w:pPr>
        <w:spacing w:after="0" w:line="225" w:lineRule="exact"/>
        <w:rPr>
          <w:sz w:val="20"/>
          <w:szCs w:val="20"/>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70" w:lineRule="exact"/>
        <w:rPr>
          <w:rFonts w:ascii="Arial" w:cs="Arial" w:eastAsia="Arial" w:hAnsi="Arial"/>
          <w:sz w:val="18"/>
          <w:szCs w:val="18"/>
          <w:color w:val="auto"/>
        </w:rPr>
      </w:pPr>
    </w:p>
    <w:p>
      <w:pPr>
        <w:ind w:left="5540" w:right="260" w:hanging="4884"/>
        <w:spacing w:after="0" w:line="527" w:lineRule="auto"/>
        <w:tabs>
          <w:tab w:leader="none" w:pos="98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 to a share in the distribution of the Company’s excess assets upon liquidation pro rata to the par value of the shares held by them.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Purchase Agreement with Lincoln Park</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16, 2020, the Company entered into the Equity Purchase Agreement with Lincoln Park, which provides that, upon the terms and subject to the conditions and limitations set forth therein, the Company may 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7,763,411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with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commencement to expiry on July 1, 2022, the Company issued and sold to Lincoln Park 3,437,521 shares of its common stock at an average price of $2.70 per share, and 209,566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at inception and were amortized into consolidated statements of stockholders’ equity proportionally based on proceeds received during the term of the Equity Purchase Agreement. In 2022, the Company issued 400,000 shares of its common stock and the proceeds from common stock issuances as of September 30, 2022 were $272, with no issuance costs. The proceeds in the amount of $272 were recorded in the condensed consolidated statements of cash flows as net cash proceeds from issuance of common stock. The Equity Purchase Agreement expired on July 1, 2022, and was replaced with the 2022 LPC Purchase Agreement discussed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LPC Purchase Agreement with Lincoln Park</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July 12, 2022, the Company entered into a new equity agreement with Lincoln Park (the "2022 LPC Purchase Agreement"), as the Equity Purchase Agreement expired on July 1, 2022. The 2022 LPC Purchase Agreement provides that, upon the terms and subject to the conditions and limitations set forth therein, the Company may sell to Lincoln Park up to $11,000 of shares (the “Purchase Shares”) of its common stock, par value $0.0001 per share. Concurrently with entering into the 2022 LPC Purchase Agreement, the Company also entered into a registration rights agreement (the “2022 LPC Registration Rights Agreement”) with Lincoln Park, pursuant to which it agreed to provide Lincoln Park with certain registration rights related to the shares issued under the 2022 LPC Purchase Agreement. The aggregate number of shares that the Company can issue to Lincoln Park under the 2022 LPC Purchase Agreement may not exceed 12,873,368 shares of common stock, which is equal to 19.99% of the shares of common stock outstanding immediately prior to the execution of the 2022 LPC Purchase Agreement (the “2022 Exchange Cap”), unless (i) stockholder approval is obtained to issue shares of common stock in excess of the 2022 Exchange Cap, in which case the 2022 Exchange Cap will no longer apply, or (ii) the average price of all applicable sales of common stock to Lincoln Park under the 2022 LPC Purchase Agreement equals or exceeds the lower of (i) the Nasdaq official closing price immediately preceding the execution of the 2022 LPC Purchase Agreement or (ii) the arithmetic average of the five Nasdaq official closing prices for the common stock immediately preceding the execution of the 2022 LPC Purchase Agreement, plus an incremental amount to take into account the issuance of the commitment shares to Lincoln Park under the 2022 LPC Purchase Agreement, such that the transactions contemplated by the 2022 LPC Purchase Agreement are exempt from the 2022 Exchange Cap limitation under applicable Nasdaq rules. In all instances, the Company may not sell shares of its common stock to Lincoln Park under the 2022 LPC Purchase Agreement if it would result in Lincoln Park beneficially owning more than 9.99% of the outstanding shares of common stock. Upon execution of the 2022 LPC Purchase Agreement, the Company issued 685,529 shares of common stock to Lincoln Park as a commitment fee in connection with entering into the 2022 LPC Purchase Agreement at the total amount of $330. Through September 30, 2022, the Company issued an additional 500,000 shares of common stock to Lincoln Park at an average price of $0.50 per share, for a total value of $251. Further information regarding the 2022 LPC Purchase Agreement is contained in the Company’s Form 8-K filed with the SEC on July 12,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2021 Private Placement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2021, the Company entered into a securities purchase agreement with certain investors (collectively, the “Investors”) pursuant to which the Company issued and sold to the Investors an aggregate of 9,808,418 shares of common stock, par value $0.0001 per share, and 3,790,755 shares of the convertible preferred stock, par value $0.0001 per share (the “Preferred Stock”), which are convertible into 3,790,755 shares of common stock upon receipt of stockholder approval (the “2021 Private Placement”). The 2021 Private Placement was completed on December 15, 2021. The gross proceeds from the securities sold in the 2021 Private Placement was $16,999. The costs incurred with respect to the 2021 Private Placement totaled $259 and were recorded as a reduction of the 2021 Private Placement proceeds in the consolidated statements of stockholders’ equity as presented in the 2021 Annual Report on Form 10-K filed with the SEC on March 28,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issued in December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above, in December 2021, the Company issued and sold to the Investors an aggregate of 3,790,755 shares of the Preferred Stock. The terms of the Preferred Stock are governed by a Certificate of Designation filed by the Company with the Secretary of State of the State of Delaware on December 14, 2021. The following is a summary of the material terms of the Preferred Stock:</w:t>
      </w:r>
    </w:p>
    <w:p>
      <w:pPr>
        <w:spacing w:after="0" w:line="184" w:lineRule="exact"/>
        <w:rPr>
          <w:sz w:val="20"/>
          <w:szCs w:val="20"/>
          <w:color w:val="auto"/>
        </w:rPr>
      </w:pPr>
    </w:p>
    <w:p>
      <w:pPr>
        <w:jc w:val="both"/>
        <w:ind w:left="1340" w:hanging="671"/>
        <w:spacing w:after="0" w:line="263"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Preferred Stock has no voting rights except as required by law and except that the consent of the holders of a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outstanding shares of the Preferred Stock will be required to amend the terms of the Preferred Stock or take certain other actions with respect to the Preferred Stock.</w:t>
      </w:r>
    </w:p>
    <w:p>
      <w:pPr>
        <w:spacing w:after="0" w:line="183" w:lineRule="exact"/>
        <w:rPr>
          <w:rFonts w:ascii="Arial" w:cs="Arial" w:eastAsia="Arial" w:hAnsi="Arial"/>
          <w:sz w:val="18"/>
          <w:szCs w:val="18"/>
          <w:color w:val="auto"/>
        </w:rPr>
      </w:pPr>
    </w:p>
    <w:p>
      <w:pPr>
        <w:ind w:left="1340" w:hanging="671"/>
        <w:spacing w:after="0"/>
        <w:tabs>
          <w:tab w:leader="none" w:pos="13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The Preferred Stock does not have a preference upon any liquidation, dissolution or winding-up of the Company.</w:t>
      </w:r>
    </w:p>
    <w:p>
      <w:pPr>
        <w:spacing w:after="0" w:line="236" w:lineRule="exact"/>
        <w:rPr>
          <w:rFonts w:ascii="Arial" w:cs="Arial" w:eastAsia="Arial" w:hAnsi="Arial"/>
          <w:sz w:val="17"/>
          <w:szCs w:val="17"/>
          <w:color w:val="auto"/>
        </w:rPr>
      </w:pPr>
    </w:p>
    <w:p>
      <w:pPr>
        <w:jc w:val="both"/>
        <w:ind w:left="1340" w:hanging="671"/>
        <w:spacing w:after="0" w:line="273" w:lineRule="auto"/>
        <w:tabs>
          <w:tab w:leader="none" w:pos="13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The Preferred Stock is automatically convertible into shares of common stock, based on an initial conversion ratio of 1:1, as</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in accordance with the Certificate of Designation, upon receipt of the approval of the Company’s stockholders. The Company is not permitted to issue any shares of common stock upon conversion of the Preferred Stock to the extent that the issuance of such shares of common stock would exceed 9.99% of the Company’s outstanding shares of common stock as of the date of the initial issuance of the Preferred Stock (the “Ownership Limitation”). The Ownership Limitation will be appropriately adjusted for any reorganization, recapitalization, non-cash dividend, stock split, reverse stock split or other similar transaction.</w:t>
      </w:r>
    </w:p>
    <w:p>
      <w:pPr>
        <w:spacing w:after="0" w:line="177" w:lineRule="exact"/>
        <w:rPr>
          <w:rFonts w:ascii="Arial" w:cs="Arial" w:eastAsia="Arial" w:hAnsi="Arial"/>
          <w:sz w:val="17"/>
          <w:szCs w:val="17"/>
          <w:color w:val="auto"/>
        </w:rPr>
      </w:pPr>
    </w:p>
    <w:p>
      <w:pPr>
        <w:ind w:left="1340" w:hanging="671"/>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No dividends will be paid on the outstanding shares of the Preferred Stock.</w:t>
      </w:r>
    </w:p>
    <w:p>
      <w:pPr>
        <w:spacing w:after="0" w:line="225" w:lineRule="exact"/>
        <w:rPr>
          <w:rFonts w:ascii="Arial" w:cs="Arial" w:eastAsia="Arial" w:hAnsi="Arial"/>
          <w:sz w:val="18"/>
          <w:szCs w:val="18"/>
          <w:color w:val="auto"/>
        </w:rPr>
      </w:pPr>
    </w:p>
    <w:p>
      <w:pPr>
        <w:ind w:left="1340" w:hanging="671"/>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Preferred Stock is not redeemable at the election of the Company or at the election of the holder.</w:t>
      </w:r>
    </w:p>
    <w:p>
      <w:pPr>
        <w:spacing w:after="0" w:line="225" w:lineRule="exact"/>
        <w:rPr>
          <w:rFonts w:ascii="Arial" w:cs="Arial" w:eastAsia="Arial" w:hAnsi="Arial"/>
          <w:sz w:val="18"/>
          <w:szCs w:val="18"/>
          <w:color w:val="auto"/>
        </w:rPr>
      </w:pPr>
    </w:p>
    <w:p>
      <w:pPr>
        <w:ind w:left="1340" w:hanging="671"/>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Maturity. </w:t>
      </w:r>
      <w:r>
        <w:rPr>
          <w:rFonts w:ascii="Arial" w:cs="Arial" w:eastAsia="Arial" w:hAnsi="Arial"/>
          <w:sz w:val="18"/>
          <w:szCs w:val="18"/>
          <w:color w:val="auto"/>
        </w:rPr>
        <w:t>The Preferred Stock shall be perpetual unless converted.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issuance, the effective conversion price of the Preferred Stock of $1.25 per share was lower than the market price of the Company’s common stock on the date of issuance of the Preferred Stock of $1.29 per share; as a result, the Company recorded the beneficial conversion feature of $152 in accumulated paid in capital (“APIC”). Because the Preferred Stock is perpetual, it is carried at the amount recorded at inception. Upon conversion of the Preferred Stock, the beneficial conversion feature will be accounted for as a deemed dividend.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evaluated the Preferred Stock for liability or equity classification in accordance with the provisions of ASC 480, Distinguishing Liabilities from Equity, and determined that equity treatment was appropriate because the Preferred Stock did not meet the definition of the liability instruments defined thereunder for convertible instruments. Specifically, the Preferred Stock is not mandatorily redeemable and does not embody an obligation to buy back the shares outside of the Company’s control in a manner that could require the transfer of assets. Additionally, the Company determined that the Preferred Stock would be recorded as permanent equity, not temporary equity, based on the guidance of ASC 480 given that the holders of equally and more subordinated equity would be entitled to also receive the same form of consideration upon the occurrence of the event that gives rise to the redemption or events of redemption that are within the control of the Company.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Preferred Stock was sold as a unit with the common stock, the proceeds received were allocated to each instrument on a relative fair value basis. Total net proceeds of $16,740 reduced by $152 of the beneficial conversion feature were allocated as follows: $4,514 to the Preferred Stock and $12,074 to shares of common stock. The Preferred Stock and common stock issued in the 2021 Private Placement were recorded at par value of $0.0001 with the excess of par value recorded in APIC.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Share Option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November 2010, the Company’s Board of Directors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September 30, 2022, the number of shares of the Company’s common stock reserved for issuance and available for grant under the 2010 Share Option Plan was 400,812 (212,650 as of December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Incentive Award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2019 Plan, 450,000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Ltd. and the business of Venus Ltd. became the primary business of the Company (the “Merger”). As of September 30, 2022, there were 1,223,318 shares of common stock available under the 2019 Plan (376,414 as of December 31, 2021).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recognized stock-based compensation for its employees and non-employees in the accompanying unaudited condensed consolidated statements of operations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Three Months Ended September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spacing w:after="0"/>
              <w:rPr>
                <w:sz w:val="20"/>
                <w:szCs w:val="20"/>
                <w:color w:val="auto"/>
              </w:rPr>
            </w:pPr>
            <w:r>
              <w:rPr>
                <w:rFonts w:ascii="Arial" w:cs="Arial" w:eastAsia="Arial" w:hAnsi="Arial"/>
                <w:sz w:val="18"/>
                <w:szCs w:val="18"/>
                <w:b w:val="1"/>
                <w:bCs w:val="1"/>
                <w:color w:val="auto"/>
                <w:w w:val="96"/>
              </w:rPr>
              <w:t>Nine Months Ended September</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9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stock-based compensation</w:t>
            </w:r>
          </w:p>
        </w:tc>
        <w:tc>
          <w:tcPr>
            <w:tcW w:w="19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27</w:t>
            </w: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is estimated at the date of grant using the Black-Scholes option pricing formula with the following assumptions</w:t>
      </w:r>
      <w:r>
        <w:rPr>
          <w:rFonts w:ascii="Arial" w:cs="Arial" w:eastAsia="Arial" w:hAnsi="Arial"/>
          <w:sz w:val="29"/>
          <w:szCs w:val="29"/>
          <w:color w:val="auto"/>
          <w:vertAlign w:val="subscript"/>
        </w:rPr>
        <w:t>:</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9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2"/>
              </w:rPr>
              <w:t>Three Months Ended September</w:t>
            </w:r>
          </w:p>
        </w:tc>
        <w:tc>
          <w:tcPr>
            <w:tcW w:w="28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3"/>
              </w:rPr>
              <w:t>Nine Months Ended September</w:t>
            </w: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4420" w:type="dxa"/>
            <w:vAlign w:val="bottom"/>
            <w:gridSpan w:val="2"/>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0.98%</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2.56-2.96%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0.98-1.09%</w:t>
            </w: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42.93%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43.66%</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44.69%</w:t>
            </w: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management’s best estimate for the options to be exercised by option 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—Since the Company does not have a trading history for its common stock, the expected volatility was derived from the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stock-based awards’ expected term.</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is zero as the Company has not paid nor does it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Prior to the Merger, Venus Ltd. used the price per share in its latest sale of securities as an estimate of the fair value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After the closing of the Merger, the fair value of the Company’s common stock is used to estimate the fair value of the stock-based awards at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Company’s stock option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per Share, $</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Intrinsic Value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 January 1, 2022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5,977,179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2,383,250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Options forfeited/cancelled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(1,249,201)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 September 30, 2022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7,094,764</w:t>
            </w:r>
          </w:p>
        </w:tc>
        <w:tc>
          <w:tcPr>
            <w:tcW w:w="1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14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Exercisable – September 30, 2022</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3,146,660</w:t>
            </w:r>
          </w:p>
        </w:tc>
        <w:tc>
          <w:tcPr>
            <w:tcW w:w="14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3.99</w:t>
            </w:r>
          </w:p>
        </w:tc>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5.75</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to vest – after September 30, 2022</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3,948,104</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8.99</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r>
      <w:tr>
        <w:trPr>
          <w:trHeight w:val="413"/>
        </w:trPr>
        <w:tc>
          <w:tcPr>
            <w:tcW w:w="58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28</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360" w:type="dxa"/>
            <w:vAlign w:val="bottom"/>
            <w:gridSpan w:val="16"/>
          </w:tcPr>
          <w:p>
            <w:pPr>
              <w:spacing w:after="0"/>
              <w:rPr>
                <w:sz w:val="20"/>
                <w:szCs w:val="20"/>
                <w:color w:val="auto"/>
              </w:rPr>
            </w:pPr>
            <w:r>
              <w:rPr>
                <w:rFonts w:ascii="Arial" w:cs="Arial" w:eastAsia="Arial" w:hAnsi="Arial"/>
                <w:sz w:val="18"/>
                <w:szCs w:val="18"/>
                <w:color w:val="auto"/>
              </w:rPr>
              <w:t>The following tables summarize information about stock options outstanding and exercisable at September 30, 2022: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Options Outstanding</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Options Exercisable</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300" w:type="dxa"/>
            <w:vAlign w:val="bottom"/>
            <w:gridSpan w:val="4"/>
          </w:tcPr>
          <w:p>
            <w:pPr>
              <w:ind w:left="560"/>
              <w:spacing w:after="0"/>
              <w:rPr>
                <w:sz w:val="20"/>
                <w:szCs w:val="20"/>
                <w:color w:val="auto"/>
              </w:rPr>
            </w:pPr>
            <w:r>
              <w:rPr>
                <w:rFonts w:ascii="Arial" w:cs="Arial" w:eastAsia="Arial" w:hAnsi="Arial"/>
                <w:sz w:val="18"/>
                <w:szCs w:val="18"/>
                <w:b w:val="1"/>
                <w:bCs w:val="1"/>
                <w:color w:val="auto"/>
              </w:rPr>
              <w:t>Exercise Price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average</w:t>
            </w:r>
          </w:p>
        </w:tc>
        <w:tc>
          <w:tcPr>
            <w:tcW w:w="2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34"/>
        </w:trPr>
        <w:tc>
          <w:tcPr>
            <w:tcW w:w="2300" w:type="dxa"/>
            <w:vAlign w:val="bottom"/>
            <w:gridSpan w:val="4"/>
          </w:tcPr>
          <w:p>
            <w:pPr>
              <w:ind w:left="560"/>
              <w:spacing w:after="0"/>
              <w:rPr>
                <w:sz w:val="20"/>
                <w:szCs w:val="20"/>
                <w:color w:val="auto"/>
              </w:rPr>
            </w:pPr>
            <w:r>
              <w:rPr>
                <w:rFonts w:ascii="Arial" w:cs="Arial" w:eastAsia="Arial" w:hAnsi="Arial"/>
                <w:sz w:val="18"/>
                <w:szCs w:val="18"/>
                <w:b w:val="1"/>
                <w:bCs w:val="1"/>
                <w:color w:val="auto"/>
              </w:rPr>
              <w:t>Range</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term (years)</w:t>
            </w:r>
          </w:p>
        </w:tc>
        <w:tc>
          <w:tcPr>
            <w:tcW w:w="2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exercisable</w:t>
            </w:r>
          </w:p>
        </w:tc>
        <w:tc>
          <w:tcPr>
            <w:tcW w:w="18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term (years)</w:t>
            </w:r>
          </w:p>
        </w:tc>
        <w:tc>
          <w:tcPr>
            <w:tcW w:w="20" w:type="dxa"/>
            <w:vAlign w:val="bottom"/>
          </w:tcPr>
          <w:p>
            <w:pPr>
              <w:spacing w:after="0"/>
              <w:rPr>
                <w:sz w:val="20"/>
                <w:szCs w:val="20"/>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$0.67 - $3.64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6,188,582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2,295,735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$4.26 - $7.95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860,692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806,450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$12.45 - $26.10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$27.00 - $33.00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10,768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10,768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$36.00 - $94.65</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7,094,764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3,146,660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$nil and $19 for the three months ended September 30, 2022 and 2021, respectively. The total intrinsic value of options exercised were $nil and $285 for the nine months ended September 30, 2022 and 2021, respectively.</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weighted-average grant date fair value of options granted was $0.58 and $2.09 per share for the three months ended September 30, 2022 and 2021, respectively. The weighted-average grant date fair value of options granted was $1.27 and $2.33 per share for the nine months ended September 30, 2022 and 2021, respectively. The fair value of options vested during the three months ended September 30, 2022 and 2021 was $317 and $380, respectively. The fair value of options vested during the nine months ended September 30, 2022 and 2021 was $1,197 and $1,180, respectively.</w:t>
      </w:r>
    </w:p>
    <w:p>
      <w:pPr>
        <w:sectPr>
          <w:pgSz w:w="11900" w:h="16838" w:orient="portrait"/>
          <w:cols w:equalWidth="0" w:num="1">
            <w:col w:w="11240"/>
          </w:cols>
          <w:pgMar w:left="320" w:top="108"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RSUs outstanding at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Outstanding –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740"/>
        <w:spacing w:after="0"/>
        <w:rPr>
          <w:sz w:val="20"/>
          <w:szCs w:val="20"/>
          <w:color w:val="auto"/>
        </w:rPr>
      </w:pPr>
      <w:r>
        <w:rPr>
          <w:rFonts w:ascii="Arial" w:cs="Arial" w:eastAsia="Arial" w:hAnsi="Arial"/>
          <w:sz w:val="18"/>
          <w:szCs w:val="18"/>
          <w:color w:val="auto"/>
        </w:rPr>
        <w:t>RSUs forfeited/cancelled</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Outstanding - September 30, 2022</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Number of Shares</w:t>
      </w:r>
    </w:p>
    <w:p>
      <w:pPr>
        <w:spacing w:after="0" w:line="3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396,250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(7,500)</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388,750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5715</wp:posOffset>
            </wp:positionV>
            <wp:extent cx="9683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22860</wp:posOffset>
            </wp:positionV>
            <wp:extent cx="9683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4" w:right="20"/>
        <w:spacing w:after="0" w:line="289" w:lineRule="auto"/>
        <w:rPr>
          <w:sz w:val="20"/>
          <w:szCs w:val="20"/>
          <w:color w:val="auto"/>
        </w:rPr>
      </w:pPr>
      <w:r>
        <w:rPr>
          <w:rFonts w:ascii="Arial" w:cs="Arial" w:eastAsia="Arial" w:hAnsi="Arial"/>
          <w:sz w:val="16"/>
          <w:szCs w:val="16"/>
          <w:b w:val="1"/>
          <w:bCs w:val="1"/>
          <w:color w:val="auto"/>
        </w:rPr>
        <w:t xml:space="preserve">Weighted- Average Grant Date Fair </w:t>
      </w:r>
      <w:r>
        <w:rPr>
          <w:rFonts w:ascii="Arial" w:cs="Arial" w:eastAsia="Arial" w:hAnsi="Arial"/>
          <w:sz w:val="16"/>
          <w:szCs w:val="16"/>
          <w:b w:val="1"/>
          <w:bCs w:val="1"/>
          <w:u w:val="single" w:color="auto"/>
          <w:color w:val="auto"/>
        </w:rPr>
        <w:t>Value per Share, $</w:t>
      </w:r>
    </w:p>
    <w:p>
      <w:pPr>
        <w:spacing w:after="0" w:line="2" w:lineRule="exact"/>
        <w:rPr>
          <w:sz w:val="20"/>
          <w:szCs w:val="20"/>
          <w:color w:val="auto"/>
        </w:rPr>
      </w:pPr>
    </w:p>
    <w:p>
      <w:pPr>
        <w:ind w:left="1325" w:hanging="1325"/>
        <w:spacing w:after="0"/>
        <w:tabs>
          <w:tab w:leader="none" w:pos="1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1185"/>
        <w:spacing w:after="0"/>
        <w:rPr>
          <w:rFonts w:ascii="Arial" w:cs="Arial" w:eastAsia="Arial" w:hAnsi="Arial"/>
          <w:sz w:val="18"/>
          <w:szCs w:val="18"/>
          <w:color w:val="auto"/>
        </w:rPr>
      </w:pPr>
      <w:r>
        <w:rPr>
          <w:rFonts w:ascii="Arial" w:cs="Arial" w:eastAsia="Arial" w:hAnsi="Arial"/>
          <w:sz w:val="16"/>
          <w:szCs w:val="16"/>
          <w:color w:val="auto"/>
        </w:rPr>
        <w:t>1.30</w:t>
      </w:r>
    </w:p>
    <w:p>
      <w:pPr>
        <w:spacing w:after="0" w:line="32" w:lineRule="exact"/>
        <w:rPr>
          <w:rFonts w:ascii="Arial" w:cs="Arial" w:eastAsia="Arial" w:hAnsi="Arial"/>
          <w:sz w:val="18"/>
          <w:szCs w:val="18"/>
          <w:color w:val="auto"/>
        </w:rPr>
      </w:pPr>
    </w:p>
    <w:p>
      <w:pPr>
        <w:ind w:left="1185"/>
        <w:spacing w:after="0"/>
        <w:rPr>
          <w:rFonts w:ascii="Arial" w:cs="Arial" w:eastAsia="Arial" w:hAnsi="Arial"/>
          <w:sz w:val="18"/>
          <w:szCs w:val="18"/>
          <w:color w:val="auto"/>
        </w:rPr>
      </w:pPr>
      <w:r>
        <w:rPr>
          <w:rFonts w:ascii="Arial" w:cs="Arial" w:eastAsia="Arial" w:hAnsi="Arial"/>
          <w:sz w:val="16"/>
          <w:szCs w:val="16"/>
          <w:color w:val="auto"/>
        </w:rPr>
        <w:t>1.38</w:t>
      </w:r>
    </w:p>
    <w:p>
      <w:pPr>
        <w:spacing w:after="0" w:line="32" w:lineRule="exact"/>
        <w:rPr>
          <w:sz w:val="20"/>
          <w:szCs w:val="20"/>
          <w:color w:val="auto"/>
        </w:rPr>
      </w:pPr>
    </w:p>
    <w:p>
      <w:pPr>
        <w:ind w:left="1185" w:hanging="1185"/>
        <w:spacing w:after="0"/>
        <w:tabs>
          <w:tab w:leader="none" w:pos="1185" w:val="left"/>
        </w:tabs>
        <w:numPr>
          <w:ilvl w:val="0"/>
          <w:numId w:val="8"/>
        </w:numPr>
        <w:rPr>
          <w:rFonts w:ascii="Arial" w:cs="Arial" w:eastAsia="Arial" w:hAnsi="Arial"/>
          <w:sz w:val="16"/>
          <w:szCs w:val="16"/>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9512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46355</wp:posOffset>
            </wp:positionV>
            <wp:extent cx="9512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ectPr>
          <w:pgSz w:w="11900" w:h="16838" w:orient="portrait"/>
          <w:cols w:equalWidth="0" w:num="3">
            <w:col w:w="6740" w:space="680"/>
            <w:col w:w="1520" w:space="135"/>
            <w:col w:w="2165"/>
          </w:cols>
          <w:pgMar w:left="320" w:top="108"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generated a loss and recognized $162 of tax benefit for the three months ended September 30, 2022, and $616 of tax expense for the three months ended September 30, 2021, respectively. The Company generated a loss and recognized $92 of tax expense for the nine months ended September 30, 2022, and $609 of tax expense for the nine months ended September 30, 2021, respectively. A reconciliation of income tax (benefit) expense is as follows:</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2"/>
              </w:rPr>
              <w:t>Three Months Ended September</w:t>
            </w:r>
          </w:p>
        </w:tc>
        <w:tc>
          <w:tcPr>
            <w:tcW w:w="100" w:type="dxa"/>
            <w:vAlign w:val="bottom"/>
          </w:tcPr>
          <w:p>
            <w:pPr>
              <w:spacing w:after="0"/>
              <w:rPr>
                <w:sz w:val="18"/>
                <w:szCs w:val="18"/>
                <w:color w:val="auto"/>
              </w:rPr>
            </w:pPr>
          </w:p>
        </w:tc>
        <w:tc>
          <w:tcPr>
            <w:tcW w:w="26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9"/>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(33,552)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3"/>
              </w:rPr>
              <w:t>Theoretical tax (expense) benefit at the statutory rate (21.0%</w:t>
            </w: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in 2022 and 2021)</w:t>
            </w: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(3,078)</w:t>
            </w: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(7,046)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Differences in jurisdictional tax rates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provision</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(14,496)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(8,838)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(33,644)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or benefit is recognized based on the actual loss incurred during the three and nine months ended September 30, 2022 and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GEOGRAPHIC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lines on measures of profit or loss, or asset-based metrics. Therefore, the information below is presented only for revenues by geography and type.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location, which is based on the product shipped to location, is summarized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Three Months Ended September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spacing w:after="0"/>
              <w:rPr>
                <w:sz w:val="20"/>
                <w:szCs w:val="20"/>
                <w:color w:val="auto"/>
              </w:rPr>
            </w:pPr>
            <w:r>
              <w:rPr>
                <w:rFonts w:ascii="Arial" w:cs="Arial" w:eastAsia="Arial" w:hAnsi="Arial"/>
                <w:sz w:val="18"/>
                <w:szCs w:val="18"/>
                <w:b w:val="1"/>
                <w:bCs w:val="1"/>
                <w:color w:val="auto"/>
                <w:w w:val="96"/>
              </w:rPr>
              <w:t>Nine Months Ended September</w:t>
            </w: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International</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37,643</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72,988</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September 30, 2022, long-lived assets in the amount of $13,358 were located in the United States and $1,626 were located in foreign locations. As of December 31, 2021, long-lived assets in the amount of $16,090 were located in the United States and $1,972 were located in foreign locations.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by type is a key indicator for providing management with an understanding of the Company’s financial performance, which is organized into four different categories:</w:t>
      </w:r>
    </w:p>
    <w:p>
      <w:pPr>
        <w:spacing w:after="0" w:line="17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Lease revenue – includes all system sales with typical lease terms of 36 months.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 revenue – includes all systems sales with payment terms within 12 months.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revenue – includes skincare, hair and other consumables payable upon receipt.</w:t>
      </w:r>
    </w:p>
    <w:p>
      <w:pPr>
        <w:spacing w:after="0" w:line="225" w:lineRule="exact"/>
        <w:rPr>
          <w:rFonts w:ascii="Arial" w:cs="Arial" w:eastAsia="Arial" w:hAnsi="Arial"/>
          <w:sz w:val="18"/>
          <w:szCs w:val="18"/>
          <w:color w:val="auto"/>
        </w:rPr>
      </w:pPr>
    </w:p>
    <w:p>
      <w:pPr>
        <w:ind w:right="4720" w:firstLine="8"/>
        <w:spacing w:after="0" w:line="498"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revenue – includes NeoGraft technician services and extended warranty sales. The following table presents revenue by type:</w:t>
      </w:r>
    </w:p>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Three Months Ended September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spacing w:after="0"/>
              <w:rPr>
                <w:sz w:val="20"/>
                <w:szCs w:val="20"/>
                <w:color w:val="auto"/>
              </w:rPr>
            </w:pPr>
            <w:r>
              <w:rPr>
                <w:rFonts w:ascii="Arial" w:cs="Arial" w:eastAsia="Arial" w:hAnsi="Arial"/>
                <w:sz w:val="18"/>
                <w:szCs w:val="18"/>
                <w:b w:val="1"/>
                <w:bCs w:val="1"/>
                <w:color w:val="auto"/>
                <w:w w:val="96"/>
              </w:rPr>
              <w:t>Nine Months Ended September</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Lease revenue</w:t>
            </w:r>
          </w:p>
        </w:tc>
        <w:tc>
          <w:tcPr>
            <w:tcW w:w="19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System revenue</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Service revenue</w:t>
            </w:r>
          </w:p>
        </w:tc>
        <w:tc>
          <w:tcPr>
            <w:tcW w:w="1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9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72,988</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amounts were recorded at the exchange amount, which is the amount established and agreed to by the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agreements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1, 2018, the Company entered into a Distribution Agreement with Technicalbiomed Co., Ltd. (“TBC”), pursuant to which TBC will continue to distribute the Company’s products in Thailand. A senior officer of the Company is a 30.0% shareholder of TBC. For the three months ended September 30, 2022 and 2021, TBC purchased products in the amount of $192 and $66, respectively, under this distribution agreement. These sales are included in products and services revenue. For the nine months ended September 30, 2022 and 2021, TBC purchased products in the amount of $928 and $194, respectively, under this distribution agreement. These sales are included in products and services revenue.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2020, the Company made several strategic decisions to divest itself of underperforming direct sales offices and sold its share in several subsidiaries, including its 55.0% shareholding in Venus Concept Singapore Pte. Ltd. ("Venus Singapore"). On January 1, 2021, the Company entered into a distribution agreement with Aexel Biomed Pte Ltd. (“Aexel Biomed”), formerly Venus Singapore, pursuant to which Aexel Biomed will continue to distribute the Company’s products in Singapore. A senior officer of the Company is a 45.0% shareholder of Aexel Biomed. During the three months ended September 30, 2022 and 2021, Aexel Biomed purchased products in the amount of $57 and $51, respectively, under the distribution agreement. During the nine months ended September 30, 2022 and 2021, Aexel Biomed purchased products in the amount of $376 and $165, respectively, under the distribution agreement. These sales are included in products and services revenue.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of Domenic Serafino as Chief Executive Officer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3, 2022, the Board announced the separation of Domenic Serafino as Chief Executive Officer (the “CEO”) and member of the Board, effective October 2, 2022. This separation was not the result of any specific disagreement about strategy with management or the Board, inappropriate action by CEO, violation of company policy or any accounting irregularity. In connection with Mr. Serafino’s departure, the Company and Mr. Serafino are discussing the terms of a separation agreement setting forth the terms of his separation from the Company. Refer to the 8-K filed with the SEC on October 3, 2022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Executive Officer</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3, 2022, the Board announced the appointment of Rajiv De Silva as CEO, effective October 2, 2022. In connection with his appointment as CEO, Mr. De Silva entered into an employment agreement with the Company (the “Employment Agreement”) for a term to continue indefinitely until Mr. De Silva resigns or is terminated in accordance with the terms and conditions of the Employment Agreement. Pursuant to the terms of the Employment Agreement, Mr. De Silva is entitled to an annual base salary of $525 (“Base Salary”). Mr. De Silva will be eligible to earn an annual incentive bonus equal to seventy-five percent (75%) of his Base Salary and an equity award. Upon execution of the Employment Agreement, Mr. De Silva will be granted employee stock options to purchase 3,300,000 shares in the Company at an exercise price equal to the closing market price on the date of grant. Such shares shall vest as follows: 25% shall vest on the first anniversary of the date of grant and the remaining 75% of such shares shall vest quarterly at a rate of 6.25% per quarter, pursuant and subject to Mr. De Silva’s execution and return of the Company’s Stock Option Agreement. Refer to the 8-K filed with the SEC on October 3, 2022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President and Chief Business Officer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11, 2022, the Company announced the appointment of Dr. Hemanth Varghese as President and Chief Business Officer, effective October 17, 2022. In connection with his appointment as President and Chief Business Officer of the Company, Dr. Varghese entered into an employment agreement with Venus Concept Canada Corp. (the "Varghese Employment Agreement") for a term to continue indefinitely until Dr. Varghese resigns or is terminated in accordance with the terms and conditions of the Varghese Employment Agreement. Pursuant to the terms of the Varghese Employment Agreement, Dr. Varghese is entitled to an annual base salary of $370 ("Annual Base Salary"). Dr. Varghese will be eligible to earn an annual incentive bonus equal to 60% of his Annual Base Salary and an equity award. Upon the effective date of the Varghese Employment Agreement, Dr. Varghese will be granted employee stock options to purchase 1,100,000 shares in the Company at an exercise price equal to the closing market price on the date of grant. Such shares shall vest as follows: 25% shall vest on the first anniversary of the date of grant and the remaining 75% of such shares shall vest quarterly over 3 years thereafter, pursuant and subject to Dr. Varghese’s execution and return of the Company’s Stock Option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Stock to LPC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October 3, 2022, and November 8, 2022, the Company issued 2,000,000 shares of common stock to Lincoln Park at an average price of $0.29 per share. See Note 14 for further information regarding the 2022 LPC Purchase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United States Private Securities Litigation Reform Act of 1995 that reflect our plans, estimates and beliefs and involve numerous risks and uncertainties, including but not limited to those described in in Part I, Item IA “Risk Factors” of our Annual Report on Form 10-K. Any statements contained in this Quarterly Report on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factors which we currently believe could have a material adverse effect on our business operations and financial performance and condition include, but are not limited to, the following risks and uncertainties:</w:t>
      </w:r>
    </w:p>
    <w:p>
      <w:pPr>
        <w:spacing w:after="0" w:line="17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dependency on the subscription-based model, which exposes us to the credit risk of our customers over the life of each subscription agreement;</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customers’ failure to make payments under their subscription agreements;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need to obtain, maintain and enforce our intellectual property rights;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extensive governmental regulation and oversight in the countries in which we operate and our ability to comply with the applicable requirements;</w:t>
      </w:r>
    </w:p>
    <w:p>
      <w:pPr>
        <w:spacing w:after="0" w:line="32" w:lineRule="exact"/>
        <w:rPr>
          <w:rFonts w:ascii="Arial" w:cs="Arial" w:eastAsia="Arial" w:hAnsi="Arial"/>
          <w:sz w:val="16"/>
          <w:szCs w:val="16"/>
          <w:color w:val="auto"/>
        </w:rPr>
      </w:pPr>
    </w:p>
    <w:p>
      <w:pPr>
        <w:ind w:firstLine="8"/>
        <w:spacing w:after="0" w:line="250" w:lineRule="auto"/>
        <w:tabs>
          <w:tab w:leader="none" w:pos="3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possibility that our systems may cause or contribute to adverse medical events that could harm our reputation, business, financial condition and results of operations;</w:t>
      </w:r>
    </w:p>
    <w:p>
      <w:pPr>
        <w:ind w:firstLine="8"/>
        <w:spacing w:after="0" w:line="250" w:lineRule="auto"/>
        <w:tabs>
          <w:tab w:leader="none" w:pos="2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significant portion of our operations are located in Israel and therefore our business, financial condition and results of operations may be adversely affected by political, economic and military conditions there;</w:t>
      </w: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volatility of our stock price;</w:t>
      </w:r>
    </w:p>
    <w:p>
      <w:pPr>
        <w:spacing w:after="0" w:line="9" w:lineRule="exact"/>
        <w:rPr>
          <w:rFonts w:ascii="Arial" w:cs="Arial" w:eastAsia="Arial" w:hAnsi="Arial"/>
          <w:sz w:val="18"/>
          <w:szCs w:val="18"/>
          <w:color w:val="auto"/>
        </w:rPr>
      </w:pPr>
    </w:p>
    <w:p>
      <w:pPr>
        <w:ind w:firstLine="8"/>
        <w:spacing w:after="0" w:line="250" w:lineRule="auto"/>
        <w:tabs>
          <w:tab w:leader="none" w:pos="2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dependency on one major contract manufacturer in Israel exposes us to supply disruptions should that facility be subject to a strike, shutdown, fire flood or other natural disaster;</w:t>
      </w: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the expertise and retention of management;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access the capital markets and/or obtain credit on favorable terms;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inflation, currency fluctuations and currency exchange rates;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supply disruptions;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economic and political conditions and uncertainties, including but not limited to the Russia-Ukraine conflict.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risks and impacts of the COVID-19 pandemic appear to have largely subsided; however, new variants may continue to impact key macro-economic indicators such as unemployment, GDP and supply chain logistics and may have a material impact on our business, financial position, results of operations and liquidity. You are urged to consider these factors carefully in evaluating the forward-looking statements and are cautioned not to place undue reliance on these statements. The forward-looking statements are based on information available to us as of the filing date of this Quarterly Report on Form 10-Q. Unless required by law, we do not intend to publicly update or revise any forward-looking statements to reflect new information or future events or otherwise. You should, however, review the factors and risks we describe in the reports we will file from time to time with the SEC after the date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contains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discussion and analysis of our financial condition and results of operations and should be read together with the unaudited condensed consolidated financial statements and the notes thereto included elsewhere in this Quarterly Report on Form 10-Q for the quarter ended </w:t>
      </w:r>
      <w:r>
        <w:rPr>
          <w:rFonts w:ascii="Arial" w:cs="Arial" w:eastAsia="Arial" w:hAnsi="Arial"/>
          <w:sz w:val="18"/>
          <w:szCs w:val="18"/>
          <w:color w:val="auto"/>
        </w:rPr>
        <w:t>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Form 10-Q</w:t>
      </w:r>
      <w:r>
        <w:rPr>
          <w:rFonts w:ascii="Arial" w:cs="Arial" w:eastAsia="Arial" w:hAnsi="Arial"/>
          <w:sz w:val="18"/>
          <w:szCs w:val="18"/>
          <w:color w:val="auto"/>
        </w:rPr>
        <w:t>”</w:t>
      </w:r>
      <w:r>
        <w:rPr>
          <w:rFonts w:ascii="Arial" w:cs="Arial" w:eastAsia="Arial" w:hAnsi="Arial"/>
          <w:sz w:val="18"/>
          <w:szCs w:val="18"/>
          <w:i w:val="1"/>
          <w:iCs w:val="1"/>
          <w:color w:val="auto"/>
        </w:rPr>
        <w:t xml:space="preserve">), with our audited consolidated financial statements and notes thereto in our Annual Report on Form 10-K for the year ended </w:t>
      </w:r>
      <w:r>
        <w:rPr>
          <w:rFonts w:ascii="Arial" w:cs="Arial" w:eastAsia="Arial" w:hAnsi="Arial"/>
          <w:sz w:val="18"/>
          <w:szCs w:val="18"/>
          <w:color w:val="auto"/>
        </w:rPr>
        <w:t>December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Form 10-K</w:t>
      </w:r>
      <w:r>
        <w:rPr>
          <w:rFonts w:ascii="Arial" w:cs="Arial" w:eastAsia="Arial" w:hAnsi="Arial"/>
          <w:sz w:val="18"/>
          <w:szCs w:val="18"/>
          <w:color w:val="auto"/>
        </w:rPr>
        <w:t>”</w:t>
      </w:r>
      <w:r>
        <w:rPr>
          <w:rFonts w:ascii="Arial" w:cs="Arial" w:eastAsia="Arial" w:hAnsi="Arial"/>
          <w:sz w:val="18"/>
          <w:szCs w:val="18"/>
          <w:i w:val="1"/>
          <w:iCs w:val="1"/>
          <w:color w:val="auto"/>
        </w:rPr>
        <w:t>), our Form 10-Q for the quarter ended March 31, 2022 and June 30, 2022, respectively, filed with the SEC and other filings we have made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and general practitioners and aesthetic medical spas. In the three and nine months ended September 30, 2022 and 2021, respectively, a substantial majority of our systems delivered in North America were in non-traditional markets.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had recurring net operating losses and negative cash flows from operations. As of September 30, 2022 and December 31, 2021, we had an accumulated deficit of $214.2 million and $180.4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September 30, 2022 and December 31, 2021, we had cash and cash equivalents of $6.8 million and $30.9 million, respectively.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 impact of Covid-19 on our business has largely subsided, we continue to closely monitor all Covid-19 developments, including its impact on our customers, employees, suppliers, vendors, business partners, and distribution channels. In addition, the global economy, including the financial and credit markets, has recently experienced extreme volatility and disruptions, including increases to inflation rates, rising interest rates, foreign currency impacts and declines in consumer confidence, and declines in economic growth. All these factors point to uncertainty about economic stability, and the severity and duration of these conditions on our business cannot be predicted.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Venus Viva®,Venus Viva® MD, Venus Legacy®, Venus Concept®, Venus Versa®, Venus Fiore®, Venus Freedom™, Venus Bliss™, Venus Bliss Max™, NeoGraft®, Venus Glow™®, ARTAS®, ARTAS iX®, and AIME™,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Purchase Agreement with Lincoln Park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16, 2020, we entered into the Equity Purchase Agreement with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was based on the then prevailing market prices of such shares at the time of sales as described in the Equity Purchase Agreement. Concurrently with entering into the Equity Purchase Agreement, we also entered into the Registration Rights Agreement. During the nine months ended September 30, 2022, we sold to Lincoln Park 0.4 million shares of our common stock and raised net cash proceeds of $0.3 million under the Equity Purchase Agreement. See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below. The Equity Purchase Agreement expired on July 1, 2022 and was replaced by the 2022 LPC Purchase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2022 LPC Purchase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12, 2022, we entered into the 2022 LPC Purchase Agreement with Lincoln Park, which will enhance our balance sheet and financial condition to support our future growth initiatives. As part of the 2022 LPC Purchase Agreement, we issued and sold to Lincoln Park 0.7 million shares of our common stock as a commitment fee in connection with entering into the 2022 LPC Purchase Agreement with the total value of $0.3 million. Through September 30, 2022, the Company issued an additional 0.5 million shares of common stock to Lincoln Park at an average price of $0.50 per share, for a total value of $0.3 million. For additional information regarding the 2022 LPC Purchase Agreement, see Note 14 “</w:t>
      </w:r>
      <w:r>
        <w:rPr>
          <w:rFonts w:ascii="Arial" w:cs="Arial" w:eastAsia="Arial" w:hAnsi="Arial"/>
          <w:sz w:val="17"/>
          <w:szCs w:val="17"/>
          <w:i w:val="1"/>
          <w:iCs w:val="1"/>
          <w:color w:val="auto"/>
        </w:rPr>
        <w:t>Stockholders Equity</w:t>
      </w:r>
      <w:r>
        <w:rPr>
          <w:rFonts w:ascii="Arial" w:cs="Arial" w:eastAsia="Arial" w:hAnsi="Arial"/>
          <w:sz w:val="17"/>
          <w:szCs w:val="17"/>
          <w:color w:val="auto"/>
        </w:rPr>
        <w:t>” in the notes to our unaudited condensed consolidated financial statements included elsewhere in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660" w:hanging="315"/>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sale, including traditional sales and subscription-based sales, of systems, inclusive of the main console and applicators/handpieces (referred to as system revenue);</w:t>
      </w:r>
    </w:p>
    <w:p>
      <w:pPr>
        <w:spacing w:after="0" w:line="1" w:lineRule="exact"/>
        <w:rPr>
          <w:rFonts w:ascii="Arial" w:cs="Arial" w:eastAsia="Arial" w:hAnsi="Arial"/>
          <w:sz w:val="18"/>
          <w:szCs w:val="18"/>
          <w:color w:val="auto"/>
        </w:rPr>
      </w:pPr>
    </w:p>
    <w:p>
      <w:pPr>
        <w:ind w:left="660" w:hanging="31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supplies and kits;</w:t>
      </w:r>
    </w:p>
    <w:p>
      <w:pPr>
        <w:spacing w:after="0" w:line="9" w:lineRule="exact"/>
        <w:rPr>
          <w:rFonts w:ascii="Arial" w:cs="Arial" w:eastAsia="Arial" w:hAnsi="Arial"/>
          <w:sz w:val="18"/>
          <w:szCs w:val="18"/>
          <w:color w:val="auto"/>
        </w:rPr>
      </w:pPr>
    </w:p>
    <w:p>
      <w:pPr>
        <w:ind w:left="660" w:hanging="31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consumables and disposables;</w:t>
      </w:r>
    </w:p>
    <w:p>
      <w:pPr>
        <w:spacing w:after="0" w:line="9" w:lineRule="exact"/>
        <w:rPr>
          <w:rFonts w:ascii="Arial" w:cs="Arial" w:eastAsia="Arial" w:hAnsi="Arial"/>
          <w:sz w:val="18"/>
          <w:szCs w:val="18"/>
          <w:color w:val="auto"/>
        </w:rPr>
      </w:pPr>
    </w:p>
    <w:p>
      <w:pPr>
        <w:ind w:left="660" w:hanging="31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service revenue; and</w:t>
      </w:r>
    </w:p>
    <w:p>
      <w:pPr>
        <w:spacing w:after="0" w:line="9" w:lineRule="exact"/>
        <w:rPr>
          <w:rFonts w:ascii="Arial" w:cs="Arial" w:eastAsia="Arial" w:hAnsi="Arial"/>
          <w:sz w:val="18"/>
          <w:szCs w:val="18"/>
          <w:color w:val="auto"/>
        </w:rPr>
      </w:pPr>
    </w:p>
    <w:p>
      <w:pPr>
        <w:ind w:left="660" w:hanging="315"/>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replacement applicators/handpieces.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revenue includes revenue derived from our extended warranty service contracts provided to our existing customers and VeroGrafters technician services (which were discontinued in the fourth quarter of 2021).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Systems are sold through our subscription model, or through traditional sales contracts directly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generate recurring monthly revenue under our subscription-based business model and from traditional system sales. Venus Ltd. commenced a subscription-based model in North America in 2011. Our subscription model is also available in targeted international markets in which we operate directly. Approximately 41% and 61% of our aesthetic revenues were derived from our subscription model in the three months ended September 30, 2022 and 2021, respectively. Approximately 47% and 56% of our aesthetic revenues were derived from our subscription model in the nine months ended September 30, 2022 and 2021, respectively. We currently do not offer the ARTAS iX system under the subscription model. For additional details related to our subscription model, see </w:t>
      </w:r>
      <w:r>
        <w:rPr>
          <w:rFonts w:ascii="Arial" w:cs="Arial" w:eastAsia="Arial" w:hAnsi="Arial"/>
          <w:sz w:val="16"/>
          <w:szCs w:val="16"/>
          <w:i w:val="1"/>
          <w:iCs w:val="1"/>
          <w:color w:val="auto"/>
        </w:rPr>
        <w:t>Item 1. Business</w:t>
      </w:r>
      <w:r>
        <w:rPr>
          <w:rFonts w:ascii="Arial" w:cs="Arial" w:eastAsia="Arial" w:hAnsi="Arial"/>
          <w:sz w:val="16"/>
          <w:szCs w:val="16"/>
          <w:color w:val="auto"/>
        </w:rPr>
        <w:t xml:space="preserve"> – </w:t>
      </w:r>
      <w:r>
        <w:rPr>
          <w:rFonts w:ascii="Arial" w:cs="Arial" w:eastAsia="Arial" w:hAnsi="Arial"/>
          <w:sz w:val="16"/>
          <w:szCs w:val="16"/>
          <w:i w:val="1"/>
          <w:iCs w:val="1"/>
          <w:color w:val="auto"/>
        </w:rPr>
        <w:t>Subscription-Based Business Model</w:t>
      </w:r>
      <w:r>
        <w:rPr>
          <w:rFonts w:ascii="Arial" w:cs="Arial" w:eastAsia="Arial" w:hAnsi="Arial"/>
          <w:sz w:val="16"/>
          <w:szCs w:val="16"/>
          <w:color w:val="auto"/>
        </w:rPr>
        <w:t xml:space="preserve"> as filed in our Form 10-K for the year ended December 31, 2021.</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subscription model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into our newest available or alternative Venus Concept technology throughout the subscription period. This structure can provide greater flexibility than traditional equipment leases secured through financing companies. We work closely with our customers to provide business recommendations that improve the quality of service outcomes, build patient traffic and improve financial returns for the customer’s business.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developed and commercialized eleven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United States, we have obtained 510(k) clearance from the FDA for our Venus Viva, Venus Viva MD, Venus Legacy, Venus Versa, Venus Velocity, Venus Bliss, Venus Bliss Max, Venus Epileve, Venus Fiore, ARTAS and ARTAS iX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we operated directly in 18 international markets through our 15 direct offices in the United States, Canada, United Kingdom, Japan, South Korea, Mexico, Argentina, Colombia, Spain, France, Germany, Australia, China, Hong Kong, and Israel.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revenues for the three months ended September 30, 2022, and 2021 were $21.5 million and $24.6 million, respectively. Our revenues for the nine months ended September 30, 2022, and 2021 were $75.2 million and $73.0 million, respectively. We had a net loss attributable to Venus Concept of $14.6 million and $9.8 million in the three months ended September 30, 2022, and 2021, respectively. We had a net loss attributable to Venus Concept of $33.8 million and $18.7 million in the nine months ended September 30, 2022, and 2021, respectively. We had an Adjusted EBITDA loss of $7.7 million and $3.5 million for the three months ended September 30, 2022, and 2021, respectively. We had an Adjusted EBITDA loss of $19.0 million and $8.1 million for the nine months ended September 30, 2022, and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Adjusted EBITDA is a non-GAAP measure defined as net income (loss) before foreign exchange loss (gain),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loss to Adjusted EBITDA for the periods presented: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7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2"/>
              </w:rPr>
              <w:t>Three Months Ended September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9"/>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net loss to adjusted EBITDA</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440" w:type="dxa"/>
            <w:vAlign w:val="bottom"/>
            <w:gridSpan w:val="3"/>
          </w:tcPr>
          <w:p>
            <w:pPr>
              <w:jc w:val="right"/>
              <w:ind w:right="710"/>
              <w:spacing w:after="0"/>
              <w:rPr>
                <w:sz w:val="20"/>
                <w:szCs w:val="20"/>
                <w:color w:val="auto"/>
              </w:rPr>
            </w:pPr>
            <w:r>
              <w:rPr>
                <w:rFonts w:ascii="Arial" w:cs="Arial" w:eastAsia="Arial" w:hAnsi="Arial"/>
                <w:sz w:val="16"/>
                <w:szCs w:val="16"/>
                <w:b w:val="1"/>
                <w:bCs w:val="1"/>
                <w:color w:val="auto"/>
                <w:w w:val="71"/>
              </w:rPr>
              <w:t>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40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(14,496)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(33,644)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exchange loss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Gain on forgiveness of government assistance loans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Inventory provision (1)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adjustments (2)</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(7,679)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(3,548)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(19,028)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342" w:lineRule="auto"/>
        <w:tabs>
          <w:tab w:leader="none" w:pos="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2022, the inventory provision represents a strategic review of our product offerings which culminated in a decision to discontinue production and sale of certain models and component parts, resulting in an inventory adjustment of $1.4 million.</w:t>
      </w:r>
    </w:p>
    <w:p>
      <w:pPr>
        <w:spacing w:after="0" w:line="123" w:lineRule="exact"/>
        <w:rPr>
          <w:rFonts w:ascii="Arial" w:cs="Arial" w:eastAsia="Arial" w:hAnsi="Arial"/>
          <w:sz w:val="16"/>
          <w:szCs w:val="16"/>
          <w:color w:val="auto"/>
        </w:rPr>
      </w:pPr>
    </w:p>
    <w:p>
      <w:pPr>
        <w:jc w:val="both"/>
        <w:ind w:firstLine="8"/>
        <w:spacing w:after="0" w:line="263" w:lineRule="auto"/>
        <w:tabs>
          <w:tab w:leader="none" w:pos="2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2022, the other adjustments are represented by severance payments associated with a workforce reduction in Venus Spain and Venus Canada of $0.7 million. For the three and nine months ended September 30, 2021, the other adjustments are represented by a loss on the sale of a subsidiary in South Africa ($0.2 and $0.2 million,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Impacting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are impacted by several factors, but we consider the following to be particularly significant to our business: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Number of systems delivered. </w:t>
      </w:r>
      <w:r>
        <w:rPr>
          <w:rFonts w:ascii="Arial" w:cs="Arial" w:eastAsia="Arial" w:hAnsi="Arial"/>
          <w:sz w:val="18"/>
          <w:szCs w:val="18"/>
          <w:color w:val="auto"/>
        </w:rPr>
        <w:t>The majority of our revenue is generated from the delivery of systems, both under traditional sales contracts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agreements. The following table sets forth the number of systems we have delivered in the geographic regions indicated:</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Three Months Ended September</w:t>
            </w:r>
          </w:p>
        </w:tc>
        <w:tc>
          <w:tcPr>
            <w:tcW w:w="180" w:type="dxa"/>
            <w:vAlign w:val="bottom"/>
          </w:tcPr>
          <w:p>
            <w:pPr>
              <w:spacing w:after="0"/>
              <w:rPr>
                <w:sz w:val="18"/>
                <w:szCs w:val="18"/>
                <w:color w:val="auto"/>
              </w:rPr>
            </w:pPr>
          </w:p>
        </w:tc>
        <w:tc>
          <w:tcPr>
            <w:tcW w:w="27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30,</w:t>
            </w:r>
          </w:p>
        </w:tc>
        <w:tc>
          <w:tcPr>
            <w:tcW w:w="980" w:type="dxa"/>
            <w:vAlign w:val="bottom"/>
          </w:tcPr>
          <w:p>
            <w:pPr>
              <w:spacing w:after="0"/>
              <w:rPr>
                <w:sz w:val="20"/>
                <w:szCs w:val="20"/>
                <w:color w:val="auto"/>
              </w:rPr>
            </w:pPr>
          </w:p>
        </w:tc>
        <w:tc>
          <w:tcPr>
            <w:tcW w:w="18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gridSpan w:val="2"/>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systems delivered</w:t>
            </w:r>
          </w:p>
        </w:tc>
        <w:tc>
          <w:tcPr>
            <w:tcW w:w="8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Mix between traditional sales, subscription model sales and distributor sales. </w:t>
      </w:r>
      <w:r>
        <w:rPr>
          <w:rFonts w:ascii="Arial" w:cs="Arial" w:eastAsia="Arial" w:hAnsi="Arial"/>
          <w:sz w:val="16"/>
          <w:szCs w:val="16"/>
          <w:color w:val="auto"/>
        </w:rPr>
        <w:t>We deliver systems through (1) traditional direct system sales contracts</w:t>
      </w:r>
      <w:r>
        <w:rPr>
          <w:rFonts w:ascii="Arial" w:cs="Arial" w:eastAsia="Arial" w:hAnsi="Arial"/>
          <w:sz w:val="16"/>
          <w:szCs w:val="16"/>
          <w:b w:val="1"/>
          <w:bCs w:val="1"/>
          <w:color w:val="auto"/>
        </w:rPr>
        <w:t xml:space="preserve"> </w:t>
      </w:r>
      <w:r>
        <w:rPr>
          <w:rFonts w:ascii="Arial" w:cs="Arial" w:eastAsia="Arial" w:hAnsi="Arial"/>
          <w:sz w:val="16"/>
          <w:szCs w:val="16"/>
          <w:color w:val="auto"/>
        </w:rPr>
        <w:t>to customers, (2) our subscription model, and (3) system sales through distribution agreements. Unit deliveries under direct system sales contracts and subscription agreements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subscription agreements have similar gross margins, cash collections on subscription agreements generally occur over a three-year period, with approximately 40% to 45% collected in the first year and the balance collected evenly over the remaining two years of the subscription agreement.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3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Investment in Sales, Marketing and Operations. </w:t>
      </w:r>
      <w:r>
        <w:rPr>
          <w:rFonts w:ascii="Arial" w:cs="Arial" w:eastAsia="Arial" w:hAnsi="Arial"/>
          <w:sz w:val="17"/>
          <w:szCs w:val="17"/>
          <w:color w:val="auto"/>
        </w:rPr>
        <w:t>In recent years, we made a strategic decision to penetrate the global market by investing in sales and</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are evaluating our profitability and growth prospects in these countries post-COVID-19, and have taken and will continue to take steps to exit countries which we do not believe will produce sustainable results. Since June 2020 we have closed 9 direct offices across Europe, Asia Pacific, Latin America and Africa and have increased our investment and focus in the United States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nine months ended September 30, 2022, and 2021, respectively, we di</w:t>
      </w:r>
      <w:r>
        <w:rPr>
          <w:rFonts w:ascii="Arial" w:cs="Arial" w:eastAsia="Arial" w:hAnsi="Arial"/>
          <w:sz w:val="18"/>
          <w:szCs w:val="18"/>
          <w:color w:val="333333"/>
        </w:rPr>
        <w:t>d not open an</w:t>
      </w:r>
      <w:r>
        <w:rPr>
          <w:rFonts w:ascii="Arial" w:cs="Arial" w:eastAsia="Arial" w:hAnsi="Arial"/>
          <w:sz w:val="18"/>
          <w:szCs w:val="18"/>
          <w:color w:val="auto"/>
        </w:rPr>
        <w:t>y direct sales offices.</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Bad Debt Expense. </w:t>
      </w:r>
      <w:r>
        <w:rPr>
          <w:rFonts w:ascii="Arial" w:cs="Arial" w:eastAsia="Arial" w:hAnsi="Arial"/>
          <w:sz w:val="16"/>
          <w:szCs w:val="16"/>
          <w:color w:val="auto"/>
        </w:rPr>
        <w:t>We maintain an allowance for doubtful accounts for estimated losses that may primarily arise from subscription customers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unable to make the remaining payments required under their subscription agreements. During the three and nine months ended September 30, 2022, our collections results were negatively impacted by macroeconomic headwinds, including increased interest rates and inflationary factors impacting the operating costs and liquidity positions of our customers. In addition, we increased the allowance for doubtful accounts as a percentage of gross outstanding accounts receivable from the period ended September 30, 2021 to the period ended September 30, 2022. We incurred a bad debt expense of $2.4 million and $5.9 million during the three and nine months ended September 30, 2022, respectively. We recovered a bad debt expense of $nil and $2.1 million during the three and nine months ended September 30, 2022 respectively. As of September 30, 2022, our allowance for doubtful accounts stands at $13.1 million which represents 17.0% of the gross outstanding accounts receivable as of this date. As of September 30, 2021, our allowance for doubtful accounts stands at $11.5 million which represents 13.9% of the gross outstanding accounts receivable as of this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While the impact of Covid-19 on our business has largely subsided, we continue to closely monitor all Covid-19 developments including its impact on our customers, employees, suppliers, vendors, business partners, and distribution channels. In addition, the global economy, including the financial and credit markets, has recently experienced extreme volatility and disruptions, including increases to inflation rates, rising interest rates, foreign currency impacts, declines in consumer confidence, and declines in economic growth. All these factors point to uncertainty about economic stability, and the severity and duration of these conditions on our business cannot be predicted. The momentum and strength in our overall performance demonstrated in the first half of this fiscal year slowed in the three months ended September 30, 2022. The bulk of the third quarter revenue decline was due to a strategy shift to prioritize cash deals over subscription deals in order to improve cash generation and preserve liquidity. However, we remain focused on adapting to the challenges presented by the current macro economic environment.</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Supply chain. </w:t>
      </w:r>
      <w:r>
        <w:rPr>
          <w:rFonts w:ascii="Arial" w:cs="Arial" w:eastAsia="Arial" w:hAnsi="Arial"/>
          <w:sz w:val="18"/>
          <w:szCs w:val="18"/>
          <w:color w:val="auto"/>
        </w:rPr>
        <w:t>In the second half of 2021 we were impacted by the global supply disruptions related to COVID-19, which resulted in our inability to fulfil</w:t>
      </w:r>
      <w:r>
        <w:rPr>
          <w:rFonts w:ascii="Arial" w:cs="Arial" w:eastAsia="Arial" w:hAnsi="Arial"/>
          <w:sz w:val="18"/>
          <w:szCs w:val="18"/>
          <w:b w:val="1"/>
          <w:bCs w:val="1"/>
          <w:color w:val="auto"/>
        </w:rPr>
        <w:t xml:space="preserve"> </w:t>
      </w:r>
      <w:r>
        <w:rPr>
          <w:rFonts w:ascii="Arial" w:cs="Arial" w:eastAsia="Arial" w:hAnsi="Arial"/>
          <w:sz w:val="18"/>
          <w:szCs w:val="18"/>
          <w:color w:val="auto"/>
        </w:rPr>
        <w:t>demand for certain of our products. The value of such purchase order backlog in the third and the fourth quarters of 2021 was $2.4 million and $1.0 million, respectively, which was substantially fulfilled during the fourth quarter of 2021 and the first quarter of 2022. We did not experience significant supply issues during the three and nine months ended September 30, 2022 as we continue to actively work with our suppliers and third-party manufacturers to mitigate supply issues and build inventory of key component parts. We anticipate some supply challenges throughout the remainder of 2022, including long production lead times and shortages of certain materials or components that may impact our ability to manufacture the number of systems required to meet customer demand. In addition, since the second quarter of 2021 we have experienced significant inflationary pressures throughout our supply chain, which we expect to continue through the balance of 2022. We expect to mitigate such pressures, where possible, through price increases and margin management.</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Sales markets. </w:t>
      </w:r>
      <w:r>
        <w:rPr>
          <w:rFonts w:ascii="Arial" w:cs="Arial" w:eastAsia="Arial" w:hAnsi="Arial"/>
          <w:sz w:val="17"/>
          <w:szCs w:val="17"/>
          <w:color w:val="auto"/>
        </w:rPr>
        <w:t>We are a global business, having established a commercial presence in more than 60 countries during our history. While the continued</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 recovery in individual countries during the first nine months of 2022 progressed well in most countries in which we operate, we continue to evaluate our direct operations, particularly those outside of North America. The COVID-19 outbreak continues to be fluid, and the extent to which the pandemic will continue to impact our business remains largely uncertain and could continue to be significant for the foreseeable future.</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Accounts receivable collections. </w:t>
      </w:r>
      <w:r>
        <w:rPr>
          <w:rFonts w:ascii="Arial" w:cs="Arial" w:eastAsia="Arial" w:hAnsi="Arial"/>
          <w:sz w:val="18"/>
          <w:szCs w:val="18"/>
          <w:color w:val="auto"/>
        </w:rPr>
        <w:t>We remain fully focused on reactivating collections with those at-risk accounts that have struggled through the pandemic</w:t>
      </w:r>
      <w:r>
        <w:rPr>
          <w:rFonts w:ascii="Arial" w:cs="Arial" w:eastAsia="Arial" w:hAnsi="Arial"/>
          <w:sz w:val="18"/>
          <w:szCs w:val="18"/>
          <w:b w:val="1"/>
          <w:bCs w:val="1"/>
          <w:color w:val="auto"/>
        </w:rPr>
        <w:t xml:space="preserve"> </w:t>
      </w:r>
      <w:r>
        <w:rPr>
          <w:rFonts w:ascii="Arial" w:cs="Arial" w:eastAsia="Arial" w:hAnsi="Arial"/>
          <w:sz w:val="18"/>
          <w:szCs w:val="18"/>
          <w:color w:val="auto"/>
        </w:rPr>
        <w:t>but show signs of viability. As of September 30, 2022, our allowance for doubtful accounts stands at $13.1 million, which represents 17.0% of the gross outstanding accounts receivable as of that date. This represents an increase of $1.1 million from our December 31, 2021 allowance for doubtful accounts balance of $12.0 million.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the successful rollout of COVID-19 vaccines, combined with a relaxation of government restrictions in certain markets we operate in, our collection experience in 2022 improved relative to earlier stages of the pandemic, with collections in our largest subscription markets averaging 85% of our billings in January 2022, 93% in February 2022, 106% in March 2022, 98% in April 2022, 92% in May 2022,96% in June 2022, 89% in July 2022, 90% in August 2022, and 93% in September 2022. We incurred a bad debt expense of $5.9 million in the first nine months of 2022. We will continue our proactive approach to collections of our accounts receivable and will revisit our allowance for doubtful accounts during the next quarter.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generate revenue from (1) sales of systems through our subscription model, traditional system sales to customers and distributors, (2) other product revenues from the sale of marketing supplies and kits, consumables and (3) service revenue from our extended warranty service contracts provided to existing customers and the sale of our VeroGrafters technician services. VeroGrafters services were discontinued in the fourth quarter of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System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2022, approximately 41% and 47%, respectively, of our system revenues were derived from our subscription model. For the three and nine months ended September 30, 2021, approximately 61% and 56%, respectively, of our system revenues were derived from our subscription model. The relative decrease in subscription revenues in the third quarter of 2022 is in line with our strategy to prioritize cash deals over subscription deals in order to improve cash generation and preserve liquidity.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subscription model is designed to provide a low barrier to ownership of our systems and includes an up-front fee followed by monthly payments, typically over a 36-month period. The up-front fee serves as a down payment. The significantly reduced up-front financial commitment, coupled with less onerous credit and disclosure requirements, is intended to make our subscription-based sales program more appealing and affordable to customers, including non-traditional providers of aesthetic services such as family practice physicians, general practice physicians, and operators of medical aesthetic spas.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2022, approximately 48% and 43%, respectively, of our system revenues were derived from traditional sales. For the three and nine months ended September 30, 2021, approximately 27% and 34%, respectively, of our system revenues were derived from traditional sales. The increased focus on traditional sales is in line with our strategy to prioritize cash deals over subscription deals in order to improve cash generation and preserve liquidity.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Customers generally demand higher discounts in connection with these types of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grant rights of return or early termination rights to our customers under either our traditional sales or subscription models. These traditional sales are generally made through our sales team in the countries in which the team operates.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nine months ended September 30, 2022, approximately 11% of our system revenues were derived from distributor sales. For the three and nine months ended September 30, 2021, approximately 12% and 10%,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Procedure Based Revenue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kits for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Product Revenue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also generate revenue from our customer base by selling Glide (a cooling/conductive gel which is required for use with many of our systems), marketing supplies and kits, various consumables and disposables, replacement applicators and handpieces, and ARTAS system training.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 ancillary revenue from our existing customers by selling additional services including extended warranty service contracts and, formerly through VeroGrafters technician services for hair restoration using our NeoGraft and ARTAS systems. In the fourth quarter of 2021 we discontinued our VeroGrafters technician services in order to focus on higher margin products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currently sell our products and services using direct sales representatives in North America and in select international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sales costs primarily consist of salaries, commissions, benefits, incentive compensation and stock-based compensation. Costs also include expenses for travel and other promotional and sales-related activities.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sales and marketing expenses to continue to increase, but at a rate slightly below our rate of revenue growth.</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Our general and administrative costs primarily consist of expenses associated with our executive, accounting and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 and human resource departments and intellectual property portfolio. These expenses consist of personnel-related expenses (primarily salaries, benefits, incentive compensation and stock-based compensation) and allocated facilities costs, audit fees, legal fees, consultants, travel, insurance, and bad debt expense. During the normal course of operations, we may incur bad debt expense on accounts receivable balances that are deemed to be uncollectible.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Our research and development costs primarily consist of personnel-related costs (primarily salaries, benefits,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stock-based compensation), material costs, amortization of intangible assets, regulatory affairs,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expense all research and development costs in the periods in which they are incurred. We expect our research and development expenses to increase in absolute dollars as we continue to invest in research, clinical studies, regulatory affairs, and development activities, but to decline as a percentage of revenue as our revenue increases over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6.1% for the MSLP Loan and 8.0% for the Notes as of September 30, 2022 and 3.10% for the MSLP Loan and 8.0% for the Notes as of December 31, 2021 .</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currency exchange (gain) loss changes reflect foreign exchange gains or losses related to the change in value of assets and liabilities denominated in currencies other than the U.S. dollar.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agreements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recognized based on the actual taxable loss incurred during the three and nine months ended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consolidated results of operations in U.S. dollars and as a percentage of revenues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Three Months Ended September</w:t>
            </w:r>
          </w:p>
        </w:tc>
        <w:tc>
          <w:tcPr>
            <w:tcW w:w="100" w:type="dxa"/>
            <w:vAlign w:val="bottom"/>
          </w:tcPr>
          <w:p>
            <w:pPr>
              <w:spacing w:after="0"/>
              <w:rPr>
                <w:sz w:val="18"/>
                <w:szCs w:val="18"/>
                <w:color w:val="auto"/>
              </w:rPr>
            </w:pPr>
          </w:p>
        </w:tc>
        <w:tc>
          <w:tcPr>
            <w:tcW w:w="27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Nine Months Ended September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left="830"/>
              <w:spacing w:after="0"/>
              <w:rPr>
                <w:sz w:val="20"/>
                <w:szCs w:val="20"/>
                <w:color w:val="auto"/>
              </w:rPr>
            </w:pPr>
            <w:r>
              <w:rPr>
                <w:rFonts w:ascii="Arial" w:cs="Arial" w:eastAsia="Arial" w:hAnsi="Arial"/>
                <w:sz w:val="18"/>
                <w:szCs w:val="18"/>
                <w:b w:val="1"/>
                <w:bCs w:val="1"/>
                <w:color w:val="auto"/>
                <w:w w:val="95"/>
              </w:rPr>
              <w:t>30,</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left="990"/>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2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Consolidated Statements of Loss:</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jc w:val="center"/>
              <w:ind w:right="520"/>
              <w:spacing w:after="0"/>
              <w:rPr>
                <w:sz w:val="20"/>
                <w:szCs w:val="20"/>
                <w:color w:val="auto"/>
              </w:rPr>
            </w:pPr>
            <w:r>
              <w:rPr>
                <w:rFonts w:ascii="Arial" w:cs="Arial" w:eastAsia="Arial" w:hAnsi="Arial"/>
                <w:sz w:val="18"/>
                <w:szCs w:val="18"/>
                <w:b w:val="1"/>
                <w:bCs w:val="1"/>
                <w:i w:val="1"/>
                <w:iCs w:val="1"/>
                <w:color w:val="auto"/>
                <w:w w:val="87"/>
              </w:rPr>
              <w:t>(dollars in thousands)</w:t>
            </w:r>
          </w:p>
        </w:tc>
        <w:tc>
          <w:tcPr>
            <w:tcW w:w="100" w:type="dxa"/>
            <w:vAlign w:val="bottom"/>
          </w:tcPr>
          <w:p>
            <w:pPr>
              <w:spacing w:after="0"/>
              <w:rPr>
                <w:sz w:val="18"/>
                <w:szCs w:val="18"/>
                <w:color w:val="auto"/>
              </w:rPr>
            </w:pPr>
          </w:p>
        </w:tc>
        <w:tc>
          <w:tcPr>
            <w:tcW w:w="2700" w:type="dxa"/>
            <w:vAlign w:val="bottom"/>
            <w:gridSpan w:val="5"/>
          </w:tcPr>
          <w:p>
            <w:pPr>
              <w:jc w:val="center"/>
              <w:ind w:right="280"/>
              <w:spacing w:after="0"/>
              <w:rPr>
                <w:sz w:val="20"/>
                <w:szCs w:val="20"/>
                <w:color w:val="auto"/>
              </w:rPr>
            </w:pPr>
            <w:r>
              <w:rPr>
                <w:rFonts w:ascii="Arial" w:cs="Arial" w:eastAsia="Arial" w:hAnsi="Arial"/>
                <w:sz w:val="18"/>
                <w:szCs w:val="18"/>
                <w:b w:val="1"/>
                <w:bCs w:val="1"/>
                <w:i w:val="1"/>
                <w:iCs w:val="1"/>
                <w:color w:val="auto"/>
                <w:w w:val="86"/>
              </w:rPr>
              <w:t>(dollars in thousands)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Leases</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7,193</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12,634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29,490</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33,958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Products and services</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11,929</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45,721</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39,030</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72,988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8,166</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25,029</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13,373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50,182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51,257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8,094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27,484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26,743</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41,471</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31,983</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Gain on forgiveness of government assistance loans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24,798</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22,695</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76,169</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61,956</w:t>
            </w:r>
          </w:p>
        </w:tc>
        <w:tc>
          <w:tcPr>
            <w:tcW w:w="16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(11,425)</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(5,389)</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(25,987)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loss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Finance expenses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subsidiaries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(14,658)</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(8,222)</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(33,552)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(17,422)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ind w:left="560"/>
              <w:spacing w:after="0"/>
              <w:rPr>
                <w:sz w:val="20"/>
                <w:szCs w:val="20"/>
                <w:color w:val="auto"/>
              </w:rPr>
            </w:pPr>
            <w:r>
              <w:rPr>
                <w:rFonts w:ascii="Arial" w:cs="Arial" w:eastAsia="Arial" w:hAnsi="Arial"/>
                <w:sz w:val="18"/>
                <w:szCs w:val="18"/>
                <w:b w:val="1"/>
                <w:bCs w:val="1"/>
                <w:color w:val="auto"/>
              </w:rPr>
              <w:t>Net loss</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(14,496)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(33,644)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(18,031)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attributable to the Company</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(14,605)</w:t>
            </w:r>
          </w:p>
        </w:tc>
        <w:tc>
          <w:tcPr>
            <w:tcW w:w="24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(9,798)</w:t>
            </w:r>
          </w:p>
        </w:tc>
        <w:tc>
          <w:tcPr>
            <w:tcW w:w="100" w:type="dxa"/>
            <w:vAlign w:val="bottom"/>
            <w:shd w:val="clear" w:color="auto" w:fill="CCEEFF"/>
          </w:tcPr>
          <w:p>
            <w:pPr>
              <w:spacing w:after="0"/>
              <w:rPr>
                <w:sz w:val="17"/>
                <w:szCs w:val="17"/>
                <w:color w:val="auto"/>
              </w:rPr>
            </w:pPr>
          </w:p>
        </w:tc>
        <w:tc>
          <w:tcPr>
            <w:tcW w:w="134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(33,783)</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(18,680)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ind w:left="56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a % of revenue:</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Gain on forgiveness of government assistance loans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6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Foreign exchange loss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(68.1)</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800" w:type="dxa"/>
            <w:vAlign w:val="bottom"/>
            <w:gridSpan w:val="8"/>
          </w:tcPr>
          <w:p>
            <w:pPr>
              <w:spacing w:after="0"/>
              <w:rPr>
                <w:sz w:val="20"/>
                <w:szCs w:val="20"/>
                <w:color w:val="auto"/>
              </w:rPr>
            </w:pPr>
            <w:r>
              <w:rPr>
                <w:rFonts w:ascii="Arial" w:cs="Arial" w:eastAsia="Arial" w:hAnsi="Arial"/>
                <w:sz w:val="18"/>
                <w:szCs w:val="18"/>
                <w:color w:val="auto"/>
              </w:rPr>
              <w:t>The following tables set forth our revenue by region and by product type for the periods indicated: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Three Months Ended September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left="850"/>
              <w:spacing w:after="0"/>
              <w:rPr>
                <w:sz w:val="20"/>
                <w:szCs w:val="20"/>
                <w:color w:val="auto"/>
              </w:rPr>
            </w:pPr>
            <w:r>
              <w:rPr>
                <w:rFonts w:ascii="Arial" w:cs="Arial" w:eastAsia="Arial" w:hAnsi="Arial"/>
                <w:sz w:val="18"/>
                <w:szCs w:val="18"/>
                <w:b w:val="1"/>
                <w:bCs w:val="1"/>
                <w:color w:val="auto"/>
                <w:w w:val="95"/>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jc w:val="center"/>
              <w:ind w:right="190"/>
              <w:spacing w:after="0"/>
              <w:rPr>
                <w:sz w:val="20"/>
                <w:szCs w:val="20"/>
                <w:color w:val="auto"/>
              </w:rPr>
            </w:pPr>
            <w:r>
              <w:rPr>
                <w:rFonts w:ascii="Arial" w:cs="Arial" w:eastAsia="Arial" w:hAnsi="Arial"/>
                <w:sz w:val="18"/>
                <w:szCs w:val="18"/>
                <w:b w:val="1"/>
                <w:bCs w:val="1"/>
                <w:i w:val="1"/>
                <w:iCs w:val="1"/>
                <w:color w:val="auto"/>
                <w:w w:val="87"/>
              </w:rPr>
              <w:t>(dollars in thousands)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center"/>
              <w:ind w:right="200"/>
              <w:spacing w:after="0"/>
              <w:rPr>
                <w:sz w:val="20"/>
                <w:szCs w:val="20"/>
                <w:color w:val="auto"/>
              </w:rPr>
            </w:pPr>
            <w:r>
              <w:rPr>
                <w:rFonts w:ascii="Arial" w:cs="Arial" w:eastAsia="Arial" w:hAnsi="Arial"/>
                <w:sz w:val="18"/>
                <w:szCs w:val="18"/>
                <w:b w:val="1"/>
                <w:bCs w:val="1"/>
                <w:i w:val="1"/>
                <w:iCs w:val="1"/>
                <w:color w:val="auto"/>
                <w:w w:val="87"/>
              </w:rPr>
              <w:t>(dollars in thousands)</w:t>
            </w: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by region: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11,774</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38,319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35,345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21,539</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24,563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75,211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72,988</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Three Months Ended September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left="850"/>
              <w:spacing w:after="0"/>
              <w:rPr>
                <w:sz w:val="20"/>
                <w:szCs w:val="20"/>
                <w:color w:val="auto"/>
              </w:rPr>
            </w:pPr>
            <w:r>
              <w:rPr>
                <w:rFonts w:ascii="Arial" w:cs="Arial" w:eastAsia="Arial" w:hAnsi="Arial"/>
                <w:sz w:val="18"/>
                <w:szCs w:val="18"/>
                <w:b w:val="1"/>
                <w:bCs w:val="1"/>
                <w:color w:val="auto"/>
                <w:w w:val="95"/>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jc w:val="center"/>
              <w:ind w:right="190"/>
              <w:spacing w:after="0"/>
              <w:rPr>
                <w:sz w:val="20"/>
                <w:szCs w:val="20"/>
                <w:color w:val="auto"/>
              </w:rPr>
            </w:pPr>
            <w:r>
              <w:rPr>
                <w:rFonts w:ascii="Arial" w:cs="Arial" w:eastAsia="Arial" w:hAnsi="Arial"/>
                <w:sz w:val="18"/>
                <w:szCs w:val="18"/>
                <w:b w:val="1"/>
                <w:bCs w:val="1"/>
                <w:i w:val="1"/>
                <w:iCs w:val="1"/>
                <w:color w:val="auto"/>
                <w:w w:val="87"/>
              </w:rPr>
              <w:t>(dollars in thousands)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center"/>
              <w:ind w:right="200"/>
              <w:spacing w:after="0"/>
              <w:rPr>
                <w:sz w:val="20"/>
                <w:szCs w:val="20"/>
                <w:color w:val="auto"/>
              </w:rPr>
            </w:pPr>
            <w:r>
              <w:rPr>
                <w:rFonts w:ascii="Arial" w:cs="Arial" w:eastAsia="Arial" w:hAnsi="Arial"/>
                <w:sz w:val="18"/>
                <w:szCs w:val="18"/>
                <w:b w:val="1"/>
                <w:bCs w:val="1"/>
                <w:i w:val="1"/>
                <w:iCs w:val="1"/>
                <w:color w:val="auto"/>
                <w:w w:val="87"/>
              </w:rPr>
              <w:t>(dollars in thousands)</w:t>
            </w: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by product: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Subscription—Systems</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7,193</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29,490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33,958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Products—Systems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Products—Other (1)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9,330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Services (2)</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21,539</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24,563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75,211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72,988</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Products-Other include ARTAS procedure kits and other consumables.</w:t>
      </w:r>
    </w:p>
    <w:p>
      <w:pPr>
        <w:spacing w:after="0" w:line="23" w:lineRule="exact"/>
        <w:rPr>
          <w:rFonts w:ascii="Arial" w:cs="Arial" w:eastAsia="Arial" w:hAnsi="Arial"/>
          <w:sz w:val="18"/>
          <w:szCs w:val="18"/>
          <w:color w:val="auto"/>
        </w:rPr>
      </w:pPr>
    </w:p>
    <w:p>
      <w:pPr>
        <w:ind w:left="340" w:right="540" w:hanging="332"/>
        <w:spacing w:after="0" w:line="26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Services include extended warranty sales and VeroGrafters technician services. VeroGrafters technician services were discontinued in the fourth quarter of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Revenues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ind w:left="660"/>
              <w:spacing w:after="0"/>
              <w:rPr>
                <w:sz w:val="20"/>
                <w:szCs w:val="20"/>
                <w:color w:val="auto"/>
              </w:rPr>
            </w:pPr>
            <w:r>
              <w:rPr>
                <w:rFonts w:ascii="Arial" w:cs="Arial" w:eastAsia="Arial" w:hAnsi="Arial"/>
                <w:sz w:val="18"/>
                <w:szCs w:val="18"/>
                <w:b w:val="1"/>
                <w:bCs w:val="1"/>
                <w:color w:val="auto"/>
                <w:w w:val="91"/>
              </w:rPr>
              <w:t>Three Months Ended September 30,</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89"/>
              </w:rPr>
              <w:t>2022</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520" w:type="dxa"/>
            <w:vAlign w:val="bottom"/>
            <w:gridSpan w:val="2"/>
          </w:tcPr>
          <w:p>
            <w:pPr>
              <w:ind w:left="560"/>
              <w:spacing w:after="0"/>
              <w:rPr>
                <w:sz w:val="20"/>
                <w:szCs w:val="20"/>
                <w:color w:val="auto"/>
              </w:rPr>
            </w:pPr>
            <w:r>
              <w:rPr>
                <w:rFonts w:ascii="Arial" w:cs="Arial" w:eastAsia="Arial" w:hAnsi="Arial"/>
                <w:sz w:val="18"/>
                <w:szCs w:val="18"/>
                <w:b w:val="1"/>
                <w:bCs w:val="1"/>
                <w:color w:val="auto"/>
                <w:w w:val="97"/>
              </w:rPr>
              <w:t>(in thousands, except percentages)</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 of Total</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 of Total</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Subscription—Systems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(5,441)</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r>
      <w:tr>
        <w:trPr>
          <w:trHeight w:val="20"/>
        </w:trPr>
        <w:tc>
          <w:tcPr>
            <w:tcW w:w="58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24,563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(3,024)</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revenue decreased by $3.0 million, or 12.3%, to 21.5 million for the three months ended September 30, 2022 from $24.6 million for the three months ended September 30, 2021. The decrease in revenue is primarily attributed to an initiative to reduce our reliance on system sales sold under subscription agreements. This strategic shift is designed to improve cash generation and reduce our exposure to defaults and increased bad debt expense given the increasingly challenging economic environment caused by the coexistence of high inflation and high interest rates. Our international business was also impacted by negative foreign exchange headwinds of $0.8 million due to a strengthening U.S. dollar, as well as general macroeconomic headwinds that impacted customer access to capital. Despite the reduction in systems sales sold under subscriptions agreements, our cash generation in the third quarter of 2022 improved due to higher system sales sold on a cash basis.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sold an aggregate of 350 systems in the three months ended September 30, 2022 compared to 383 systems in the three months ended September 30, 2021. The percentage of systems revenue derived from our subscription model was approximately 41% and 61% during the three months ended September 30, 2022 and 2021, respectively. The relative decrease in subscription revenues is in line with our strategy to prioritize cash deals over subscription deals in order to improve cash generation and preserve liquidity.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product revenue increased by $0.2 million, or 5.5%, to $3.1 million in the three months ended September 30, 2022 compared to $2.9 million in the three months ended September 30, 2021. The increase was driven by stronger performance on ARTAS kits and other consumables.</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Services revenue decreased by $0.1 million, or 14.9%, to $0.8 million in the three months ended September 30, 2022, compared to $0.9 million in the three months ended September 30, 2021. The decrease was driven by the discontinuation of our VeroGrafters technician services in the fourth quarter of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Profit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Cost of goods sold increased by $0.9 million, or 13.0%, to $8.2 million in the three months ended September 30, 2022, compared to $7.3 million in the three months ended September 30, 2021. Gross profit decreased by $3.9 million, or 22.6%, to $13.4 million in the three months ended September 30, 2022, compared to $17.3 million in the three months ended September 30, 2021. The decrease in gross profit is primarily due to a decrease in revenue in the United States and International markets driven by the strategic decision to deemphasize subscription sales and the macroeconomic headwinds discussed above. Gross margin was 62.1% of revenue in the three months ended September 30, 2022, compared to 70.5% of revenue in the three months ended September 30, 2021. </w:t>
      </w:r>
      <w:r>
        <w:rPr>
          <w:rFonts w:ascii="Arial" w:cs="Arial" w:eastAsia="Arial" w:hAnsi="Arial"/>
          <w:sz w:val="18"/>
          <w:szCs w:val="18"/>
          <w:color w:val="333333"/>
        </w:rPr>
        <w:t>The decrease was due to a $1.4 million write-down of end-of-life devices and parts inventory, and a $0.8 million</w:t>
      </w:r>
      <w:r>
        <w:rPr>
          <w:rFonts w:ascii="Arial" w:cs="Arial" w:eastAsia="Arial" w:hAnsi="Arial"/>
          <w:sz w:val="18"/>
          <w:szCs w:val="18"/>
          <w:color w:val="auto"/>
        </w:rPr>
        <w:t xml:space="preserve"> foreign exchange headwind as a result of most currencies depreciating relative to the U.S. dollar. Adjusting for these factors, our gross margins are slightly above the prior year 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ind w:left="660"/>
              <w:spacing w:after="0"/>
              <w:rPr>
                <w:sz w:val="20"/>
                <w:szCs w:val="20"/>
                <w:color w:val="auto"/>
              </w:rPr>
            </w:pPr>
            <w:r>
              <w:rPr>
                <w:rFonts w:ascii="Arial" w:cs="Arial" w:eastAsia="Arial" w:hAnsi="Arial"/>
                <w:sz w:val="18"/>
                <w:szCs w:val="18"/>
                <w:b w:val="1"/>
                <w:bCs w:val="1"/>
                <w:color w:val="auto"/>
                <w:w w:val="92"/>
              </w:rPr>
              <w:t>Three Months Ended September 30,</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94"/>
              </w:rPr>
              <w:t>2022</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5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360" w:type="dxa"/>
            <w:vAlign w:val="bottom"/>
            <w:gridSpan w:val="2"/>
          </w:tcPr>
          <w:p>
            <w:pPr>
              <w:ind w:left="560"/>
              <w:spacing w:after="0"/>
              <w:rPr>
                <w:sz w:val="20"/>
                <w:szCs w:val="20"/>
                <w:color w:val="auto"/>
              </w:rPr>
            </w:pPr>
            <w:r>
              <w:rPr>
                <w:rFonts w:ascii="Arial" w:cs="Arial" w:eastAsia="Arial" w:hAnsi="Arial"/>
                <w:sz w:val="18"/>
                <w:szCs w:val="18"/>
                <w:b w:val="1"/>
                <w:bCs w:val="1"/>
                <w:color w:val="auto"/>
                <w:w w:val="92"/>
              </w:rPr>
              <w:t>(in thousands, except percentages)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Revenues</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Revenues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(681)</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58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expenses decreased by $0.7 million or 7.8% in the three months ended September 30, 2022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2021. This decrease is largely due to lower revenues and reduced marketing expenditures as we consolidate some of these activities. As a percentage of total revenues, our sales and marketing expenses increased by 1.9%, from 35.7% in the three months ended September 30, 2021 to 37.6% in the three months ended September 30, 2022. As the business environment improves, we expect sales and marketing expenses to increase in absolute terms, but at a rate slightly below our rate of revenue growth.</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increased by $2.1 million or 17.8% in the three months ended September 30, 2022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September 30, 2021, primarily due to increased bad debt expense, and inflationary pressures associated with salaries and other cost elements. As a percentage of total revenues, our general and administrative expenses increased by 16.8%, from 48.8% in the three months ended September 30, 2021, to 65.6% in the three months ended September 30, 2022, primarily due to the increases in costs previously discussed.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expenses increased by $0.7 million or 33.5% in the three months ended September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September 30, 2021. The increase is due to a reinvestment in research and development efforts directed at scaling our robotic technology across other aesthetic platforms. As a percentage of total revenues, our research and development expenses increased by 4.1%, from 7.9% in the three months ended September 30, 2021, to 12.0% in the three months ended September 30, 2022.</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Gain on forgiveness of government assistance loans. </w:t>
      </w:r>
      <w:r>
        <w:rPr>
          <w:rFonts w:ascii="Arial" w:cs="Arial" w:eastAsia="Arial" w:hAnsi="Arial"/>
          <w:sz w:val="18"/>
          <w:szCs w:val="18"/>
          <w:color w:val="auto"/>
        </w:rPr>
        <w:t>In 2021, we applied for and received partial forgiveness of the PPP Loans with the SBA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amount of $2.8 million of original PPP Loans as of September 30, 2021.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Foreign exchange loss. </w:t>
      </w:r>
      <w:r>
        <w:rPr>
          <w:rFonts w:ascii="Arial" w:cs="Arial" w:eastAsia="Arial" w:hAnsi="Arial"/>
          <w:sz w:val="18"/>
          <w:szCs w:val="18"/>
          <w:color w:val="auto"/>
        </w:rPr>
        <w:t>We had $2.0 million of foreign exchange loss in the three months ended September 30, 2022 and foreign exchange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$1.6 million in the three months ended September 30, 2021. It increased by $0.4 million in the three months ended September 30, 2022 compared to the three months ended September 30, 2021. Changes in foreign exchange are driven mainly by the effect of foreign exchange on accounts receivable balances denominated in currencies other than the US dollar. In the three months ended September 30, 2022, most currencies depreciated relative to the U.S. dollar. We do not currently hedge against foreign currency risk.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Finance Expenses</w:t>
      </w:r>
      <w:r>
        <w:rPr>
          <w:rFonts w:ascii="Arial" w:cs="Arial" w:eastAsia="Arial" w:hAnsi="Arial"/>
          <w:sz w:val="18"/>
          <w:szCs w:val="18"/>
          <w:color w:val="auto"/>
        </w:rPr>
        <w:t>. Finance expenses increased by $0.2 million or 20.0%, from $1.0 million in the three months ended September 30,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$1.2 million in the three months ended September 30, 2022, mostly due to an increase in LIBOR rates on the variable portion of our MSLP loan. See “—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Loss on disposal of subsidiaries</w:t>
      </w:r>
      <w:r>
        <w:rPr>
          <w:rFonts w:ascii="Arial" w:cs="Arial" w:eastAsia="Arial" w:hAnsi="Arial"/>
          <w:sz w:val="17"/>
          <w:szCs w:val="17"/>
          <w:color w:val="auto"/>
        </w:rPr>
        <w:t>. During the three months ended September 30, 2021 we sold our 80% share in our subsidiary, Venus Concept Africa (Pty)</w:t>
      </w:r>
      <w:r>
        <w:rPr>
          <w:rFonts w:ascii="Arial" w:cs="Arial" w:eastAsia="Arial" w:hAnsi="Arial"/>
          <w:sz w:val="17"/>
          <w:szCs w:val="17"/>
          <w:i w:val="1"/>
          <w:iCs w:val="1"/>
          <w:color w:val="auto"/>
        </w:rPr>
        <w:t xml:space="preserve"> </w:t>
      </w:r>
      <w:r>
        <w:rPr>
          <w:rFonts w:ascii="Arial" w:cs="Arial" w:eastAsia="Arial" w:hAnsi="Arial"/>
          <w:sz w:val="17"/>
          <w:szCs w:val="17"/>
          <w:color w:val="auto"/>
        </w:rPr>
        <w:t>Ltd., to a non-controlling shareholder for a nominal cash consideration. The disposal resulted in a loss of approximately $0.2 million.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We had an income tax benefit of $0.2 million in the three months ended September 30, 2022 compared to $0.6 million of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 the three months ended September 30, 2021. The tax provision is driven by profitable sales and the actual effective tax rates where the sale took place or losses were incurred. In 2022, we had changes in timing of deductible expenses and taxable income in specific jurisdictions, which resulted in $0.7 million of income tax benefit.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Revenues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8"/>
                <w:szCs w:val="18"/>
                <w:b w:val="1"/>
                <w:bCs w:val="1"/>
                <w:color w:val="auto"/>
              </w:rPr>
              <w:t>Nine Months Ended September 30,</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520" w:type="dxa"/>
            <w:vAlign w:val="bottom"/>
            <w:gridSpan w:val="2"/>
          </w:tcPr>
          <w:p>
            <w:pPr>
              <w:ind w:left="560"/>
              <w:spacing w:after="0"/>
              <w:rPr>
                <w:sz w:val="20"/>
                <w:szCs w:val="20"/>
                <w:color w:val="auto"/>
              </w:rPr>
            </w:pPr>
            <w:r>
              <w:rPr>
                <w:rFonts w:ascii="Arial" w:cs="Arial" w:eastAsia="Arial" w:hAnsi="Arial"/>
                <w:sz w:val="18"/>
                <w:szCs w:val="18"/>
                <w:b w:val="1"/>
                <w:bCs w:val="1"/>
                <w:color w:val="auto"/>
                <w:w w:val="97"/>
              </w:rPr>
              <w:t>(in thousands, except percentages)</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 of Total</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 of Total</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Subscription—Systems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33,958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(4,468)</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r>
      <w:tr>
        <w:trPr>
          <w:trHeight w:val="20"/>
        </w:trPr>
        <w:tc>
          <w:tcPr>
            <w:tcW w:w="58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75,211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72,988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revenue increased by $2.2 million, or 3.0%, to $75.2 million for the nine months ended September 30, 2022 from $73.0 million for the nine months ended September 30, 2021. The increase in revenue is attributable to a strong performance in the United States where our reinvestment efforts are beginning to yield positive results. Our international markets were lower due to significant foreign exchange headwinds of $1.8 million, partially offset by a strong performance in distributor sales. In the nine months ended September 30, 2022 our hair restoration business led by ARTAS continued to perform well globally, and in the United States we successfully executed a launch of Bliss Max and we expect this to be a key growth driver during the balance of 2022 given its unique coverage of three modalities (fat reduction, skin tightening and muscle stimulation).</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sold an aggregate of 1,233 systems in the nine months ended September 30, 2022 compared to 1,145 systems in the nine months ended September 30, 2021. The percentage of systems revenue derived from our subscription model was approximately 46.6% and 56% during the nine months ended September 30, 2022 and 2021, respectively. The relative decrease in system revenues sold under subscription is in line with our strategy to prioritize cash deals over subscription deals in order to improve cash generation and preserve liquidity.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product revenue increased by 0.4 million, or 4.0%, to $9.7 million in the nine months ended September 30, 2022 compared to $9.3 million in the nine months ended September 30, 2021. The increase was driven by stronger performance on ARTAS kits, Venus Viva tips and other consumables.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Services revenue decreased by $1.0 million, or 31.3%, to $2.2 million in the nine months ended September 30, 2022, compared to $3.2 million in the nine months ended September 30, 2021. The decrease was driven by the discontinuation of our VeroGrafters technician services in the fourth quarter of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Profit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goods sold increased by $3.3 million, or 15.0%, to 25.0 million in the nine months ended September 30, 2022, compared to $21.7 million in the nine months ended September 30, 2021. Gross profit decreased by $1.1 million, or 2.1%, to $50.2 million in the nine months ended September 30, 2022, compared to $51.3 million in the nine months ended September 30, 2021. The decrease in gross profit is primarily attributable to a $1.4 million write-down of end-of-life devices and parts inventory, and foreign exchange headwinds of $1.8 million. Gross margin was 66.7% of revenue in the nine months ended September 30, 2022, compared to 70.2% of revenue in the nine months ended September 30, 2021. The decrease was due to inventory write-downs and foreign exchange impacts noted above. Adjusting for these factors, gross profit is above the prior year period and gross margins are in line with the prior year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8"/>
                <w:szCs w:val="18"/>
                <w:b w:val="1"/>
                <w:bCs w:val="1"/>
                <w:color w:val="auto"/>
              </w:rPr>
              <w:t>Nine Months Ended 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20" w:type="dxa"/>
            <w:vAlign w:val="bottom"/>
            <w:gridSpan w:val="2"/>
          </w:tcPr>
          <w:p>
            <w:pPr>
              <w:ind w:left="560"/>
              <w:spacing w:after="0"/>
              <w:rPr>
                <w:sz w:val="20"/>
                <w:szCs w:val="20"/>
                <w:color w:val="auto"/>
              </w:rPr>
            </w:pPr>
            <w:r>
              <w:rPr>
                <w:rFonts w:ascii="Arial" w:cs="Arial" w:eastAsia="Arial" w:hAnsi="Arial"/>
                <w:sz w:val="18"/>
                <w:szCs w:val="18"/>
                <w:b w:val="1"/>
                <w:bCs w:val="1"/>
                <w:color w:val="auto"/>
                <w:w w:val="97"/>
              </w:rPr>
              <w:t>(in thousands, except percentages)</w:t>
            </w:r>
          </w:p>
        </w:tc>
        <w:tc>
          <w:tcPr>
            <w:tcW w:w="28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Revenues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Revenues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27,484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Gain on forgiveness of government</w:t>
            </w:r>
          </w:p>
        </w:tc>
        <w:tc>
          <w:tcPr>
            <w:tcW w:w="2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assistance loans</w:t>
            </w:r>
          </w:p>
        </w:tc>
        <w:tc>
          <w:tcPr>
            <w:tcW w:w="2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76,169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101.3</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61,956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14,213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expenses increased by $0.7 million or 2.8% in the nine months ended September 30, 2022 compared to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2021. This increase is largely due to our increased focus in the United States, reinvestment in key markets that benefited from the global economic recovery and inflationary pressures associated with salaries and other sales and marketing cost elements. As a percentage of total revenues, our sales and marketing expenses decreased by 0.1%, from 36.6% in the nine months ended September 30, 2021 to 36.5% in the nine months ended September 30, 2022. As the business environment improves, we expect sales and marketing expenses to continue to increase in absolute terms, but at a rate slightly below our rate of revenue growth.</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increased by $9.5 million or 29.7% in the nine months ended September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30, 2021, primarily due to bad debt expense of $5.9 million, whereas in the nine months ended September 30, 2021, we recorded a significant bad debt recovery of $3.2 million due to a reactivation of accounts impacted by COVID-19. General and administrative expenses were also impacted significant inflationary pressures associated with salaries and other cost elements. As a percentage of total revenues, our general and administrative expenses increased by 11.3%, from 43.8% in the nine months ended September 30, 2021, to 55.1% in the nine months ended September 30, 2022, primarily due to the increases in costs noted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$1.2 million or 20.1% in the nine months ended September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30, 2021. The increase is due to a reinvestment in research and development efforts directed at scaling our robotic technology across other aesthetic platforms. As a percentage of total revenues, our research and development expenses increased 1.4%, from 8.2% in the nine months ended September 30, 2021, to 9.6% in the nine months ended September 30, 2022.</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Gain on forgiveness of government assistance loans. </w:t>
      </w:r>
      <w:r>
        <w:rPr>
          <w:rFonts w:ascii="Arial" w:cs="Arial" w:eastAsia="Arial" w:hAnsi="Arial"/>
          <w:sz w:val="18"/>
          <w:szCs w:val="18"/>
          <w:color w:val="auto"/>
        </w:rPr>
        <w:t>In 2021, we applied for and received partial forgiveness of the PPP Loans with the SBA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amount of $2.8 million of original PPP Loans as of September 30, 2021.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Foreign exchange loss. </w:t>
      </w:r>
      <w:r>
        <w:rPr>
          <w:rFonts w:ascii="Arial" w:cs="Arial" w:eastAsia="Arial" w:hAnsi="Arial"/>
          <w:sz w:val="18"/>
          <w:szCs w:val="18"/>
          <w:color w:val="auto"/>
        </w:rPr>
        <w:t>We had $4.4 million of foreign exchange loss in the nine months ended September 30, 2022 and foreign exchange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$2.5 million in the nine months ended September 30, 2021. It increased by $1.9 million in the nine months ended September 30, 2022 compared to the nine months ended September 30, 2021. Changes in foreign exchange are driven mainly by the effect of foreign exchange on accounts receivable balances denominated in currencies other than the US dollar. In the nine months ended September 30, 2022, most currencies depreciated relative to the U.S. dollar. We do not currently hedge against foreign currency risk.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Finance Expenses</w:t>
      </w:r>
      <w:r>
        <w:rPr>
          <w:rFonts w:ascii="Arial" w:cs="Arial" w:eastAsia="Arial" w:hAnsi="Arial"/>
          <w:sz w:val="18"/>
          <w:szCs w:val="18"/>
          <w:color w:val="auto"/>
        </w:rPr>
        <w:t>. Finance expenses decreased by $0.8 million or 20.9%, from $4.0 million in the nine months ended September 30,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$3.2 million in the nine months ended September 30, 2022, mostly due to decreased amortization of deferred finance costs, paritally offset by higher LIBOR rates on our MSLP loan.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Loss on disposal of subsidiaries</w:t>
      </w:r>
      <w:r>
        <w:rPr>
          <w:rFonts w:ascii="Arial" w:cs="Arial" w:eastAsia="Arial" w:hAnsi="Arial"/>
          <w:sz w:val="17"/>
          <w:szCs w:val="17"/>
          <w:color w:val="auto"/>
        </w:rPr>
        <w:t>. During the nine months ended September 30, 2021 we sold our 80% share in our subsidiary, Venus Concept Africa (Pty)</w:t>
      </w:r>
      <w:r>
        <w:rPr>
          <w:rFonts w:ascii="Arial" w:cs="Arial" w:eastAsia="Arial" w:hAnsi="Arial"/>
          <w:sz w:val="17"/>
          <w:szCs w:val="17"/>
          <w:i w:val="1"/>
          <w:iCs w:val="1"/>
          <w:color w:val="auto"/>
        </w:rPr>
        <w:t xml:space="preserve"> </w:t>
      </w:r>
      <w:r>
        <w:rPr>
          <w:rFonts w:ascii="Arial" w:cs="Arial" w:eastAsia="Arial" w:hAnsi="Arial"/>
          <w:sz w:val="17"/>
          <w:szCs w:val="17"/>
          <w:color w:val="auto"/>
        </w:rPr>
        <w:t>Ltd., to a non-controlling shareholder for a nominal cash consideration. The disposal resulted in a loss of approximately $0.2 million.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had an income tax expense was $0.1 million in the nine months ended September 30, 2022 compared to $0.6 million of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 in the nine months ended September 30, 2021. The tax provision is driven by profitable sales and the actual effective tax rates where the sale took place or losses were incurred. In the first nine months of 2022, we had changes in timing of deductible expenses and taxable income in specific jurisdictions, which resulted in $1.2 million of income tax benefit.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$6.8 million and $30.9 million of cash and cash equivalents as of September 30, 2022, and December 31, 2021, respectively. We have funded our operations with cash generated from operating activities, through the sale of equity securities and through debt financing. We had total debt obligations of approximately $77.6 million as of September 30, 2022, including the MSLP Loan of $50.9 million and convertible notes of $26.7 million including closing fees of $1.6 million, compared to total debt obligations of approximately $77.8 million as of December 31, 2021.</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working capital requirements reflect the growth of our business over the last few years. Working capital is primarily impacted by growth in our subscription sales which also impacts accounts receivable. Our overall growth also requires higher inventory levels to meet demand and to accommodate the increased number of technology platforms offered. We had a split of subscription sales revenue to traditional sales revenue at a ratio of approximately 52:48 in the nine months ended September 30, 2022, compared to 56:44 in the nine months ended September 30, 2021. We expect inventory to continue to increase in the short term, but at a lower rate than the rate of revenue growth.</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Secured Subordinated Convertible Notes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Contemporaneously with the MSLP Loan Agreement, on December 9, 2020, we issued $26.7 million aggregate principal amount of the Notes to the Madryn Noteholders pursuant to the terms of the Exchange Agreement. The Notes will accrue interest at a rate of 8.0% per annum from the date of original issuance of the Notes to the third anniversary date of the original issuance and thereafter interest will accrue at a rate of 6.0% per annum. In connection with the Exchange Agreement, we also entered into (i) the Madryn Security Agreement, pursuant to which we agreed to grant Madryn a security interest, in substantially all of our assets, to secure the obligations under the Notes and (ii) the CNB Subordination Agreement. The Notes are convertible at any time into shares of our common stock at an initial conversion price of $3.25 per share, subject to adjustment. For additional information regarding the Notes, Exchange Agreement, Madryn Security Agreement and CNB Subordination Agreement, see Note 10 “</w:t>
      </w:r>
      <w:r>
        <w:rPr>
          <w:rFonts w:ascii="Arial" w:cs="Arial" w:eastAsia="Arial" w:hAnsi="Arial"/>
          <w:sz w:val="17"/>
          <w:szCs w:val="17"/>
          <w:i w:val="1"/>
          <w:iCs w:val="1"/>
          <w:color w:val="auto"/>
        </w:rPr>
        <w:t>Madryn Long-Term Debt and Convertible Notes</w:t>
      </w:r>
      <w:r>
        <w:rPr>
          <w:rFonts w:ascii="Arial" w:cs="Arial" w:eastAsia="Arial" w:hAnsi="Arial"/>
          <w:sz w:val="17"/>
          <w:szCs w:val="17"/>
          <w:color w:val="auto"/>
        </w:rPr>
        <w:t>” to our unaudited condensed consolidated financial statements included elsewhere in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 Street Priority Lending Program 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For additional information regarding this loan, see Note 9 “</w:t>
      </w:r>
      <w:r>
        <w:rPr>
          <w:rFonts w:ascii="Arial" w:cs="Arial" w:eastAsia="Arial" w:hAnsi="Arial"/>
          <w:sz w:val="18"/>
          <w:szCs w:val="18"/>
          <w:i w:val="1"/>
          <w:iCs w:val="1"/>
          <w:color w:val="auto"/>
        </w:rPr>
        <w:t>Main Street Term Loan</w:t>
      </w:r>
      <w:r>
        <w:rPr>
          <w:rFonts w:ascii="Arial" w:cs="Arial" w:eastAsia="Arial" w:hAnsi="Arial"/>
          <w:sz w:val="18"/>
          <w:szCs w:val="18"/>
          <w:color w:val="auto"/>
        </w:rPr>
        <w:t>” to our unaudited condensed consolidated financial statements included elsewhere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CNB Loan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revolving credit facility with CNB pursuant to which CNB agreed to provide a revolving credit facility to us and certain of our subsidiaries to be used to finance working capital requirements. As of December 31, 2020, a portion of the proceeds from the MSLP Loan described above was used to repay $3.2 million of outstanding borrowings under the CNB Loan Agreement. There was $nil outstanding balance as of September 30, 2022 and December 31, 2021.</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26, 2021 we entered into the Fourth Amended and Restated CNB Loan Agreement with CNB, pursuant to which, among other things, (i) the maximum principal amount the revolving credit facility was reduced from $10.0 million to $5.0 million at the LIBOR 30-Day rate plus 3.25%, subject to a minimum LIBOR rate floor of 0.50%, and (ii) beginning December 10, 2021, the cash deposit requirement was reduced from $3.0 million to $1.5 million, to be maintained with CNB at all times during the term of the Amended CNB Loan Agreement. As of September 30, 2022, and December 31, 2021, we were in compliance with all required covenants. For additional information on the CNB Loan Agreement and the related agreements, see Note 11 “</w:t>
      </w:r>
      <w:r>
        <w:rPr>
          <w:rFonts w:ascii="Arial" w:cs="Arial" w:eastAsia="Arial" w:hAnsi="Arial"/>
          <w:sz w:val="17"/>
          <w:szCs w:val="17"/>
          <w:i w:val="1"/>
          <w:iCs w:val="1"/>
          <w:color w:val="auto"/>
        </w:rPr>
        <w:t>Credit</w:t>
      </w:r>
      <w:r>
        <w:rPr>
          <w:rFonts w:ascii="Arial" w:cs="Arial" w:eastAsia="Arial" w:hAnsi="Arial"/>
          <w:sz w:val="17"/>
          <w:szCs w:val="17"/>
          <w:color w:val="auto"/>
        </w:rPr>
        <w:t xml:space="preserve"> </w:t>
      </w:r>
      <w:r>
        <w:rPr>
          <w:rFonts w:ascii="Arial" w:cs="Arial" w:eastAsia="Arial" w:hAnsi="Arial"/>
          <w:sz w:val="17"/>
          <w:szCs w:val="17"/>
          <w:i w:val="1"/>
          <w:iCs w:val="1"/>
          <w:color w:val="auto"/>
        </w:rPr>
        <w:t>Facility</w:t>
      </w:r>
      <w:r>
        <w:rPr>
          <w:rFonts w:ascii="Arial" w:cs="Arial" w:eastAsia="Arial" w:hAnsi="Arial"/>
          <w:sz w:val="17"/>
          <w:szCs w:val="17"/>
          <w:color w:val="auto"/>
        </w:rPr>
        <w:t>” to our unaudited condensed consolidated financial statements included elsewhere in this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Purchase Agreement with Lincoln Park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 (as defined above).</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nine months ended September 30, 2022, we issued and sold 0.4 million of our common stock shares to Lincoln Park under the Equity Purchase Agreement. The net cash proceeds from shares issuance as of September 30, 2022 were $0.3 million. The Equity Purchase Agreement expired on July 1, 2022, and was subsequently replaced by the 2022 LPC Purchase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2022 LPC Purchase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12, 2022, we entered into the 2022 LPC Purchase Agreement with Lincoln Park, and we issued and sold to Lincoln Park 0.7 million shares of our common stock as a commitment fee in connection with entering into the 2022 LPC Purchase Agreement, with the total value of $0.3 million. Through September 30, we issued an additional 0.5 million shares of common stock to Lincoln Park at an average price of $0.50 per share, for a total value of $0.3 million. For additional information regarding the 2022 LPC Purchase Agreement, see Note 14 “</w:t>
      </w:r>
      <w:r>
        <w:rPr>
          <w:rFonts w:ascii="Arial" w:cs="Arial" w:eastAsia="Arial" w:hAnsi="Arial"/>
          <w:sz w:val="18"/>
          <w:szCs w:val="18"/>
          <w:i w:val="1"/>
          <w:iCs w:val="1"/>
          <w:color w:val="auto"/>
        </w:rPr>
        <w:t>Stockholders Equity</w:t>
      </w:r>
      <w:r>
        <w:rPr>
          <w:rFonts w:ascii="Arial" w:cs="Arial" w:eastAsia="Arial" w:hAnsi="Arial"/>
          <w:sz w:val="18"/>
          <w:szCs w:val="18"/>
          <w:color w:val="auto"/>
        </w:rPr>
        <w:t>” in the notes to our unaudited condensed consolidated financial statements included elsewhere in this report.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Assistance Programs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April 2020, Venus Concept Inc. and Venus USA, received funding in the total amount of $4.1 million, in connection with two “Small Business Loans” under the PPP.</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borrowed $1.7 million pursuant to the Venus Concept PPP Loan. Venus USA also borrowed $2.4 million pursuant to the Venus USA PPP Loan. The terms of the Venus USA PPP Loan are substantially similar to the terms of the Venus Concept PPP Loan. In 2021, we applied through CNB, for partial forgiveness of both PPP Loans with the SBA and received partial forgiveness of the Venus USA PPP Loan in the amount of $1.7 million and the Venus Concept PPP Loan in the amount of $1.1 million. The remaining portion of the PPP Loans of the Company was fully repaid in the nine months ended September 30, 2022.</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2020, certain subsidiaries also received funding in the total amount of $1.1 million in connection with various governmental programs to support businesses impacted by COVID-19. The terms of these government assistance programs vary by jurisdiction. These government subsidies were recorded as a reduction to the associated wage costs recorded in general and administrative expenses in the unaudited condensed consolidated statement of operations.</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additional information on our utilization of government assistance programs, see Note 12 “</w:t>
      </w:r>
      <w:r>
        <w:rPr>
          <w:rFonts w:ascii="Arial" w:cs="Arial" w:eastAsia="Arial" w:hAnsi="Arial"/>
          <w:sz w:val="18"/>
          <w:szCs w:val="18"/>
          <w:i w:val="1"/>
          <w:iCs w:val="1"/>
          <w:color w:val="auto"/>
        </w:rPr>
        <w:t>Government Assistance Programs</w:t>
      </w:r>
      <w:r>
        <w:rPr>
          <w:rFonts w:ascii="Arial" w:cs="Arial" w:eastAsia="Arial" w:hAnsi="Arial"/>
          <w:sz w:val="18"/>
          <w:szCs w:val="18"/>
          <w:color w:val="auto"/>
        </w:rPr>
        <w:t>” in the notes to our unaudited condensed consolidated financial statements included elsewhere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2022, we had capital resources consisting of cash and cash equivalents of approximately $6.8 million. We have financed our operations principally through the issuance and sale of our common stock and preferred stock, debt financing, and payments from customers.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the net proceeds from the 2021 Private Placement, net proceeds from the December 2020 Public Offering, the proceeds from issuance of our common stock to Lincoln Park, the proceeds from the government assistance programs, the proceeds from the MSLP Loan, our continued availability under the 2022 LPC Purchase Agreement, our strategic cash flow enhancement initiatives, together with our existing cash and cash equivalents, will enable us to fund our operating expenses and capital expenditure requirements for at least the next 12 months.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70" w:lineRule="exact"/>
        <w:rPr>
          <w:sz w:val="20"/>
          <w:szCs w:val="20"/>
          <w:color w:val="auto"/>
        </w:rPr>
      </w:pPr>
    </w:p>
    <w:p>
      <w:pPr>
        <w:ind w:left="660" w:hanging="315"/>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curtail our efforts to develop system product enhancements or new products, including any clinical trials that may be required to market such enhancements;</w:t>
      </w:r>
    </w:p>
    <w:p>
      <w:pPr>
        <w:spacing w:after="0" w:line="1" w:lineRule="exact"/>
        <w:rPr>
          <w:rFonts w:ascii="Arial" w:cs="Arial" w:eastAsia="Arial" w:hAnsi="Arial"/>
          <w:sz w:val="18"/>
          <w:szCs w:val="18"/>
          <w:color w:val="auto"/>
        </w:rPr>
      </w:pPr>
    </w:p>
    <w:p>
      <w:pPr>
        <w:ind w:left="660" w:hanging="315"/>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curtail our plans to increase and expand our sales and marketing efforts; or</w:t>
      </w:r>
    </w:p>
    <w:p>
      <w:pPr>
        <w:spacing w:after="0" w:line="9" w:lineRule="exact"/>
        <w:rPr>
          <w:rFonts w:ascii="Arial" w:cs="Arial" w:eastAsia="Arial" w:hAnsi="Arial"/>
          <w:sz w:val="18"/>
          <w:szCs w:val="18"/>
          <w:color w:val="auto"/>
        </w:rPr>
      </w:pPr>
    </w:p>
    <w:p>
      <w:pPr>
        <w:ind w:left="660" w:hanging="315"/>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curtail our plans to enhance our customer support and marketing activities.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restricted by covenants in the MSLP Loan, the Amended CNB Loan Agreement, the Madryn Security Agreement and other government assistance programs. These covenants restrict, among other things, our ability to incur additional indebtedness, which may limit our ability to obtain additional debt financing. In the event that the pandemic and the economic disruptions it has caused continue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including long-term funding requirements, will depend on many factors, including, but not limited to:</w:t>
      </w:r>
    </w:p>
    <w:p>
      <w:pPr>
        <w:spacing w:after="0" w:line="1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growing our ongoing commercialization and sales and marketing activities;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manufacturing and maintaining enough inventories of our systems to meet anticipated demand and inventory write-offs related to obsolete products or components;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enhancing the existing functionality and development of new functionalities for our systems;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variability of ARTAS procedures being performed between periods if particular high-volume practitioners perform a smaller number of procedures in each period as a result of the concentration of procedures performed by certain practitioners;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product liability or other lawsuits and the costs associated with defending them or the results of such lawsuits;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conducting business and maintaining subsidiaries and other entities in foreign jurisdictions;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customers in jurisdictions where our systems are not approved delaying their purchase, and not purchasing our systems, until they are approved or cleared for use in their market;</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to attract and retain personnel with the skills required for effective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related to the COVID-19 pandemic and related variants.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6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60" w:type="dxa"/>
            <w:vAlign w:val="bottom"/>
            <w:gridSpan w:val="3"/>
          </w:tcPr>
          <w:p>
            <w:pPr>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32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5"/>
              </w:rPr>
              <w:t>(in 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(23,573)</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(19,370)</w:t>
            </w:r>
          </w:p>
        </w:tc>
      </w:tr>
      <w:tr>
        <w:trPr>
          <w:trHeight w:val="216"/>
        </w:trPr>
        <w:tc>
          <w:tcPr>
            <w:tcW w:w="58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60" w:type="dxa"/>
            <w:vAlign w:val="bottom"/>
            <w:gridSpan w:val="3"/>
          </w:tcPr>
          <w:p>
            <w:pPr>
              <w:ind w:left="560"/>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Pr>
          <w:p>
            <w:pPr>
              <w:jc w:val="right"/>
              <w:ind w:right="778"/>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(24,099)</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(18,516)</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nine months ended September 30, 2022, cash used in operating activities consisted of a net loss of $33.6 million and an investment in net operating assets of $2.2 million, partially offset by non-cash operating expenses of $12.3 million. The investment in net operating assets was attributable to an increase in accounts receivable of $4.5 million, an increase in prepaid expenses of 0.8 million, an increase in other current assets of $0.4 million, an increase in other long-term assets of $0.3 million, a decrease in trade payables of $1.2 million, and a decrease of severance pay funds of $0.1 million. This was partially offset by a a decrease in inventories of $5.5 million, a decrease in advances to suppliers of $1.4 million, a decrease in accrued expenses and other current liabilities of $2.2 million, a decrease in unearned interest income of $0.1 million, and a decrease in other long-term liabilities of $0.3 million. The non-cash operating expenses consisted of provision for bad debts of $5.9 million, depreciation and amortization of $3.3 million, finance expenses and accretion of $0.3 million, stock-based compensation expense of $1.6 million, provision for inventory obsolescence of $1.8 million, partially offset by a deferred tax recovery of $0.6 million.</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the nine months ended September 30, 2021, cash used in operating activities consisted of a net loss of $18.0 million and an investment in net operating assets of $4.9 million, partially offset by non-cash operating expenses of $3.6 million. The investment in net operating assets was primarily attributable to an increase in inventories of $4.4 million, an increase in advances to suppliers of $0.1 million, an increase in prepaid expenses of $0.1 million, an increase in other long-term assets of $0.1 million, a decrease in accounts payable of $1.6 million, a decrease in accrued expenses and other current liabilities of $3.1 million, a decrease in severance pay funds of $0.1 million, and a decrease in other non-current liabilities of $0.1 million. This was partially offset by a decrease in accounts receivable of $3.5 million, primarily due to stronger collections as customers start to recover from the pandemic globally during 2021, a decrease in other current assets of $0.9 million and increase in unearned interest income of $0.1 million. The non-cash operating expenses consisted mainly of a recovery for bad debts of $0.6 million, depreciation and amortization of $3.8 million, finance expenses and accretion of $1.0 million, stock-based compensation expense of $1.6 million, provision for inventory obsolescence of $1.1 million, loss on the sale of a subsidiary of $0.2 million, gain on forgiveness of government assistance loans of $2.8 million and deferred tax recovery of $0.7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the nine months ended September 30, 2022, cash used in investing activities consisted of $0.3 million for the purchase of property and equipment.</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nine months ended September 30, 2021, cash used in investing activities consisted of $0.2 million for the purchase of property and equipment and the proceeds from the sale of a subsidiary, net of $40 thousand of cash relinquished.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nine months ended September 30, 2022, cash used in financing activities primarily consisted of $0.6 million repayment of government assistance loans and $0.1 million of dividends from subsidiaries paid to non-controlling interest, partially offset by net proceeds from the issuance of shares of common stock to Lincoln Park of $0.4 million and proceeds from exercise of options of $23 thousand.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nine months ended September 30, 2021, cash provided by financing activities consisted primarily of proceeds from the exercise of 2020 December Public Offering Warrants of $0.9 million, proceeds from the exercise of options of $0.3 million, partially offset by the payment of the NeoGraft earn-out liability of $0.1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premises are leased under various operating lease agreements, which expire on various dates.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we had non-cancellable purchase orders placed with our contract manufacturers in the amount of $16.5 million. In addition, as of September 30, 2022, we had $5.1 million of open purchase orders that can be cancelled with 270 days’ notice, except for a portion equal to 25% of the total amount representing the purchase of “long lead items”.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summarizes our contractual obligations as of September 30, 2022, which represent material expected or contractually committed future obligations.</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b w:val="1"/>
                <w:bCs w:val="1"/>
                <w:color w:val="auto"/>
                <w:w w:val="89"/>
              </w:rPr>
              <w:t>Payments Due by Period</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94"/>
              </w:rPr>
              <w:t>More than 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 to 3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4 to 5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i w:val="1"/>
                <w:iCs w:val="1"/>
                <w:color w:val="auto"/>
                <w:w w:val="85"/>
              </w:rPr>
              <w:t>(in thousands)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including interest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commitments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24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25,241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66,728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118,327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25, 2021, we entered into an endorsement agreement for the services of Venus Williams, four-time Olympic Gold Medalist, seven-time Grand Slam Champion and entrepreneur, pursuant to which Ms. Williams will act as a brand ambassador for Venus Bliss. The endorsement agreement expired on November 1, 2022.</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an additional description of our commitments see Note 8, “Commitments and Contingencies” to the unaudited condensed consolidated financial statements included elsewhere in this Quarterly Report on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significant accounting policies are more fully described in Note 2 to the audited consolidated financial statements included in our Annual Report filed on Form 10-K for the year ended December 31, 2021. We believe that the assumptions and estimates associated with stock-based compensation, goodwill impairment, allowance for doubtful accounts, revenue recognition, accrual for severance and income taxes have the most significant impact on our unaudited condensed consolidated financial statements, and therefore, consider these to be our critical accounting policies and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generate revenue from (1) sales of systems through our subscription model, traditional system sales to customers and distributors, (2) other product revenues from the sale of ARTAS procedure kits, marketing supplies and kits, consumables and (3) service revenue from the sale of our extended warranty service contracts provided to existing customers and VeroGrafters technician services. VeroGrafters technician services were discontinued in the fourth quarter of 2021.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revenues on other products and services in accordance with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revenue net of sales tax and shipping and handling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Long-term receivables relate to revenue from our subscription agreements or other contracts which stipulate payment terms exceeding one year. They are comprised of the unpaid principal balance, net of the allowance for doubtful accounts. These receivables have been discounted based on the implicit interest rate in the subscription lease of 9.7% for the nine months ended September 30, 2022 and a range of between 8% to 9% for the nine months ended September 30, 2021, respectively. Unearned interest revenue represents the interest-only portion of the respective subscription payments and will be recognized in income over the respective payment term as it is earned.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doubtful accounts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accrual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account for stock-based compensation costs in accordance with the accounting standards for stock-based compensation, which require that all stock-based payments to employees be recognized in the unaudited condensed consolidated statements of operations based on their fair values.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in U.S. dollars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unaudited condensed consolidated statement of operations as they arise.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our unaudited condensed consolidated financial statements included elsewhere in this Quarterly Report on Form 10-Q for recently issued accounting pronouncements not yet adopted as of the date of this Quarterly Report on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disclosure for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2022,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September 30, 2022.</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September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material changes in our internal control over financial reporting during the three and nine months ended September 30, 2022 that have materially affected, or are reasonably likely to materially affect, our internal controls over financial reporting.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Quarterly Report on Form 10-Q does not include an attestation report of our registered public accounting firm due to a transition period established by rules of the SEC for “emerging growth companies.”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our operations, we become involved in routine litigation incidental to the business. Material proceedings are described under Note 8, “Commitments and Contingencies” to the unaudited condensed consolidated financial statements included elsewhere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Our operations and financial results are subject to various risk and uncertainties, including those described below and the risk factors described under Part I, Item 1A.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in our latest Form 10-K for the year ended December 31, 2021 and our Form 10-Q for the quarter ended March 31, 2022 and June 30, 2022,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w:t>
      </w:r>
      <w:r>
        <w:rPr>
          <w:rFonts w:ascii="Arial" w:cs="Arial" w:eastAsia="Arial" w:hAnsi="Arial"/>
          <w:sz w:val="18"/>
          <w:szCs w:val="18"/>
          <w:color w:val="auto"/>
        </w:rPr>
        <w:t>“</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included herein, and the risk factors previously disclosed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 I, Item 1A.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in our Form 10-K for the year ended December 31, 2021 </w:t>
      </w:r>
      <w:r>
        <w:rPr>
          <w:rFonts w:ascii="Arial" w:cs="Arial" w:eastAsia="Arial" w:hAnsi="Arial"/>
          <w:sz w:val="18"/>
          <w:szCs w:val="18"/>
          <w:color w:val="auto"/>
        </w:rPr>
        <w:t>and</w:t>
      </w:r>
      <w:r>
        <w:rPr>
          <w:rFonts w:ascii="Arial" w:cs="Arial" w:eastAsia="Arial" w:hAnsi="Arial"/>
          <w:sz w:val="18"/>
          <w:szCs w:val="18"/>
          <w:i w:val="1"/>
          <w:iCs w:val="1"/>
          <w:color w:val="auto"/>
        </w:rPr>
        <w:t xml:space="preserve"> our Form 10-Q for the quarter ended March 31, 2022 and June 30, 2022 filed with the SEC.</w:t>
      </w:r>
    </w:p>
    <w:p>
      <w:pPr>
        <w:spacing w:after="0" w:line="19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subscription-based model exposes us to the credit risk of our customers over the life of the subscription agreement. In the event that our customers fail to make the monthly payments under their subscription agreements, our financial results may be adversely affected.</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the nine months ended September 30, 2022 and 2021, approximately 47% and 56% of our system revenues were derived from our subscription-based model. Although the ARTAS System is not available under our subscription-based model, we expect our subscription-based business model to continue to represent a significant portion of our revenue for the foreseeable future.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As part of our sales and marketing effort, we do not generally require our customers to undergo a formal credit check as is typically required with third-party equipment lease financing. Instead, to ensure that each monthly installment is made on time and that the customer’s systems are serviced in accordance with the terms of the warranty, every system requires a monthly activation code, which we provide to the customer upon receiving each monthly installment. If a customer does not make timely payment of a monthly installment, the customer will not receive an activation code and will be unable to use the system. Because this process does not protect us from the economic impact of a customer’s failure to make its monthly payments, we normally maintain a purchase money security interest over the devices sold under a subscription agreement and therefore enjoy priority as a secured creditor, entitling us to certain rights in the event of a customer default or bankruptcy. We cannot provide any assurance that the financial position of customers purchasing products and services under a subscription agreement will not change adversely before we receive all the monthly installment payments due under the contract. As a result of the global economic turmoil that has resulted from COVID-19, many of our customers experienced difficulty in making timely payments, or payments at all, during the pandemic which had resulted in higher than anticipated bad debt expense over the course of the 2020 and 2021 fiscal years. Despite the improvement we have seen in our collection experience over the last year and for the nine months ended September 30, 2022, we cannot assure you that our customers will continue payments under their agreements or that we will not experience customer defaults even after local economies reopen for business. In the event that there is a default by any of the customers to whom we have sold systems under the subscription-based model, we may recognize bad debt expenses in our general and administrative expenses. If the extent of such defaults is material, it could negatively affect our results of operations and operating cash flows.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Global supply chain disruption and inflation may have a material adverse effect on the Company's business, financial condition and results of operations.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Global supply chain disruption and inflation may have a material adverse effect on the Company's business, financial condition and results of operations. The Company maintains manufacturing operations at its facilities in San Jose, California and Yokneam, Israel. We depend on third-party suppliers and manufacturers to produce components and provide raw materials used to manufacture our products. The disruptions to the global economy in 2020 and 2021 impeded global supply chains and resulted in longer lead times and increased component costs and freight expenses. As a result, our suppliers or manufacturers may not have the materials, capacity, or capability to timely manufacture our products and alternative suppliers or manufacturers may not be readily available or cost efficient, which would negatively affect our results of operations. Despite the actions the Company has undertaken to minimize the impacts from disruptions to the global economy, there can be no assurances that unforeseen future events in the global supply chain, and inflationary pressures, will not have a material adverse effect on its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meet the requirements for continued listing on the Nasdaq Global Select Market, our common stock could be delisted from trading, which would decrease the liquidity of our common stock and our ability to raise additional capital.</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currently listed for quotation on the Nasdaq Global Market. We are required to meet specified requirements in order to maintain our listing on the Nasdaq Global Market, including, among other things, a minimum bid price of $1.00 per share (the “Minimum Bid Price”). On June 13, 2022, we received a notice from the Listing Qualifications Department of the Nasdaq Stock Market, LLC (“Nasdaq”), notifying us that, for 30 consecutive business days, the bid price for our common stock was below the Minimum Bid Price required to maintain continued listing on the Nasdaq Global Market under Nasdaq Listing Rule 5450(a)(1), (the “Minimum Bid Requirement”). We have 180 days to regain compliance by maintaining the Minimum Bid Price for a minimum of ten consecutive business days before December 12, 2022, at which time the Staff will provide written notification to the Company that it complies with the Minimum Bid Requirement, unless the Staff exercises its discretion to extend this ten-day period pursuant to Nasdaq Listing Rule 5810(c)(3)(G).</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fail to satisfy the Nasdaq Global Market’s continued listing requirements, including the Minimum Bid Requirement, we may transfer to the Nasdaq Capital Market, which generally has lower financial requirements for initial listing, to avoid delisting, or, if we fail to meet its listing requirements, the OTC Bulletin Board. A transfer of our listing to the Nasdaq Capital Market or having our common stock trade on the OTC Bulletin Board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securities issued and sold during the three and nine months ended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260"/>
        <w:spacing w:after="0"/>
        <w:tabs>
          <w:tab w:leader="none" w:pos="1066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Filed</w:t>
      </w:r>
    </w:p>
    <w:p>
      <w:pPr>
        <w:spacing w:after="0" w:line="27" w:lineRule="exact"/>
        <w:rPr>
          <w:sz w:val="20"/>
          <w:szCs w:val="20"/>
          <w:color w:val="auto"/>
        </w:rPr>
      </w:pPr>
    </w:p>
    <w:p>
      <w:pPr>
        <w:ind w:left="240"/>
        <w:spacing w:after="0"/>
        <w:tabs>
          <w:tab w:leader="none" w:pos="3980" w:val="left"/>
          <w:tab w:leader="none" w:pos="7880" w:val="left"/>
          <w:tab w:leader="none" w:pos="8840" w:val="left"/>
          <w:tab w:leader="none" w:pos="9620" w:val="left"/>
          <w:tab w:leader="none" w:pos="105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b w:val="1"/>
          <w:bCs w:val="1"/>
          <w:color w:val="auto"/>
        </w:rPr>
        <w:t>Number</w:t>
      </w:r>
      <w:r>
        <w:rPr>
          <w:sz w:val="20"/>
          <w:szCs w:val="20"/>
          <w:color w:val="auto"/>
        </w:rPr>
        <w:tab/>
      </w:r>
      <w:r>
        <w:rPr>
          <w:rFonts w:ascii="Arial" w:cs="Arial" w:eastAsia="Arial" w:hAnsi="Arial"/>
          <w:sz w:val="17"/>
          <w:szCs w:val="17"/>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3.1</w:t>
            </w:r>
          </w:p>
        </w:tc>
        <w:tc>
          <w:tcPr>
            <w:tcW w:w="5820" w:type="dxa"/>
            <w:vAlign w:val="bottom"/>
            <w:tcBorders>
              <w:bottom w:val="single" w:sz="8" w:color="0000EE"/>
            </w:tcBorders>
            <w:gridSpan w:val="7"/>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Amended and Restated Certificate of Incorporation of Restoration Robotics, Inc.</w:t>
              </w:r>
            </w:hyperlink>
          </w:p>
        </w:tc>
        <w:tc>
          <w:tcPr>
            <w:tcW w:w="960" w:type="dxa"/>
            <w:vAlign w:val="bottom"/>
            <w:gridSpan w:val="4"/>
          </w:tcPr>
          <w:p>
            <w:pPr>
              <w:spacing w:after="0"/>
              <w:rPr>
                <w:sz w:val="17"/>
                <w:szCs w:val="17"/>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10-17-17</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3.2</w:t>
            </w:r>
          </w:p>
        </w:tc>
        <w:tc>
          <w:tcPr>
            <w:tcW w:w="6780" w:type="dxa"/>
            <w:vAlign w:val="bottom"/>
            <w:gridSpan w:val="11"/>
          </w:tcPr>
          <w:p>
            <w:pPr>
              <w:spacing w:after="0"/>
              <w:rPr>
                <w:rFonts w:ascii="Arial" w:cs="Arial" w:eastAsia="Arial" w:hAnsi="Arial"/>
                <w:sz w:val="18"/>
                <w:szCs w:val="18"/>
                <w:color w:val="0000EE"/>
              </w:rPr>
            </w:pPr>
            <w:hyperlink r:id="rId90">
              <w:r>
                <w:rPr>
                  <w:rFonts w:ascii="Arial" w:cs="Arial" w:eastAsia="Arial" w:hAnsi="Arial"/>
                  <w:sz w:val="18"/>
                  <w:szCs w:val="18"/>
                  <w:color w:val="0000EE"/>
                </w:rPr>
                <w:t>Certificate of Amendment of Certificate of Incorporation of Restoration Robotics, Inc.</w:t>
              </w:r>
            </w:hyperlink>
          </w:p>
        </w:tc>
        <w:tc>
          <w:tcPr>
            <w:tcW w:w="600" w:type="dxa"/>
            <w:vAlign w:val="bottom"/>
          </w:tcPr>
          <w:p>
            <w:pPr>
              <w:ind w:left="8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11-7-19</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3.3</w:t>
            </w:r>
          </w:p>
        </w:tc>
        <w:tc>
          <w:tcPr>
            <w:tcW w:w="4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Second Amended and Restated Bylaws of Venus Concept Inc.</w:t>
              </w:r>
            </w:hyperlink>
          </w:p>
        </w:tc>
        <w:tc>
          <w:tcPr>
            <w:tcW w:w="1740" w:type="dxa"/>
            <w:vAlign w:val="bottom"/>
            <w:tcBorders>
              <w:top w:val="single" w:sz="8" w:color="0000EE"/>
            </w:tcBorders>
            <w:gridSpan w:val="2"/>
          </w:tcPr>
          <w:p>
            <w:pPr>
              <w:spacing w:after="0"/>
              <w:rPr>
                <w:sz w:val="24"/>
                <w:szCs w:val="24"/>
                <w:color w:val="auto"/>
              </w:rPr>
            </w:pPr>
          </w:p>
        </w:tc>
        <w:tc>
          <w:tcPr>
            <w:tcW w:w="560" w:type="dxa"/>
            <w:vAlign w:val="bottom"/>
            <w:gridSpan w:val="3"/>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11-7-19</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1"/>
              </w:rPr>
              <w:t>10.1</w:t>
            </w:r>
          </w:p>
        </w:tc>
        <w:tc>
          <w:tcPr>
            <w:tcW w:w="6700" w:type="dxa"/>
            <w:vAlign w:val="bottom"/>
            <w:tcBorders>
              <w:bottom w:val="single" w:sz="8" w:color="0000EE"/>
            </w:tcBorders>
            <w:gridSpan w:val="10"/>
          </w:tcPr>
          <w:p>
            <w:pPr>
              <w:spacing w:after="0"/>
              <w:rPr>
                <w:rFonts w:ascii="Arial" w:cs="Arial" w:eastAsia="Arial" w:hAnsi="Arial"/>
                <w:sz w:val="18"/>
                <w:szCs w:val="18"/>
                <w:color w:val="0000EE"/>
                <w:w w:val="99"/>
              </w:rPr>
            </w:pPr>
            <w:hyperlink r:id="rId92">
              <w:r>
                <w:rPr>
                  <w:rFonts w:ascii="Arial" w:cs="Arial" w:eastAsia="Arial" w:hAnsi="Arial"/>
                  <w:sz w:val="18"/>
                  <w:szCs w:val="18"/>
                  <w:color w:val="0000EE"/>
                  <w:w w:val="99"/>
                </w:rPr>
                <w:t>Employment Agreement, dated October 2, 2022, between Rajiv De Silva and Venus</w:t>
              </w:r>
            </w:hyperlink>
          </w:p>
        </w:tc>
        <w:tc>
          <w:tcPr>
            <w:tcW w:w="8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10-3-22</w:t>
            </w: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96"/>
        </w:trPr>
        <w:tc>
          <w:tcPr>
            <w:tcW w:w="880" w:type="dxa"/>
            <w:vAlign w:val="bottom"/>
          </w:tcPr>
          <w:p>
            <w:pPr>
              <w:spacing w:after="0"/>
              <w:rPr>
                <w:sz w:val="17"/>
                <w:szCs w:val="17"/>
                <w:color w:val="auto"/>
              </w:rPr>
            </w:pPr>
          </w:p>
        </w:tc>
        <w:tc>
          <w:tcPr>
            <w:tcW w:w="6780" w:type="dxa"/>
            <w:vAlign w:val="bottom"/>
            <w:gridSpan w:val="11"/>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Concept Inc.</w:t>
              </w:r>
            </w:hyperlink>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1"/>
              </w:rPr>
              <w:t>10.2</w:t>
            </w:r>
          </w:p>
        </w:tc>
        <w:tc>
          <w:tcPr>
            <w:tcW w:w="6680" w:type="dxa"/>
            <w:vAlign w:val="bottom"/>
            <w:tcBorders>
              <w:bottom w:val="single" w:sz="8" w:color="0000EE"/>
            </w:tcBorders>
            <w:gridSpan w:val="9"/>
          </w:tcPr>
          <w:p>
            <w:pPr>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Employment Agreement, dated October 6, 2022, between Hemanth Varghese and Venus</w:t>
              </w:r>
            </w:hyperlink>
          </w:p>
        </w:tc>
        <w:tc>
          <w:tcPr>
            <w:tcW w:w="100" w:type="dxa"/>
            <w:vAlign w:val="bottom"/>
            <w:gridSpan w:val="2"/>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10-11-22</w:t>
            </w: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96"/>
        </w:trPr>
        <w:tc>
          <w:tcPr>
            <w:tcW w:w="88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93">
              <w:r>
                <w:rPr>
                  <w:rFonts w:ascii="Arial" w:cs="Arial" w:eastAsia="Arial" w:hAnsi="Arial"/>
                  <w:sz w:val="18"/>
                  <w:szCs w:val="18"/>
                  <w:color w:val="0000EE"/>
                  <w:w w:val="87"/>
                </w:rPr>
                <w:t>Concept Canada Corp.</w:t>
              </w:r>
            </w:hyperlink>
          </w:p>
        </w:tc>
        <w:tc>
          <w:tcPr>
            <w:tcW w:w="514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1"/>
              </w:rPr>
              <w:t>31.1</w:t>
            </w:r>
          </w:p>
        </w:tc>
        <w:tc>
          <w:tcPr>
            <w:tcW w:w="67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2"/>
              </w:rPr>
              <w:t>Certification of Chief Executive Officer Pursuant to Section 302 of the Sarbanes- Oxley Act</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780" w:type="dxa"/>
            <w:vAlign w:val="bottom"/>
            <w:gridSpan w:val="11"/>
          </w:tcPr>
          <w:p>
            <w:pPr>
              <w:spacing w:after="0" w:line="196" w:lineRule="exact"/>
              <w:rPr>
                <w:sz w:val="20"/>
                <w:szCs w:val="20"/>
                <w:color w:val="auto"/>
              </w:rPr>
            </w:pPr>
            <w:r>
              <w:rPr>
                <w:rFonts w:ascii="Arial" w:cs="Arial" w:eastAsia="Arial" w:hAnsi="Arial"/>
                <w:sz w:val="18"/>
                <w:szCs w:val="18"/>
                <w:color w:val="0000EE"/>
              </w:rPr>
              <w:t>of 2002.</w:t>
            </w: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1"/>
              </w:rPr>
              <w:t>31.2</w:t>
            </w:r>
          </w:p>
        </w:tc>
        <w:tc>
          <w:tcPr>
            <w:tcW w:w="67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3"/>
              </w:rPr>
              <w:t>Certification of Chief Financial Officer Pursuant to Section 302 of the Sarbanes- Oxley Act</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780" w:type="dxa"/>
            <w:vAlign w:val="bottom"/>
            <w:gridSpan w:val="11"/>
          </w:tcPr>
          <w:p>
            <w:pPr>
              <w:spacing w:after="0" w:line="196" w:lineRule="exact"/>
              <w:rPr>
                <w:sz w:val="20"/>
                <w:szCs w:val="20"/>
                <w:color w:val="auto"/>
              </w:rPr>
            </w:pPr>
            <w:r>
              <w:rPr>
                <w:rFonts w:ascii="Arial" w:cs="Arial" w:eastAsia="Arial" w:hAnsi="Arial"/>
                <w:sz w:val="18"/>
                <w:szCs w:val="18"/>
                <w:color w:val="0000EE"/>
              </w:rPr>
              <w:t>of 2002.</w:t>
            </w: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32.1*</w:t>
            </w:r>
          </w:p>
        </w:tc>
        <w:tc>
          <w:tcPr>
            <w:tcW w:w="67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3"/>
              </w:rPr>
              <w:t>Certification of Principal Executive Officer Pursuant to 18 U.S.C. Section 1350 as Adopted</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3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Pursuant to Section 906 of the Sarbanes-Oxley Act of 2002.</w:t>
            </w:r>
          </w:p>
        </w:tc>
        <w:tc>
          <w:tcPr>
            <w:tcW w:w="244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5"/>
              </w:rPr>
              <w:t>32.2*</w:t>
            </w:r>
          </w:p>
        </w:tc>
        <w:tc>
          <w:tcPr>
            <w:tcW w:w="66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3"/>
              </w:rPr>
              <w:t>Certification of Principal Financial Officer Pursuant to 18 U.S.C. Section 1350 as Adopted</w:t>
            </w:r>
          </w:p>
        </w:tc>
        <w:tc>
          <w:tcPr>
            <w:tcW w:w="1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Pursuant to Section 906 of the Sarbanes-Oxley Act of 2002.</w:t>
            </w:r>
          </w:p>
        </w:tc>
        <w:tc>
          <w:tcPr>
            <w:tcW w:w="246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53"/>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2"/>
              </w:rPr>
              <w:t>101.INS</w:t>
            </w:r>
          </w:p>
        </w:tc>
        <w:tc>
          <w:tcPr>
            <w:tcW w:w="678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101.SCH</w:t>
            </w:r>
          </w:p>
        </w:tc>
        <w:tc>
          <w:tcPr>
            <w:tcW w:w="67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7"/>
              </w:rPr>
              <w:t>101.CAL</w:t>
            </w:r>
          </w:p>
        </w:tc>
        <w:tc>
          <w:tcPr>
            <w:tcW w:w="678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2"/>
              </w:rPr>
              <w:t>101.DEF</w:t>
            </w:r>
          </w:p>
        </w:tc>
        <w:tc>
          <w:tcPr>
            <w:tcW w:w="678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8"/>
              </w:rPr>
              <w:t>101.LAB</w:t>
            </w:r>
          </w:p>
        </w:tc>
        <w:tc>
          <w:tcPr>
            <w:tcW w:w="67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101.PRE</w:t>
            </w:r>
          </w:p>
        </w:tc>
        <w:tc>
          <w:tcPr>
            <w:tcW w:w="678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2" w:lineRule="exact"/>
        <w:rPr>
          <w:sz w:val="20"/>
          <w:szCs w:val="20"/>
          <w:color w:val="auto"/>
        </w:rPr>
      </w:pPr>
    </w:p>
    <w:p>
      <w:pPr>
        <w:ind w:left="1100" w:right="2360" w:hanging="500"/>
        <w:spacing w:after="0" w:line="27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44" w:lineRule="exact"/>
        <w:rPr>
          <w:sz w:val="20"/>
          <w:szCs w:val="20"/>
          <w:color w:val="auto"/>
        </w:rPr>
      </w:pPr>
    </w:p>
    <w:p>
      <w:pPr>
        <w:sectPr>
          <w:pgSz w:w="11900" w:h="16838" w:orient="portrait"/>
          <w:cols w:equalWidth="0" w:num="2">
            <w:col w:w="10140" w:space="680"/>
            <w:col w:w="420"/>
          </w:cols>
          <w:pgMar w:left="320" w:top="125" w:right="339" w:bottom="1440" w:gutter="0" w:footer="0" w:header="0"/>
          <w:type w:val="continuous"/>
        </w:sectPr>
      </w:pPr>
    </w:p>
    <w:p>
      <w:pPr>
        <w:jc w:val="both"/>
        <w:ind w:firstLine="8"/>
        <w:spacing w:after="0" w:line="259"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certification attached as Exhibit 32.1 and Exhibit 32.2 that accompanies this Quarterly Report on Form 10-Q is not deemed filed with the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ectPr>
          <w:pgSz w:w="11900" w:h="16838" w:orient="portrait"/>
          <w:cols w:equalWidth="0" w:num="1">
            <w:col w:w="11240"/>
          </w:cols>
          <w:pgMar w:left="320" w:top="125" w:right="339" w:bottom="1440"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4220" w:type="dxa"/>
            <w:vAlign w:val="bottom"/>
            <w:gridSpan w:val="2"/>
          </w:tcPr>
          <w:p>
            <w:pPr>
              <w:ind w:left="2640"/>
              <w:spacing w:after="0"/>
              <w:rPr>
                <w:sz w:val="20"/>
                <w:szCs w:val="20"/>
                <w:color w:val="auto"/>
              </w:rPr>
            </w:pPr>
            <w:r>
              <w:rPr>
                <w:rFonts w:ascii="Arial" w:cs="Arial" w:eastAsia="Arial" w:hAnsi="Arial"/>
                <w:sz w:val="18"/>
                <w:szCs w:val="18"/>
                <w:color w:val="auto"/>
                <w:w w:val="99"/>
              </w:rPr>
              <w:t>Venus Concept Inc.</w:t>
            </w:r>
          </w:p>
        </w:tc>
        <w:tc>
          <w:tcPr>
            <w:tcW w:w="332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10, 2022</w:t>
            </w:r>
          </w:p>
        </w:tc>
        <w:tc>
          <w:tcPr>
            <w:tcW w:w="4220" w:type="dxa"/>
            <w:vAlign w:val="bottom"/>
            <w:gridSpan w:val="2"/>
          </w:tcPr>
          <w:p>
            <w:pPr>
              <w:ind w:left="264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ind w:right="1030"/>
              <w:spacing w:after="0"/>
              <w:rPr>
                <w:sz w:val="20"/>
                <w:szCs w:val="20"/>
                <w:color w:val="auto"/>
              </w:rPr>
            </w:pPr>
            <w:r>
              <w:rPr>
                <w:rFonts w:ascii="Arial" w:cs="Arial" w:eastAsia="Arial" w:hAnsi="Arial"/>
                <w:sz w:val="18"/>
                <w:szCs w:val="18"/>
                <w:color w:val="auto"/>
                <w:w w:val="94"/>
              </w:rPr>
              <w:t>/s/ Rajiv De Silva</w:t>
            </w:r>
          </w:p>
        </w:tc>
      </w:tr>
      <w:tr>
        <w:trPr>
          <w:trHeight w:val="191"/>
        </w:trPr>
        <w:tc>
          <w:tcPr>
            <w:tcW w:w="37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50"/>
              <w:spacing w:after="0" w:line="191" w:lineRule="exact"/>
              <w:rPr>
                <w:sz w:val="20"/>
                <w:szCs w:val="20"/>
                <w:color w:val="auto"/>
              </w:rPr>
            </w:pPr>
            <w:r>
              <w:rPr>
                <w:rFonts w:ascii="Arial" w:cs="Arial" w:eastAsia="Arial" w:hAnsi="Arial"/>
                <w:sz w:val="18"/>
                <w:szCs w:val="18"/>
                <w:b w:val="1"/>
                <w:bCs w:val="1"/>
                <w:color w:val="auto"/>
                <w:w w:val="93"/>
              </w:rPr>
              <w:t>Rajiv De Silva</w:t>
            </w:r>
          </w:p>
        </w:tc>
      </w:tr>
      <w:tr>
        <w:trPr>
          <w:trHeight w:val="234"/>
        </w:trPr>
        <w:tc>
          <w:tcPr>
            <w:tcW w:w="37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Chief Executive Officer</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10, 2022</w:t>
            </w:r>
          </w:p>
        </w:tc>
        <w:tc>
          <w:tcPr>
            <w:tcW w:w="4220" w:type="dxa"/>
            <w:vAlign w:val="bottom"/>
            <w:gridSpan w:val="2"/>
          </w:tcPr>
          <w:p>
            <w:pPr>
              <w:ind w:left="264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ind w:right="1030"/>
              <w:spacing w:after="0"/>
              <w:rPr>
                <w:sz w:val="20"/>
                <w:szCs w:val="20"/>
                <w:color w:val="auto"/>
              </w:rPr>
            </w:pPr>
            <w:r>
              <w:rPr>
                <w:rFonts w:ascii="Arial" w:cs="Arial" w:eastAsia="Arial" w:hAnsi="Arial"/>
                <w:sz w:val="18"/>
                <w:szCs w:val="18"/>
                <w:color w:val="auto"/>
                <w:w w:val="90"/>
              </w:rPr>
              <w:t>/s/ Domenic Della Penna</w:t>
            </w:r>
          </w:p>
        </w:tc>
      </w:tr>
      <w:tr>
        <w:trPr>
          <w:trHeight w:val="191"/>
        </w:trPr>
        <w:tc>
          <w:tcPr>
            <w:tcW w:w="37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30"/>
              <w:spacing w:after="0" w:line="191" w:lineRule="exact"/>
              <w:rPr>
                <w:sz w:val="20"/>
                <w:szCs w:val="20"/>
                <w:color w:val="auto"/>
              </w:rPr>
            </w:pPr>
            <w:r>
              <w:rPr>
                <w:rFonts w:ascii="Arial" w:cs="Arial" w:eastAsia="Arial" w:hAnsi="Arial"/>
                <w:sz w:val="18"/>
                <w:szCs w:val="18"/>
                <w:b w:val="1"/>
                <w:bCs w:val="1"/>
                <w:color w:val="auto"/>
                <w:w w:val="89"/>
              </w:rPr>
              <w:t>Domenic Della Penna</w:t>
            </w:r>
          </w:p>
        </w:tc>
      </w:tr>
      <w:tr>
        <w:trPr>
          <w:trHeight w:val="234"/>
        </w:trPr>
        <w:tc>
          <w:tcPr>
            <w:tcW w:w="37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Chief Financial Officer</w:t>
            </w:r>
          </w:p>
        </w:tc>
      </w:tr>
      <w:tr>
        <w:trPr>
          <w:trHeight w:val="432"/>
        </w:trPr>
        <w:tc>
          <w:tcPr>
            <w:tcW w:w="3700" w:type="dxa"/>
            <w:vAlign w:val="bottom"/>
          </w:tcPr>
          <w:p>
            <w:pPr>
              <w:spacing w:after="0"/>
              <w:rPr>
                <w:sz w:val="24"/>
                <w:szCs w:val="24"/>
                <w:color w:val="auto"/>
              </w:rPr>
            </w:pPr>
          </w:p>
        </w:tc>
        <w:tc>
          <w:tcPr>
            <w:tcW w:w="3100" w:type="dxa"/>
            <w:vAlign w:val="bottom"/>
          </w:tcPr>
          <w:p>
            <w:pPr>
              <w:jc w:val="right"/>
              <w:ind w:right="990"/>
              <w:spacing w:after="0"/>
              <w:rPr>
                <w:sz w:val="20"/>
                <w:szCs w:val="20"/>
                <w:color w:val="auto"/>
              </w:rPr>
            </w:pPr>
            <w:r>
              <w:rPr>
                <w:rFonts w:ascii="Arial" w:cs="Arial" w:eastAsia="Arial" w:hAnsi="Arial"/>
                <w:sz w:val="18"/>
                <w:szCs w:val="18"/>
                <w:color w:val="auto"/>
              </w:rPr>
              <w:t>61</w:t>
            </w:r>
          </w:p>
        </w:tc>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2" w:name="page63"/>
    <w:bookmarkEnd w:id="6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Rajiv De Silva,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quarterly report on Form 10-Q of Venus Concept Inc.;</w:t>
      </w:r>
    </w:p>
    <w:p>
      <w:pPr>
        <w:spacing w:after="0" w:line="225" w:lineRule="exact"/>
        <w:rPr>
          <w:sz w:val="20"/>
          <w:szCs w:val="20"/>
          <w:color w:val="auto"/>
        </w:rPr>
      </w:pPr>
    </w:p>
    <w:p>
      <w:pPr>
        <w:jc w:val="both"/>
        <w:ind w:left="320" w:hanging="312"/>
        <w:spacing w:after="0" w:line="263"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0" w:hanging="312"/>
        <w:spacing w:after="0" w:line="27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20" w:hanging="312"/>
        <w:spacing w:after="0" w:line="263"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20" w:hanging="302"/>
        <w:spacing w:after="0" w:line="263" w:lineRule="auto"/>
        <w:tabs>
          <w:tab w:leader="none" w:pos="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20" w:hanging="302"/>
        <w:spacing w:after="0" w:line="263" w:lineRule="auto"/>
        <w:tabs>
          <w:tab w:leader="none" w:pos="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20" w:right="20" w:hanging="302"/>
        <w:spacing w:after="0" w:line="308" w:lineRule="auto"/>
        <w:tabs>
          <w:tab w:leader="none" w:pos="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20" w:hanging="302"/>
        <w:spacing w:after="0" w:line="308" w:lineRule="auto"/>
        <w:tabs>
          <w:tab w:leader="none" w:pos="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6" w:lineRule="exact"/>
        <w:rPr>
          <w:rFonts w:ascii="Arial" w:cs="Arial" w:eastAsia="Arial" w:hAnsi="Arial"/>
          <w:sz w:val="17"/>
          <w:szCs w:val="17"/>
          <w:color w:val="auto"/>
        </w:rPr>
      </w:pPr>
    </w:p>
    <w:p>
      <w:pPr>
        <w:ind w:left="320" w:hanging="312"/>
        <w:spacing w:after="0" w:line="308"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hanging="302"/>
        <w:spacing w:after="0" w:line="277" w:lineRule="auto"/>
        <w:tabs>
          <w:tab w:leader="none" w:pos="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20" w:hanging="302"/>
        <w:spacing w:after="0" w:line="277" w:lineRule="auto"/>
        <w:tabs>
          <w:tab w:leader="none" w:pos="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tabs>
          <w:tab w:leader="none" w:pos="5040" w:val="left"/>
          <w:tab w:leader="none" w:pos="630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14605</wp:posOffset>
            </wp:positionV>
            <wp:extent cx="2040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Name: Rajiv De Silva</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right"/>
        <w:ind w:right="2039"/>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0079"/>
          </w:cols>
          <w:pgMar w:left="380" w:top="800" w:right="1440" w:bottom="1440" w:gutter="0" w:footer="0" w:header="0"/>
        </w:sectPr>
      </w:pPr>
    </w:p>
    <w:bookmarkStart w:id="64" w:name="page65"/>
    <w:bookmarkEnd w:id="64"/>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Domenic Della Penna, certify that:</w:t>
      </w:r>
    </w:p>
    <w:p>
      <w:pPr>
        <w:spacing w:after="0" w:line="225"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Venus Concept Inc.;</w:t>
      </w:r>
    </w:p>
    <w:p>
      <w:pPr>
        <w:spacing w:after="0" w:line="225" w:lineRule="exact"/>
        <w:rPr>
          <w:rFonts w:ascii="Arial" w:cs="Arial" w:eastAsia="Arial" w:hAnsi="Arial"/>
          <w:sz w:val="18"/>
          <w:szCs w:val="18"/>
          <w:color w:val="auto"/>
        </w:rPr>
      </w:pPr>
    </w:p>
    <w:p>
      <w:pPr>
        <w:jc w:val="both"/>
        <w:ind w:left="320" w:hanging="312"/>
        <w:spacing w:after="0" w:line="263"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0" w:hanging="312"/>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20" w:hanging="312"/>
        <w:spacing w:after="0" w:line="263"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20" w:hanging="302"/>
        <w:spacing w:after="0" w:line="263" w:lineRule="auto"/>
        <w:tabs>
          <w:tab w:leader="none" w:pos="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20" w:hanging="302"/>
        <w:spacing w:after="0" w:line="263" w:lineRule="auto"/>
        <w:tabs>
          <w:tab w:leader="none" w:pos="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20" w:right="20" w:hanging="302"/>
        <w:spacing w:after="0" w:line="308" w:lineRule="auto"/>
        <w:tabs>
          <w:tab w:leader="none" w:pos="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20" w:hanging="302"/>
        <w:spacing w:after="0" w:line="308" w:lineRule="auto"/>
        <w:tabs>
          <w:tab w:leader="none" w:pos="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6" w:lineRule="exact"/>
        <w:rPr>
          <w:rFonts w:ascii="Arial" w:cs="Arial" w:eastAsia="Arial" w:hAnsi="Arial"/>
          <w:sz w:val="17"/>
          <w:szCs w:val="17"/>
          <w:color w:val="auto"/>
        </w:rPr>
      </w:pPr>
    </w:p>
    <w:p>
      <w:pPr>
        <w:ind w:left="320" w:hanging="312"/>
        <w:spacing w:after="0" w:line="308"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hanging="302"/>
        <w:spacing w:after="0" w:line="277" w:lineRule="auto"/>
        <w:tabs>
          <w:tab w:leader="none" w:pos="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20" w:hanging="302"/>
        <w:spacing w:after="0" w:line="277" w:lineRule="auto"/>
        <w:tabs>
          <w:tab w:leader="none" w:pos="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tabs>
          <w:tab w:leader="none" w:pos="5040" w:val="left"/>
          <w:tab w:leader="none" w:pos="604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14605</wp:posOffset>
            </wp:positionV>
            <wp:extent cx="2040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 w:lineRule="exact"/>
        <w:rPr>
          <w:sz w:val="20"/>
          <w:szCs w:val="20"/>
          <w:color w:val="auto"/>
        </w:rPr>
      </w:pPr>
    </w:p>
    <w:p>
      <w:pPr>
        <w:jc w:val="center"/>
        <w:ind w:left="2700"/>
        <w:spacing w:after="0"/>
        <w:rPr>
          <w:sz w:val="20"/>
          <w:szCs w:val="20"/>
          <w:color w:val="auto"/>
        </w:rPr>
      </w:pPr>
      <w:r>
        <w:rPr>
          <w:rFonts w:ascii="Arial" w:cs="Arial" w:eastAsia="Arial" w:hAnsi="Arial"/>
          <w:sz w:val="16"/>
          <w:szCs w:val="16"/>
          <w:b w:val="1"/>
          <w:bCs w:val="1"/>
          <w:color w:val="auto"/>
        </w:rPr>
        <w:t>Name: Domenic Della Penna</w:t>
      </w:r>
    </w:p>
    <w:p>
      <w:pPr>
        <w:spacing w:after="0" w:line="46" w:lineRule="exact"/>
        <w:rPr>
          <w:sz w:val="20"/>
          <w:szCs w:val="20"/>
          <w:color w:val="auto"/>
        </w:rPr>
      </w:pPr>
    </w:p>
    <w:p>
      <w:pPr>
        <w:jc w:val="center"/>
        <w:ind w:left="27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270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0079"/>
          </w:cols>
          <w:pgMar w:left="380" w:top="800" w:right="1440" w:bottom="1440" w:gutter="0" w:footer="0" w:header="0"/>
        </w:sectPr>
      </w:pPr>
    </w:p>
    <w:bookmarkStart w:id="66" w:name="page67"/>
    <w:bookmarkEnd w:id="66"/>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Rajiv De Silva, the Chief Executive Officer of Venus Concept Inc. (the “Company”), hereby certify, that, to my knowledge:</w:t>
      </w:r>
    </w:p>
    <w:p>
      <w:pPr>
        <w:spacing w:after="0" w:line="170" w:lineRule="exact"/>
        <w:rPr>
          <w:sz w:val="20"/>
          <w:szCs w:val="20"/>
          <w:color w:val="auto"/>
        </w:rPr>
      </w:pPr>
    </w:p>
    <w:p>
      <w:pPr>
        <w:ind w:left="320" w:hanging="312"/>
        <w:spacing w:after="0" w:line="277"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2022 (the “Report”) of the Company fully complies with the requirements of Section 13(a) of the Securities Exchange Act of 1934; and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6" w:lineRule="exact"/>
        <w:rPr>
          <w:rFonts w:ascii="Arial" w:cs="Arial" w:eastAsia="Arial" w:hAnsi="Arial"/>
          <w:sz w:val="17"/>
          <w:szCs w:val="17"/>
          <w:color w:val="auto"/>
        </w:rPr>
      </w:pPr>
    </w:p>
    <w:p>
      <w:pPr>
        <w:ind w:left="4360"/>
        <w:spacing w:after="0"/>
        <w:rPr>
          <w:rFonts w:ascii="Arial" w:cs="Arial" w:eastAsia="Arial" w:hAnsi="Arial"/>
          <w:sz w:val="17"/>
          <w:szCs w:val="17"/>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tabs>
          <w:tab w:leader="none" w:pos="5040" w:val="left"/>
          <w:tab w:leader="none" w:pos="630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14605</wp:posOffset>
            </wp:positionV>
            <wp:extent cx="2040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 w:lineRule="exact"/>
        <w:rPr>
          <w:sz w:val="20"/>
          <w:szCs w:val="20"/>
          <w:color w:val="auto"/>
        </w:rPr>
      </w:pPr>
    </w:p>
    <w:p>
      <w:pPr>
        <w:jc w:val="center"/>
        <w:ind w:left="2720"/>
        <w:spacing w:after="0"/>
        <w:rPr>
          <w:sz w:val="20"/>
          <w:szCs w:val="20"/>
          <w:color w:val="auto"/>
        </w:rPr>
      </w:pPr>
      <w:r>
        <w:rPr>
          <w:rFonts w:ascii="Arial" w:cs="Arial" w:eastAsia="Arial" w:hAnsi="Arial"/>
          <w:sz w:val="18"/>
          <w:szCs w:val="18"/>
          <w:b w:val="1"/>
          <w:bCs w:val="1"/>
          <w:color w:val="auto"/>
        </w:rPr>
        <w:t>Name: Rajiv De Silva</w:t>
      </w:r>
    </w:p>
    <w:p>
      <w:pPr>
        <w:spacing w:after="0" w:line="23" w:lineRule="exact"/>
        <w:rPr>
          <w:sz w:val="20"/>
          <w:szCs w:val="20"/>
          <w:color w:val="auto"/>
        </w:rPr>
      </w:pPr>
    </w:p>
    <w:p>
      <w:pPr>
        <w:jc w:val="center"/>
        <w:ind w:left="27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27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0079"/>
          </w:cols>
          <w:pgMar w:left="380" w:top="800" w:right="1440" w:bottom="1440" w:gutter="0" w:footer="0" w:header="0"/>
        </w:sectPr>
      </w:pPr>
    </w:p>
    <w:bookmarkStart w:id="68" w:name="page69"/>
    <w:bookmarkEnd w:id="68"/>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Domenic Della Penna, the Chief Financial Officer of Venus Concept Inc. (the “Company”), hereby certify, that, to my knowledge:</w:t>
      </w:r>
    </w:p>
    <w:p>
      <w:pPr>
        <w:spacing w:after="0" w:line="170" w:lineRule="exact"/>
        <w:rPr>
          <w:sz w:val="20"/>
          <w:szCs w:val="20"/>
          <w:color w:val="auto"/>
        </w:rPr>
      </w:pPr>
    </w:p>
    <w:p>
      <w:pPr>
        <w:ind w:left="320" w:hanging="312"/>
        <w:spacing w:after="0" w:line="277"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2022 (the “Report”) of the Company fully complies with the requirements of Section 13(a) of the Securities Exchange Act of 1934; and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6" w:lineRule="exact"/>
        <w:rPr>
          <w:rFonts w:ascii="Arial" w:cs="Arial" w:eastAsia="Arial" w:hAnsi="Arial"/>
          <w:sz w:val="17"/>
          <w:szCs w:val="17"/>
          <w:color w:val="auto"/>
        </w:rPr>
      </w:pPr>
    </w:p>
    <w:p>
      <w:pPr>
        <w:ind w:left="4360"/>
        <w:spacing w:after="0"/>
        <w:rPr>
          <w:rFonts w:ascii="Arial" w:cs="Arial" w:eastAsia="Arial" w:hAnsi="Arial"/>
          <w:sz w:val="17"/>
          <w:szCs w:val="17"/>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tabs>
          <w:tab w:leader="none" w:pos="4520" w:val="left"/>
          <w:tab w:leader="none" w:pos="576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14605</wp:posOffset>
            </wp:positionV>
            <wp:extent cx="23742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Name: Domenic Della Penna</w:t>
      </w:r>
    </w:p>
    <w:p>
      <w:pPr>
        <w:spacing w:after="0" w:line="34"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Chief Financial Officer</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(Principal Financial</w:t>
      </w:r>
    </w:p>
    <w:p>
      <w:pPr>
        <w:spacing w:after="0" w:line="5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Officer)</w:t>
      </w:r>
    </w:p>
    <w:sectPr>
      <w:pgSz w:w="11900" w:h="16838" w:orient="portrait"/>
      <w:cols w:equalWidth="0" w:num="1">
        <w:col w:w="10079"/>
      </w:cols>
      <w:pgMar w:left="38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upperLetter"/>
      <w:start w:val="68"/>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89" Type="http://schemas.openxmlformats.org/officeDocument/2006/relationships/hyperlink" Target="http://www.sec.gov/Archives/edgar/data/0001409269/000119312517311810/d448597dex31.htm" TargetMode="External"/><Relationship Id="rId90" Type="http://schemas.openxmlformats.org/officeDocument/2006/relationships/hyperlink" Target="http://www.sec.gov/Archives/edgar/data/0001409269/000119312519286952/d827576dex31.htm" TargetMode="External"/><Relationship Id="rId91" Type="http://schemas.openxmlformats.org/officeDocument/2006/relationships/hyperlink" Target="http://www.sec.gov/Archives/edgar/data/0001409269/000119312519286952/d827576dex32.htm" TargetMode="External"/><Relationship Id="rId92" Type="http://schemas.openxmlformats.org/officeDocument/2006/relationships/hyperlink" Target="http://www.sec.gov/Archives/edgar/data/1409269/000114036122035625/brhc10042537_ex10-1.htm" TargetMode="External"/><Relationship Id="rId93" Type="http://schemas.openxmlformats.org/officeDocument/2006/relationships/hyperlink" Target="http://www.sec.gov/Archives/edgar/data/1409269/000114036122036731/brhc1004276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2022-11-10T17:03:41Z</dcterms:created>
  <dcterms:modified xsi:type="dcterms:W3CDTF">2022-11-10T17:03:41Z</dcterms:modified>
</cp:coreProperties>
</file>