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196850</wp:posOffset>
            </wp:positionV>
            <wp:extent cx="7153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211455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4"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8"/>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43180</wp:posOffset>
            </wp:positionV>
            <wp:extent cx="14281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82"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76835</wp:posOffset>
            </wp:positionV>
            <wp:extent cx="14281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150" w:lineRule="exact"/>
        <w:rPr>
          <w:sz w:val="24"/>
          <w:szCs w:val="24"/>
          <w:color w:val="auto"/>
        </w:rPr>
      </w:pPr>
    </w:p>
    <w:p>
      <w:pPr>
        <w:ind w:left="9"/>
        <w:spacing w:after="0"/>
        <w:rPr>
          <w:sz w:val="20"/>
          <w:szCs w:val="20"/>
          <w:color w:val="auto"/>
        </w:rPr>
      </w:pPr>
      <w:r>
        <w:rPr>
          <w:rFonts w:ascii="Arial" w:cs="Arial" w:eastAsia="Arial" w:hAnsi="Arial"/>
          <w:sz w:val="12"/>
          <w:szCs w:val="12"/>
          <w:b w:val="1"/>
          <w:bCs w:val="1"/>
          <w:color w:val="auto"/>
        </w:rPr>
        <w:t>(Mark One)</w:t>
      </w:r>
    </w:p>
    <w:p>
      <w:pPr>
        <w:spacing w:after="0" w:line="5" w:lineRule="exact"/>
        <w:rPr>
          <w:sz w:val="24"/>
          <w:szCs w:val="24"/>
          <w:color w:val="auto"/>
        </w:rPr>
      </w:pPr>
    </w:p>
    <w:p>
      <w:pPr>
        <w:ind w:left="689" w:hanging="689"/>
        <w:spacing w:after="0"/>
        <w:tabs>
          <w:tab w:leader="none" w:pos="6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53" w:lineRule="exact"/>
        <w:rPr>
          <w:rFonts w:ascii="MS PGothic" w:cs="MS PGothic" w:eastAsia="MS PGothic" w:hAnsi="MS PGothic"/>
          <w:sz w:val="14"/>
          <w:szCs w:val="14"/>
          <w:color w:val="auto"/>
        </w:rPr>
      </w:pPr>
    </w:p>
    <w:p>
      <w:pPr>
        <w:ind w:left="416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-231140</wp:posOffset>
            </wp:positionV>
            <wp:extent cx="66040" cy="6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 cy="66675"/>
                    </a:xfrm>
                    <a:prstGeom prst="rect">
                      <a:avLst/>
                    </a:prstGeom>
                    <a:noFill/>
                  </pic:spPr>
                </pic:pic>
              </a:graphicData>
            </a:graphic>
          </wp:anchor>
        </w:drawing>
      </w:r>
    </w:p>
    <w:p>
      <w:pPr>
        <w:spacing w:after="0" w:line="57"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OR</w:t>
      </w:r>
    </w:p>
    <w:p>
      <w:pPr>
        <w:spacing w:after="0" w:line="104" w:lineRule="exact"/>
        <w:rPr>
          <w:sz w:val="24"/>
          <w:szCs w:val="24"/>
          <w:color w:val="auto"/>
        </w:rPr>
      </w:pPr>
    </w:p>
    <w:p>
      <w:pPr>
        <w:ind w:left="689" w:hanging="689"/>
        <w:spacing w:after="0"/>
        <w:tabs>
          <w:tab w:leader="none" w:pos="68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2" w:lineRule="exact"/>
        <w:rPr>
          <w:rFonts w:ascii="MS PGothic" w:cs="MS PGothic" w:eastAsia="MS PGothic" w:hAnsi="MS PGothic"/>
          <w:sz w:val="14"/>
          <w:szCs w:val="14"/>
          <w:color w:val="auto"/>
        </w:rPr>
      </w:pPr>
    </w:p>
    <w:p>
      <w:pPr>
        <w:ind w:left="362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For the transition period from ____________ to ____________</w:t>
      </w:r>
    </w:p>
    <w:p>
      <w:pPr>
        <w:spacing w:after="0" w:line="66" w:lineRule="exact"/>
        <w:rPr>
          <w:rFonts w:ascii="MS PGothic" w:cs="MS PGothic" w:eastAsia="MS PGothic" w:hAnsi="MS PGothic"/>
          <w:sz w:val="14"/>
          <w:szCs w:val="14"/>
          <w:color w:val="auto"/>
        </w:rPr>
      </w:pPr>
    </w:p>
    <w:p>
      <w:pPr>
        <w:ind w:left="4429"/>
        <w:spacing w:after="0"/>
        <w:rPr>
          <w:rFonts w:ascii="MS PGothic" w:cs="MS PGothic" w:eastAsia="MS PGothic" w:hAnsi="MS PGothic"/>
          <w:sz w:val="14"/>
          <w:szCs w:val="14"/>
          <w:color w:val="auto"/>
        </w:rPr>
      </w:pPr>
      <w:r>
        <w:rPr>
          <w:rFonts w:ascii="Arial" w:cs="Arial" w:eastAsia="Arial" w:hAnsi="Arial"/>
          <w:sz w:val="15"/>
          <w:szCs w:val="15"/>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73025</wp:posOffset>
            </wp:positionV>
            <wp:extent cx="1428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811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-382905</wp:posOffset>
            </wp:positionV>
            <wp:extent cx="65405" cy="6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 cy="66675"/>
                    </a:xfrm>
                    <a:prstGeom prst="rect">
                      <a:avLst/>
                    </a:prstGeom>
                    <a:noFill/>
                  </pic:spPr>
                </pic:pic>
              </a:graphicData>
            </a:graphic>
          </wp:anchor>
        </w:drawing>
      </w:r>
    </w:p>
    <w:p>
      <w:pPr>
        <w:spacing w:after="0" w:line="126" w:lineRule="exact"/>
        <w:rPr>
          <w:sz w:val="24"/>
          <w:szCs w:val="24"/>
          <w:color w:val="auto"/>
        </w:rPr>
      </w:pPr>
    </w:p>
    <w:tbl>
      <w:tblPr>
        <w:tblLayout w:type="fixed"/>
        <w:tblInd w:w="2129" w:type="dxa"/>
        <w:tblCellMar>
          <w:top w:w="0" w:type="dxa"/>
          <w:left w:w="0" w:type="dxa"/>
          <w:bottom w:w="0" w:type="dxa"/>
          <w:right w:w="0" w:type="dxa"/>
        </w:tblCellMar>
      </w:tblPr>
      <w:tr>
        <w:trPr>
          <w:trHeight w:val="442"/>
        </w:trPr>
        <w:tc>
          <w:tcPr>
            <w:tcW w:w="1580" w:type="dxa"/>
            <w:vAlign w:val="bottom"/>
          </w:tcPr>
          <w:p>
            <w:pPr>
              <w:spacing w:after="0"/>
              <w:rPr>
                <w:sz w:val="24"/>
                <w:szCs w:val="24"/>
                <w:color w:val="auto"/>
              </w:rPr>
            </w:pPr>
          </w:p>
        </w:tc>
        <w:tc>
          <w:tcPr>
            <w:tcW w:w="5160" w:type="dxa"/>
            <w:vAlign w:val="bottom"/>
            <w:gridSpan w:val="3"/>
          </w:tcPr>
          <w:p>
            <w:pPr>
              <w:jc w:val="center"/>
              <w:ind w:right="1267"/>
              <w:spacing w:after="0"/>
              <w:rPr>
                <w:sz w:val="20"/>
                <w:szCs w:val="20"/>
                <w:color w:val="auto"/>
              </w:rPr>
            </w:pPr>
            <w:r>
              <w:rPr>
                <w:rFonts w:ascii="Arial" w:cs="Arial" w:eastAsia="Arial" w:hAnsi="Arial"/>
                <w:sz w:val="36"/>
                <w:szCs w:val="36"/>
                <w:b w:val="1"/>
                <w:bCs w:val="1"/>
                <w:color w:val="auto"/>
                <w:w w:val="89"/>
              </w:rPr>
              <w:t>Venus Concept Inc.</w:t>
            </w:r>
          </w:p>
        </w:tc>
      </w:tr>
      <w:tr>
        <w:trPr>
          <w:trHeight w:val="195"/>
        </w:trPr>
        <w:tc>
          <w:tcPr>
            <w:tcW w:w="1580" w:type="dxa"/>
            <w:vAlign w:val="bottom"/>
          </w:tcPr>
          <w:p>
            <w:pPr>
              <w:spacing w:after="0"/>
              <w:rPr>
                <w:sz w:val="16"/>
                <w:szCs w:val="16"/>
                <w:color w:val="auto"/>
              </w:rPr>
            </w:pPr>
          </w:p>
        </w:tc>
        <w:tc>
          <w:tcPr>
            <w:tcW w:w="5160" w:type="dxa"/>
            <w:vAlign w:val="bottom"/>
            <w:gridSpan w:val="3"/>
          </w:tcPr>
          <w:p>
            <w:pPr>
              <w:jc w:val="center"/>
              <w:ind w:right="1267"/>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81"/>
        </w:trPr>
        <w:tc>
          <w:tcPr>
            <w:tcW w:w="1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r>
      <w:tr>
        <w:trPr>
          <w:trHeight w:val="226"/>
        </w:trPr>
        <w:tc>
          <w:tcPr>
            <w:tcW w:w="1580" w:type="dxa"/>
            <w:vAlign w:val="bottom"/>
          </w:tcPr>
          <w:p>
            <w:pPr>
              <w:jc w:val="center"/>
              <w:ind w:right="139"/>
              <w:spacing w:after="0"/>
              <w:rPr>
                <w:sz w:val="20"/>
                <w:szCs w:val="20"/>
                <w:color w:val="auto"/>
              </w:rPr>
            </w:pPr>
            <w:r>
              <w:rPr>
                <w:rFonts w:ascii="Arial" w:cs="Arial" w:eastAsia="Arial" w:hAnsi="Arial"/>
                <w:sz w:val="15"/>
                <w:szCs w:val="15"/>
                <w:b w:val="1"/>
                <w:bCs w:val="1"/>
                <w:color w:val="auto"/>
                <w:w w:val="94"/>
              </w:rPr>
              <w:t>Delaware</w:t>
            </w:r>
          </w:p>
        </w:tc>
        <w:tc>
          <w:tcPr>
            <w:tcW w:w="5160" w:type="dxa"/>
            <w:vAlign w:val="bottom"/>
            <w:gridSpan w:val="3"/>
          </w:tcPr>
          <w:p>
            <w:pPr>
              <w:jc w:val="center"/>
              <w:ind w:left="4209"/>
              <w:spacing w:after="0"/>
              <w:rPr>
                <w:sz w:val="20"/>
                <w:szCs w:val="20"/>
                <w:color w:val="auto"/>
              </w:rPr>
            </w:pPr>
            <w:r>
              <w:rPr>
                <w:rFonts w:ascii="Arial" w:cs="Arial" w:eastAsia="Arial" w:hAnsi="Arial"/>
                <w:sz w:val="15"/>
                <w:szCs w:val="15"/>
                <w:b w:val="1"/>
                <w:bCs w:val="1"/>
                <w:color w:val="auto"/>
                <w:w w:val="89"/>
              </w:rPr>
              <w:t>06-1681204</w:t>
            </w:r>
          </w:p>
        </w:tc>
      </w:tr>
      <w:tr>
        <w:trPr>
          <w:trHeight w:val="114"/>
        </w:trPr>
        <w:tc>
          <w:tcPr>
            <w:tcW w:w="1580" w:type="dxa"/>
            <w:vAlign w:val="bottom"/>
          </w:tcPr>
          <w:p>
            <w:pPr>
              <w:jc w:val="center"/>
              <w:ind w:right="159"/>
              <w:spacing w:after="0" w:line="114" w:lineRule="exact"/>
              <w:rPr>
                <w:sz w:val="20"/>
                <w:szCs w:val="20"/>
                <w:color w:val="auto"/>
              </w:rPr>
            </w:pPr>
            <w:r>
              <w:rPr>
                <w:rFonts w:ascii="Arial" w:cs="Arial" w:eastAsia="Arial" w:hAnsi="Arial"/>
                <w:sz w:val="11"/>
                <w:szCs w:val="11"/>
                <w:b w:val="1"/>
                <w:bCs w:val="1"/>
                <w:color w:val="auto"/>
                <w:w w:val="87"/>
              </w:rPr>
              <w:t>(State or other jurisdiction of</w:t>
            </w:r>
          </w:p>
        </w:tc>
        <w:tc>
          <w:tcPr>
            <w:tcW w:w="8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20" w:type="dxa"/>
            <w:vAlign w:val="bottom"/>
          </w:tcPr>
          <w:p>
            <w:pPr>
              <w:jc w:val="center"/>
              <w:ind w:left="1227"/>
              <w:spacing w:after="0" w:line="114" w:lineRule="exact"/>
              <w:rPr>
                <w:sz w:val="20"/>
                <w:szCs w:val="20"/>
                <w:color w:val="auto"/>
              </w:rPr>
            </w:pPr>
            <w:r>
              <w:rPr>
                <w:rFonts w:ascii="Arial" w:cs="Arial" w:eastAsia="Arial" w:hAnsi="Arial"/>
                <w:sz w:val="11"/>
                <w:szCs w:val="11"/>
                <w:b w:val="1"/>
                <w:bCs w:val="1"/>
                <w:color w:val="auto"/>
                <w:w w:val="90"/>
              </w:rPr>
              <w:t>(I.R.S. Employer</w:t>
            </w:r>
          </w:p>
        </w:tc>
      </w:tr>
      <w:tr>
        <w:trPr>
          <w:trHeight w:val="136"/>
        </w:trPr>
        <w:tc>
          <w:tcPr>
            <w:tcW w:w="1580" w:type="dxa"/>
            <w:vAlign w:val="bottom"/>
          </w:tcPr>
          <w:p>
            <w:pPr>
              <w:jc w:val="center"/>
              <w:ind w:right="139"/>
              <w:spacing w:after="0"/>
              <w:rPr>
                <w:sz w:val="20"/>
                <w:szCs w:val="20"/>
                <w:color w:val="auto"/>
              </w:rPr>
            </w:pPr>
            <w:r>
              <w:rPr>
                <w:rFonts w:ascii="Arial" w:cs="Arial" w:eastAsia="Arial" w:hAnsi="Arial"/>
                <w:sz w:val="11"/>
                <w:szCs w:val="11"/>
                <w:b w:val="1"/>
                <w:bCs w:val="1"/>
                <w:color w:val="auto"/>
                <w:w w:val="87"/>
              </w:rPr>
              <w:t>incorporation or organization)</w:t>
            </w:r>
          </w:p>
        </w:tc>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20" w:type="dxa"/>
            <w:vAlign w:val="bottom"/>
          </w:tcPr>
          <w:p>
            <w:pPr>
              <w:jc w:val="center"/>
              <w:ind w:left="1227"/>
              <w:spacing w:after="0"/>
              <w:rPr>
                <w:sz w:val="20"/>
                <w:szCs w:val="20"/>
                <w:color w:val="auto"/>
              </w:rPr>
            </w:pPr>
            <w:r>
              <w:rPr>
                <w:rFonts w:ascii="Arial" w:cs="Arial" w:eastAsia="Arial" w:hAnsi="Arial"/>
                <w:sz w:val="11"/>
                <w:szCs w:val="11"/>
                <w:b w:val="1"/>
                <w:bCs w:val="1"/>
                <w:color w:val="auto"/>
                <w:w w:val="90"/>
              </w:rPr>
              <w:t>Identification No.)</w:t>
            </w:r>
          </w:p>
        </w:tc>
      </w:tr>
    </w:tbl>
    <w:p>
      <w:pPr>
        <w:spacing w:after="0" w:line="46"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235 Yorkland Blvd., Suite 900</w:t>
      </w:r>
    </w:p>
    <w:p>
      <w:pPr>
        <w:spacing w:after="0" w:line="22"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Toronto, Ontario M2J 4Y8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(877) 848-8430</w:t>
      </w:r>
    </w:p>
    <w:p>
      <w:pPr>
        <w:spacing w:after="0" w:line="7" w:lineRule="exact"/>
        <w:rPr>
          <w:sz w:val="24"/>
          <w:szCs w:val="24"/>
          <w:color w:val="auto"/>
        </w:rPr>
      </w:pPr>
    </w:p>
    <w:p>
      <w:pPr>
        <w:jc w:val="center"/>
        <w:ind w:right="-8"/>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52070</wp:posOffset>
            </wp:positionV>
            <wp:extent cx="1428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119" w:lineRule="exact"/>
        <w:rPr>
          <w:sz w:val="24"/>
          <w:szCs w:val="24"/>
          <w:color w:val="auto"/>
        </w:rPr>
      </w:pPr>
    </w:p>
    <w:tbl>
      <w:tblPr>
        <w:tblLayout w:type="fixed"/>
        <w:tblInd w:w="9"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3780" w:type="dxa"/>
            <w:vAlign w:val="bottom"/>
            <w:gridSpan w:val="5"/>
          </w:tcPr>
          <w:p>
            <w:pPr>
              <w:ind w:left="400"/>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3660" w:type="dxa"/>
            <w:vAlign w:val="bottom"/>
          </w:tcPr>
          <w:p>
            <w:pPr>
              <w:spacing w:after="0"/>
              <w:rPr>
                <w:sz w:val="15"/>
                <w:szCs w:val="15"/>
                <w:color w:val="auto"/>
              </w:rPr>
            </w:pPr>
          </w:p>
        </w:tc>
      </w:tr>
      <w:tr>
        <w:trPr>
          <w:trHeight w:val="250"/>
        </w:trPr>
        <w:tc>
          <w:tcPr>
            <w:tcW w:w="3820" w:type="dxa"/>
            <w:vAlign w:val="bottom"/>
          </w:tcPr>
          <w:p>
            <w:pPr>
              <w:jc w:val="center"/>
              <w:ind w:left="572"/>
              <w:spacing w:after="0"/>
              <w:rPr>
                <w:sz w:val="20"/>
                <w:szCs w:val="20"/>
                <w:color w:val="auto"/>
              </w:rPr>
            </w:pPr>
            <w:r>
              <w:rPr>
                <w:rFonts w:ascii="Arial" w:cs="Arial" w:eastAsia="Arial" w:hAnsi="Arial"/>
                <w:sz w:val="14"/>
                <w:szCs w:val="14"/>
                <w:b w:val="1"/>
                <w:bCs w:val="1"/>
                <w:color w:val="auto"/>
                <w:w w:val="84"/>
              </w:rPr>
              <w:t>Title of each class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Trading Symbol</w:t>
            </w:r>
          </w:p>
        </w:tc>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8"/>
        </w:trPr>
        <w:tc>
          <w:tcPr>
            <w:tcW w:w="3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94"/>
        </w:trPr>
        <w:tc>
          <w:tcPr>
            <w:tcW w:w="3820" w:type="dxa"/>
            <w:vAlign w:val="bottom"/>
          </w:tcPr>
          <w:p>
            <w:pPr>
              <w:jc w:val="center"/>
              <w:ind w:left="572"/>
              <w:spacing w:after="0"/>
              <w:rPr>
                <w:sz w:val="20"/>
                <w:szCs w:val="20"/>
                <w:color w:val="auto"/>
              </w:rPr>
            </w:pPr>
            <w:r>
              <w:rPr>
                <w:rFonts w:ascii="Arial" w:cs="Arial" w:eastAsia="Arial" w:hAnsi="Arial"/>
                <w:sz w:val="14"/>
                <w:szCs w:val="14"/>
                <w:color w:val="auto"/>
                <w:w w:val="86"/>
              </w:rPr>
              <w:t>Common Stock, $0.0001 par value per share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3"/>
          </w:tcPr>
          <w:p>
            <w:pPr>
              <w:jc w:val="center"/>
              <w:ind w:right="1180"/>
              <w:spacing w:after="0"/>
              <w:rPr>
                <w:sz w:val="20"/>
                <w:szCs w:val="20"/>
                <w:color w:val="auto"/>
              </w:rPr>
            </w:pPr>
            <w:r>
              <w:rPr>
                <w:rFonts w:ascii="Arial" w:cs="Arial" w:eastAsia="Arial" w:hAnsi="Arial"/>
                <w:sz w:val="14"/>
                <w:szCs w:val="14"/>
                <w:color w:val="auto"/>
                <w:w w:val="90"/>
              </w:rPr>
              <w:t>VERO</w:t>
            </w:r>
          </w:p>
        </w:tc>
        <w:tc>
          <w:tcPr>
            <w:tcW w:w="3660" w:type="dxa"/>
            <w:vAlign w:val="bottom"/>
          </w:tcPr>
          <w:p>
            <w:pPr>
              <w:ind w:left="460"/>
              <w:spacing w:after="0"/>
              <w:rPr>
                <w:sz w:val="20"/>
                <w:szCs w:val="20"/>
                <w:color w:val="auto"/>
              </w:rPr>
            </w:pPr>
            <w:r>
              <w:rPr>
                <w:rFonts w:ascii="Arial" w:cs="Arial" w:eastAsia="Arial" w:hAnsi="Arial"/>
                <w:sz w:val="15"/>
                <w:szCs w:val="15"/>
                <w:color w:val="auto"/>
              </w:rPr>
              <w:t>The Nasdaq Global Market</w:t>
            </w:r>
          </w:p>
        </w:tc>
      </w:tr>
    </w:tbl>
    <w:p>
      <w:pPr>
        <w:spacing w:after="0" w:line="84" w:lineRule="exact"/>
        <w:rPr>
          <w:sz w:val="24"/>
          <w:szCs w:val="24"/>
          <w:color w:val="auto"/>
        </w:rPr>
      </w:pPr>
    </w:p>
    <w:p>
      <w:pPr>
        <w:ind w:left="9" w:right="40" w:firstLine="511"/>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left="9" w:right="160" w:firstLine="511"/>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left="9" w:firstLine="511"/>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9" w:type="dxa"/>
        <w:tblCellMar>
          <w:top w:w="0" w:type="dxa"/>
          <w:left w:w="0" w:type="dxa"/>
          <w:bottom w:w="0" w:type="dxa"/>
          <w:right w:w="0" w:type="dxa"/>
        </w:tblCellMar>
      </w:tblPr>
      <w:tr>
        <w:trPr>
          <w:trHeight w:val="214"/>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08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9" w:lineRule="exact"/>
        <w:rPr>
          <w:sz w:val="24"/>
          <w:szCs w:val="24"/>
          <w:color w:val="auto"/>
        </w:rPr>
      </w:pPr>
    </w:p>
    <w:p>
      <w:pPr>
        <w:jc w:val="both"/>
        <w:ind w:left="9" w:right="100" w:firstLine="51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 w:lineRule="exact"/>
        <w:rPr>
          <w:sz w:val="24"/>
          <w:szCs w:val="24"/>
          <w:color w:val="auto"/>
        </w:rPr>
      </w:pPr>
    </w:p>
    <w:p>
      <w:pPr>
        <w:ind w:left="509" w:right="3560"/>
        <w:spacing w:after="0" w:line="219"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August 10, 2020, the registrant had 40,332,553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328295</wp:posOffset>
            </wp:positionV>
            <wp:extent cx="716851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9"/>
          </w:cols>
          <w:pgMar w:left="311" w:top="37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2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9560" w:type="dxa"/>
            <w:vAlign w:val="bottom"/>
            <w:vMerge w:val="restart"/>
          </w:tcPr>
          <w:p>
            <w:pPr>
              <w:ind w:left="340"/>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Financial Information</w:t>
              </w:r>
            </w:hyperlink>
          </w:p>
        </w:tc>
        <w:tc>
          <w:tcPr>
            <w:tcW w:w="700" w:type="dxa"/>
            <w:vAlign w:val="bottom"/>
            <w:gridSpan w:val="2"/>
          </w:tcPr>
          <w:p>
            <w:pPr>
              <w:ind w:left="2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8"/>
        </w:trPr>
        <w:tc>
          <w:tcPr>
            <w:tcW w:w="1020" w:type="dxa"/>
            <w:vAlign w:val="bottom"/>
            <w:vMerge w:val="continue"/>
          </w:tcPr>
          <w:p>
            <w:pPr>
              <w:spacing w:after="0"/>
              <w:rPr>
                <w:sz w:val="13"/>
                <w:szCs w:val="13"/>
                <w:color w:val="auto"/>
              </w:rPr>
            </w:pPr>
          </w:p>
        </w:tc>
        <w:tc>
          <w:tcPr>
            <w:tcW w:w="956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Condensed Consolidated Financial Statements (unaudited)</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Condensed 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Condensed Consolidated Statements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Condensed Consolidated Statements of Comprehensive Loss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Stockholders’ Equity</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Condensed Consolidated Statements of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9560" w:type="dxa"/>
            <w:vAlign w:val="bottom"/>
          </w:tcPr>
          <w:p>
            <w:pPr>
              <w:ind w:left="340"/>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Notes to the Condensed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2.</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30">
              <w:r>
                <w:rPr>
                  <w:rFonts w:ascii="Arial" w:cs="Arial" w:eastAsia="Arial" w:hAnsi="Arial"/>
                  <w:sz w:val="15"/>
                  <w:szCs w:val="15"/>
                  <w:b w:val="1"/>
                  <w:bCs w:val="1"/>
                  <w:u w:val="single" w:color="auto"/>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1">
              <w:r>
                <w:rPr>
                  <w:rFonts w:ascii="Arial" w:cs="Arial" w:eastAsia="Arial" w:hAnsi="Arial"/>
                  <w:sz w:val="15"/>
                  <w:szCs w:val="15"/>
                  <w:b w:val="1"/>
                  <w:bCs w:val="1"/>
                  <w:u w:val="single" w:color="auto"/>
                  <w:color w:val="0000EE"/>
                </w:rPr>
                <w:t>Quantitative and Qualitative Disclosures About Market Risk</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1">
              <w:r>
                <w:rPr>
                  <w:rFonts w:ascii="Arial" w:cs="Arial" w:eastAsia="Arial" w:hAnsi="Arial"/>
                  <w:sz w:val="15"/>
                  <w:szCs w:val="15"/>
                  <w:b w:val="1"/>
                  <w:bCs w:val="1"/>
                  <w:u w:val="single" w:color="auto"/>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3">
              <w:r>
                <w:rPr>
                  <w:rFonts w:ascii="Arial" w:cs="Arial" w:eastAsia="Arial" w:hAnsi="Arial"/>
                  <w:sz w:val="15"/>
                  <w:szCs w:val="15"/>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3">
              <w:r>
                <w:rPr>
                  <w:rFonts w:ascii="Arial" w:cs="Arial" w:eastAsia="Arial" w:hAnsi="Arial"/>
                  <w:sz w:val="15"/>
                  <w:szCs w:val="15"/>
                  <w:b w:val="1"/>
                  <w:bCs w:val="1"/>
                  <w:u w:val="single" w:color="auto"/>
                  <w:color w:val="0000EE"/>
                </w:rPr>
                <w:t>Legal Proceedings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1A.</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55">
              <w:r>
                <w:rPr>
                  <w:rFonts w:ascii="Arial" w:cs="Arial" w:eastAsia="Arial" w:hAnsi="Arial"/>
                  <w:sz w:val="15"/>
                  <w:szCs w:val="15"/>
                  <w:b w:val="1"/>
                  <w:bCs w:val="1"/>
                  <w:u w:val="single" w:color="auto"/>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2.</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61">
              <w:r>
                <w:rPr>
                  <w:rFonts w:ascii="Arial" w:cs="Arial" w:eastAsia="Arial" w:hAnsi="Arial"/>
                  <w:sz w:val="15"/>
                  <w:szCs w:val="15"/>
                  <w:b w:val="1"/>
                  <w:bCs w:val="1"/>
                  <w:u w:val="single" w:color="auto"/>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61">
              <w:r>
                <w:rPr>
                  <w:rFonts w:ascii="Arial" w:cs="Arial" w:eastAsia="Arial" w:hAnsi="Arial"/>
                  <w:sz w:val="15"/>
                  <w:szCs w:val="15"/>
                  <w:b w:val="1"/>
                  <w:bCs w:val="1"/>
                  <w:u w:val="single" w:color="auto"/>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61">
              <w:r>
                <w:rPr>
                  <w:rFonts w:ascii="Arial" w:cs="Arial" w:eastAsia="Arial" w:hAnsi="Arial"/>
                  <w:sz w:val="15"/>
                  <w:szCs w:val="15"/>
                  <w:b w:val="1"/>
                  <w:bCs w:val="1"/>
                  <w:u w:val="single" w:color="auto"/>
                  <w:color w:val="0000EE"/>
                </w:rPr>
                <w:t>Mine Safety Disclosures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61">
              <w:r>
                <w:rPr>
                  <w:rFonts w:ascii="Arial" w:cs="Arial" w:eastAsia="Arial" w:hAnsi="Arial"/>
                  <w:sz w:val="15"/>
                  <w:szCs w:val="15"/>
                  <w:b w:val="1"/>
                  <w:bCs w:val="1"/>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9560" w:type="dxa"/>
            <w:vAlign w:val="bottom"/>
          </w:tcPr>
          <w:p>
            <w:pPr>
              <w:ind w:left="340"/>
              <w:spacing w:after="0"/>
              <w:rPr>
                <w:rFonts w:ascii="Arial" w:cs="Arial" w:eastAsia="Arial" w:hAnsi="Arial"/>
                <w:sz w:val="15"/>
                <w:szCs w:val="15"/>
                <w:b w:val="1"/>
                <w:bCs w:val="1"/>
                <w:u w:val="single" w:color="auto"/>
                <w:color w:val="0000EE"/>
              </w:rPr>
            </w:pPr>
            <w:hyperlink w:anchor="page62">
              <w:r>
                <w:rPr>
                  <w:rFonts w:ascii="Arial" w:cs="Arial" w:eastAsia="Arial" w:hAnsi="Arial"/>
                  <w:sz w:val="15"/>
                  <w:szCs w:val="15"/>
                  <w:b w:val="1"/>
                  <w:bCs w:val="1"/>
                  <w:u w:val="single" w:color="auto"/>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5"/>
        </w:trPr>
        <w:tc>
          <w:tcPr>
            <w:tcW w:w="1020" w:type="dxa"/>
            <w:vAlign w:val="bottom"/>
          </w:tcPr>
          <w:p>
            <w:pPr>
              <w:spacing w:after="0"/>
              <w:rPr>
                <w:rFonts w:ascii="Arial" w:cs="Arial" w:eastAsia="Arial" w:hAnsi="Arial"/>
                <w:sz w:val="15"/>
                <w:szCs w:val="15"/>
                <w:b w:val="1"/>
                <w:bCs w:val="1"/>
                <w:u w:val="single" w:color="auto"/>
                <w:color w:val="0000EE"/>
              </w:rPr>
            </w:pPr>
            <w:hyperlink w:anchor="page63">
              <w:r>
                <w:rPr>
                  <w:rFonts w:ascii="Arial" w:cs="Arial" w:eastAsia="Arial" w:hAnsi="Arial"/>
                  <w:sz w:val="15"/>
                  <w:szCs w:val="15"/>
                  <w:b w:val="1"/>
                  <w:bCs w:val="1"/>
                  <w:u w:val="single" w:color="auto"/>
                  <w:color w:val="0000EE"/>
                </w:rPr>
                <w:t>Signatures</w:t>
              </w:r>
            </w:hyperlink>
          </w:p>
        </w:tc>
        <w:tc>
          <w:tcPr>
            <w:tcW w:w="95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PART I</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CONDENSED CONSOLIDATED FINANCIAL STATEMENTS</w:t>
      </w:r>
    </w:p>
    <w:p>
      <w:pPr>
        <w:spacing w:after="0" w:line="191"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for shares and per share data)</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June 30, 2020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December 31, 2019</w:t>
            </w:r>
          </w:p>
        </w:tc>
      </w:tr>
      <w:tr>
        <w:trPr>
          <w:trHeight w:val="116"/>
        </w:trPr>
        <w:tc>
          <w:tcPr>
            <w:tcW w:w="788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ASSETS</w:t>
            </w: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CURRENT ASSETS: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Cash and cash equivalents</w:t>
            </w:r>
          </w:p>
        </w:tc>
        <w:tc>
          <w:tcPr>
            <w:tcW w:w="280" w:type="dxa"/>
            <w:vAlign w:val="bottom"/>
            <w:gridSpan w:val="2"/>
            <w:shd w:val="clear" w:color="auto" w:fill="CFF0FC"/>
          </w:tcPr>
          <w:p>
            <w:pPr>
              <w:jc w:val="right"/>
              <w:ind w:right="72"/>
              <w:spacing w:after="0" w:line="125" w:lineRule="exact"/>
              <w:rPr>
                <w:sz w:val="20"/>
                <w:szCs w:val="20"/>
                <w:color w:val="auto"/>
              </w:rPr>
            </w:pPr>
            <w:r>
              <w:rPr>
                <w:rFonts w:ascii="Arial" w:cs="Arial" w:eastAsia="Arial" w:hAnsi="Arial"/>
                <w:sz w:val="11"/>
                <w:szCs w:val="11"/>
                <w:color w:val="auto"/>
              </w:rPr>
              <w:t>$</w:t>
            </w: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14,033</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34"/>
              <w:spacing w:after="0" w:line="125" w:lineRule="exact"/>
              <w:rPr>
                <w:sz w:val="20"/>
                <w:szCs w:val="20"/>
                <w:color w:val="auto"/>
              </w:rPr>
            </w:pPr>
            <w:r>
              <w:rPr>
                <w:rFonts w:ascii="Arial" w:cs="Arial" w:eastAsia="Arial" w:hAnsi="Arial"/>
                <w:sz w:val="11"/>
                <w:szCs w:val="11"/>
                <w:color w:val="auto"/>
              </w:rPr>
              <w:t>$</w:t>
            </w: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15,666</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83</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Accounts receivable, net of allowance of $14,277 and $10,494 as of June 30, 2020, and December 31, 2019</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57,539</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58,977</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19,030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18,844</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Deferred expenses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59</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Prepaid expenses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2,422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2,523</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Advances to suppliers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2,769</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450</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Borders>
              <w:bottom w:val="single" w:sz="8" w:color="CFF0FC"/>
            </w:tcBorders>
          </w:tcPr>
          <w:p>
            <w:pPr>
              <w:ind w:left="200"/>
              <w:spacing w:after="0" w:line="125" w:lineRule="exact"/>
              <w:rPr>
                <w:sz w:val="20"/>
                <w:szCs w:val="20"/>
                <w:color w:val="auto"/>
              </w:rPr>
            </w:pPr>
            <w:r>
              <w:rPr>
                <w:rFonts w:ascii="Arial" w:cs="Arial" w:eastAsia="Arial" w:hAnsi="Arial"/>
                <w:sz w:val="11"/>
                <w:szCs w:val="11"/>
                <w:color w:val="auto"/>
              </w:rPr>
              <w:t>Other current assets</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4,217</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3,101</w:t>
            </w:r>
          </w:p>
        </w:tc>
        <w:tc>
          <w:tcPr>
            <w:tcW w:w="120" w:type="dxa"/>
            <w:vAlign w:val="bottom"/>
            <w:tcBorders>
              <w:bottom w:val="single" w:sz="8" w:color="CFF0FC"/>
            </w:tcBorders>
          </w:tcPr>
          <w:p>
            <w:pPr>
              <w:spacing w:after="0"/>
              <w:rPr>
                <w:sz w:val="10"/>
                <w:szCs w:val="10"/>
                <w:color w:val="auto"/>
              </w:rPr>
            </w:pPr>
          </w:p>
        </w:tc>
      </w:tr>
      <w:tr>
        <w:trPr>
          <w:trHeight w:val="116"/>
        </w:trPr>
        <w:tc>
          <w:tcPr>
            <w:tcW w:w="7880" w:type="dxa"/>
            <w:vAlign w:val="bottom"/>
            <w:shd w:val="clear" w:color="auto" w:fill="CFF0FC"/>
          </w:tcPr>
          <w:p>
            <w:pPr>
              <w:ind w:left="400"/>
              <w:spacing w:after="0" w:line="116" w:lineRule="exact"/>
              <w:rPr>
                <w:sz w:val="20"/>
                <w:szCs w:val="20"/>
                <w:color w:val="auto"/>
              </w:rPr>
            </w:pPr>
            <w:r>
              <w:rPr>
                <w:rFonts w:ascii="Arial" w:cs="Arial" w:eastAsia="Arial" w:hAnsi="Arial"/>
                <w:sz w:val="11"/>
                <w:szCs w:val="11"/>
                <w:color w:val="auto"/>
              </w:rPr>
              <w:t>Total current assets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100,103</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99,703</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LONG-TERM ASSETS: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Long-term receivables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24,343</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35,656</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Deferred tax assets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1,265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622</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Severance pay funds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638</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710</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Property and equipment, net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3,971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4,648</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Intangible assets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20,602</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22,338</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Goodwill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27,450</w:t>
            </w:r>
          </w:p>
        </w:tc>
        <w:tc>
          <w:tcPr>
            <w:tcW w:w="120" w:type="dxa"/>
            <w:vAlign w:val="bottom"/>
          </w:tcPr>
          <w:p>
            <w:pPr>
              <w:spacing w:after="0"/>
              <w:rPr>
                <w:sz w:val="10"/>
                <w:szCs w:val="10"/>
                <w:color w:val="auto"/>
              </w:rPr>
            </w:pPr>
          </w:p>
        </w:tc>
      </w:tr>
      <w:tr>
        <w:trPr>
          <w:trHeight w:val="116"/>
        </w:trPr>
        <w:tc>
          <w:tcPr>
            <w:tcW w:w="7880" w:type="dxa"/>
            <w:vAlign w:val="bottom"/>
            <w:tcBorders>
              <w:top w:val="single" w:sz="8" w:color="CFF0FC"/>
            </w:tcBorders>
            <w:shd w:val="clear" w:color="auto" w:fill="CFF0FC"/>
          </w:tcPr>
          <w:p>
            <w:pPr>
              <w:ind w:left="400"/>
              <w:spacing w:after="0" w:line="116" w:lineRule="exact"/>
              <w:rPr>
                <w:sz w:val="20"/>
                <w:szCs w:val="20"/>
                <w:color w:val="auto"/>
              </w:rPr>
            </w:pPr>
            <w:r>
              <w:rPr>
                <w:rFonts w:ascii="Arial" w:cs="Arial" w:eastAsia="Arial" w:hAnsi="Arial"/>
                <w:sz w:val="11"/>
                <w:szCs w:val="11"/>
                <w:color w:val="auto"/>
              </w:rPr>
              <w:t>Total long-term assets</w:t>
            </w: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108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50,819</w:t>
            </w: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4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91,424</w:t>
            </w:r>
          </w:p>
        </w:tc>
        <w:tc>
          <w:tcPr>
            <w:tcW w:w="120" w:type="dxa"/>
            <w:vAlign w:val="bottom"/>
            <w:tcBorders>
              <w:top w:val="single" w:sz="8" w:color="CFF0FC"/>
            </w:tcBorders>
            <w:shd w:val="clear" w:color="auto" w:fill="CFF0FC"/>
          </w:tcPr>
          <w:p>
            <w:pPr>
              <w:spacing w:after="0"/>
              <w:rPr>
                <w:sz w:val="10"/>
                <w:szCs w:val="10"/>
                <w:color w:val="auto"/>
              </w:rPr>
            </w:pPr>
          </w:p>
        </w:tc>
      </w:tr>
      <w:tr>
        <w:trPr>
          <w:trHeight w:val="156"/>
        </w:trPr>
        <w:tc>
          <w:tcPr>
            <w:tcW w:w="7880" w:type="dxa"/>
            <w:vAlign w:val="bottom"/>
            <w:tcBorders>
              <w:bottom w:val="single" w:sz="8" w:color="CFF0FC"/>
            </w:tcBorders>
          </w:tcPr>
          <w:p>
            <w:pPr>
              <w:spacing w:after="0" w:line="116" w:lineRule="exact"/>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150,922</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191,127</w:t>
            </w:r>
          </w:p>
        </w:tc>
        <w:tc>
          <w:tcPr>
            <w:tcW w:w="120" w:type="dxa"/>
            <w:vAlign w:val="bottom"/>
            <w:tcBorders>
              <w:bottom w:val="single" w:sz="8" w:color="CFF0FC"/>
            </w:tcBorders>
          </w:tcPr>
          <w:p>
            <w:pPr>
              <w:spacing w:after="0"/>
              <w:rPr>
                <w:sz w:val="13"/>
                <w:szCs w:val="13"/>
                <w:color w:val="auto"/>
              </w:rPr>
            </w:pPr>
          </w:p>
        </w:tc>
      </w:tr>
      <w:tr>
        <w:trPr>
          <w:trHeight w:val="99"/>
        </w:trPr>
        <w:tc>
          <w:tcPr>
            <w:tcW w:w="7880" w:type="dxa"/>
            <w:vAlign w:val="bottom"/>
            <w:shd w:val="clear" w:color="auto" w:fill="CFF0FC"/>
          </w:tcPr>
          <w:p>
            <w:pP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CURRENT LIABILITIES: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Line of credit</w:t>
            </w:r>
          </w:p>
        </w:tc>
        <w:tc>
          <w:tcPr>
            <w:tcW w:w="280" w:type="dxa"/>
            <w:vAlign w:val="bottom"/>
            <w:gridSpan w:val="2"/>
            <w:shd w:val="clear" w:color="auto" w:fill="CFF0FC"/>
          </w:tcPr>
          <w:p>
            <w:pPr>
              <w:jc w:val="right"/>
              <w:ind w:right="72"/>
              <w:spacing w:after="0" w:line="125" w:lineRule="exact"/>
              <w:rPr>
                <w:sz w:val="20"/>
                <w:szCs w:val="20"/>
                <w:color w:val="auto"/>
              </w:rPr>
            </w:pPr>
            <w:r>
              <w:rPr>
                <w:rFonts w:ascii="Arial" w:cs="Arial" w:eastAsia="Arial" w:hAnsi="Arial"/>
                <w:sz w:val="11"/>
                <w:szCs w:val="11"/>
                <w:color w:val="auto"/>
              </w:rPr>
              <w:t>$</w:t>
            </w: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3,861</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34"/>
              <w:spacing w:after="0" w:line="125" w:lineRule="exact"/>
              <w:rPr>
                <w:sz w:val="20"/>
                <w:szCs w:val="20"/>
                <w:color w:val="auto"/>
              </w:rPr>
            </w:pPr>
            <w:r>
              <w:rPr>
                <w:rFonts w:ascii="Arial" w:cs="Arial" w:eastAsia="Arial" w:hAnsi="Arial"/>
                <w:sz w:val="11"/>
                <w:szCs w:val="11"/>
                <w:color w:val="auto"/>
              </w:rPr>
              <w:t>$</w:t>
            </w: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7,789</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Trade payables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9,139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9,401</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Accrued expenses and other current liabilities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15,967</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21,120</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Taxes payable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2,579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2,172</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Unearned interest income</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2,937</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3,942</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ind w:left="200"/>
              <w:spacing w:after="0" w:line="125" w:lineRule="exact"/>
              <w:rPr>
                <w:sz w:val="20"/>
                <w:szCs w:val="20"/>
                <w:color w:val="auto"/>
              </w:rPr>
            </w:pPr>
            <w:r>
              <w:rPr>
                <w:rFonts w:ascii="Arial" w:cs="Arial" w:eastAsia="Arial" w:hAnsi="Arial"/>
                <w:sz w:val="11"/>
                <w:szCs w:val="11"/>
                <w:color w:val="auto"/>
              </w:rPr>
              <w:t>Warranty accrual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1,160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1,254</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Deferred revenues</w:t>
            </w:r>
          </w:p>
        </w:tc>
        <w:tc>
          <w:tcPr>
            <w:tcW w:w="100" w:type="dxa"/>
            <w:vAlign w:val="bottom"/>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1,915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2,495</w:t>
            </w:r>
          </w:p>
        </w:tc>
        <w:tc>
          <w:tcPr>
            <w:tcW w:w="120" w:type="dxa"/>
            <w:vAlign w:val="bottom"/>
            <w:shd w:val="clear" w:color="auto" w:fill="CFF0FC"/>
          </w:tcPr>
          <w:p>
            <w:pPr>
              <w:spacing w:after="0"/>
              <w:rPr>
                <w:sz w:val="10"/>
                <w:szCs w:val="10"/>
                <w:color w:val="auto"/>
              </w:rPr>
            </w:pPr>
          </w:p>
        </w:tc>
      </w:tr>
      <w:tr>
        <w:trPr>
          <w:trHeight w:val="116"/>
        </w:trPr>
        <w:tc>
          <w:tcPr>
            <w:tcW w:w="7880" w:type="dxa"/>
            <w:vAlign w:val="bottom"/>
          </w:tcPr>
          <w:p>
            <w:pPr>
              <w:ind w:left="400"/>
              <w:spacing w:after="0" w:line="116" w:lineRule="exact"/>
              <w:rPr>
                <w:sz w:val="20"/>
                <w:szCs w:val="20"/>
                <w:color w:val="auto"/>
              </w:rPr>
            </w:pPr>
            <w:r>
              <w:rPr>
                <w:rFonts w:ascii="Arial" w:cs="Arial" w:eastAsia="Arial" w:hAnsi="Arial"/>
                <w:sz w:val="11"/>
                <w:szCs w:val="11"/>
                <w:color w:val="auto"/>
              </w:rPr>
              <w:t>Total current liabilities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16" w:lineRule="exact"/>
              <w:rPr>
                <w:sz w:val="20"/>
                <w:szCs w:val="20"/>
                <w:color w:val="auto"/>
              </w:rPr>
            </w:pPr>
            <w:r>
              <w:rPr>
                <w:rFonts w:ascii="Arial" w:cs="Arial" w:eastAsia="Arial" w:hAnsi="Arial"/>
                <w:sz w:val="11"/>
                <w:szCs w:val="11"/>
                <w:color w:val="auto"/>
              </w:rPr>
              <w:t>37,558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Arial" w:cs="Arial" w:eastAsia="Arial" w:hAnsi="Arial"/>
                <w:sz w:val="11"/>
                <w:szCs w:val="11"/>
                <w:color w:val="auto"/>
              </w:rPr>
              <w:t>48,173</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LONG-TERM LIABILITIES: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65,364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61,229</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Government assistance loans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4,110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Accrued severance pay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858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827</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Deferred tax liabilities</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423</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1,017</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Unearned interest income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1,246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1,681</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Warranty accrual</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499</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723</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Borders>
              <w:bottom w:val="single" w:sz="8" w:color="CFF0FC"/>
            </w:tcBorders>
          </w:tcPr>
          <w:p>
            <w:pPr>
              <w:spacing w:after="0" w:line="125" w:lineRule="exact"/>
              <w:rPr>
                <w:sz w:val="20"/>
                <w:szCs w:val="20"/>
                <w:color w:val="auto"/>
              </w:rPr>
            </w:pPr>
            <w:r>
              <w:rPr>
                <w:rFonts w:ascii="Arial" w:cs="Arial" w:eastAsia="Arial" w:hAnsi="Arial"/>
                <w:sz w:val="11"/>
                <w:szCs w:val="11"/>
                <w:color w:val="auto"/>
              </w:rPr>
              <w:t>Other long-term liabilities</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530</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799</w:t>
            </w:r>
          </w:p>
        </w:tc>
        <w:tc>
          <w:tcPr>
            <w:tcW w:w="120" w:type="dxa"/>
            <w:vAlign w:val="bottom"/>
            <w:tcBorders>
              <w:bottom w:val="single" w:sz="8" w:color="CFF0FC"/>
            </w:tcBorders>
          </w:tcPr>
          <w:p>
            <w:pPr>
              <w:spacing w:after="0"/>
              <w:rPr>
                <w:sz w:val="10"/>
                <w:szCs w:val="10"/>
                <w:color w:val="auto"/>
              </w:rPr>
            </w:pPr>
          </w:p>
        </w:tc>
      </w:tr>
      <w:tr>
        <w:trPr>
          <w:trHeight w:val="116"/>
        </w:trPr>
        <w:tc>
          <w:tcPr>
            <w:tcW w:w="7880" w:type="dxa"/>
            <w:vAlign w:val="bottom"/>
            <w:shd w:val="clear" w:color="auto" w:fill="CFF0FC"/>
          </w:tcPr>
          <w:p>
            <w:pPr>
              <w:ind w:left="300"/>
              <w:spacing w:after="0" w:line="116" w:lineRule="exact"/>
              <w:rPr>
                <w:sz w:val="20"/>
                <w:szCs w:val="20"/>
                <w:color w:val="auto"/>
              </w:rPr>
            </w:pPr>
            <w:r>
              <w:rPr>
                <w:rFonts w:ascii="Arial" w:cs="Arial" w:eastAsia="Arial" w:hAnsi="Arial"/>
                <w:sz w:val="11"/>
                <w:szCs w:val="11"/>
                <w:color w:val="auto"/>
              </w:rPr>
              <w:t>Total long-term liabilities</w:t>
            </w:r>
          </w:p>
        </w:tc>
        <w:tc>
          <w:tcPr>
            <w:tcW w:w="100" w:type="dxa"/>
            <w:vAlign w:val="bottom"/>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73,030</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66,276</w:t>
            </w:r>
          </w:p>
        </w:tc>
        <w:tc>
          <w:tcPr>
            <w:tcW w:w="120" w:type="dxa"/>
            <w:vAlign w:val="bottom"/>
            <w:shd w:val="clear" w:color="auto" w:fill="CFF0FC"/>
          </w:tcPr>
          <w:p>
            <w:pPr>
              <w:spacing w:after="0"/>
              <w:rPr>
                <w:sz w:val="10"/>
                <w:szCs w:val="10"/>
                <w:color w:val="auto"/>
              </w:rPr>
            </w:pPr>
          </w:p>
        </w:tc>
      </w:tr>
      <w:tr>
        <w:trPr>
          <w:trHeight w:val="116"/>
        </w:trPr>
        <w:tc>
          <w:tcPr>
            <w:tcW w:w="7880" w:type="dxa"/>
            <w:vAlign w:val="bottom"/>
            <w:tcBorders>
              <w:bottom w:val="single" w:sz="8" w:color="CFF0FC"/>
            </w:tcBorders>
          </w:tcPr>
          <w:p>
            <w:pPr>
              <w:spacing w:after="0" w:line="116" w:lineRule="exact"/>
              <w:rPr>
                <w:sz w:val="20"/>
                <w:szCs w:val="20"/>
                <w:color w:val="auto"/>
              </w:rPr>
            </w:pPr>
            <w:r>
              <w:rPr>
                <w:rFonts w:ascii="Arial" w:cs="Arial" w:eastAsia="Arial" w:hAnsi="Arial"/>
                <w:sz w:val="11"/>
                <w:szCs w:val="11"/>
                <w:color w:val="auto"/>
              </w:rPr>
              <w:t>TOTAL LIABILITIES</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110,588</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114,449</w:t>
            </w:r>
          </w:p>
        </w:tc>
        <w:tc>
          <w:tcPr>
            <w:tcW w:w="120" w:type="dxa"/>
            <w:vAlign w:val="bottom"/>
            <w:tcBorders>
              <w:bottom w:val="single" w:sz="8" w:color="CFF0FC"/>
            </w:tcBorders>
          </w:tcPr>
          <w:p>
            <w:pPr>
              <w:spacing w:after="0"/>
              <w:rPr>
                <w:sz w:val="10"/>
                <w:szCs w:val="10"/>
                <w:color w:val="auto"/>
              </w:rPr>
            </w:pPr>
          </w:p>
        </w:tc>
      </w:tr>
      <w:tr>
        <w:trPr>
          <w:trHeight w:val="116"/>
        </w:trPr>
        <w:tc>
          <w:tcPr>
            <w:tcW w:w="788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Commitments and Contingencies (Note 8)</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STOCKHOLDERS’ EQUITY (Note 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7880" w:type="dxa"/>
            <w:vAlign w:val="bottom"/>
            <w:shd w:val="clear" w:color="auto" w:fill="CFF0FC"/>
          </w:tcPr>
          <w:p>
            <w:pPr>
              <w:spacing w:after="0" w:line="114" w:lineRule="exact"/>
              <w:rPr>
                <w:sz w:val="20"/>
                <w:szCs w:val="20"/>
                <w:color w:val="auto"/>
              </w:rPr>
            </w:pPr>
            <w:r>
              <w:rPr>
                <w:rFonts w:ascii="Arial" w:cs="Arial" w:eastAsia="Arial" w:hAnsi="Arial"/>
                <w:sz w:val="11"/>
                <w:szCs w:val="11"/>
                <w:color w:val="auto"/>
                <w:w w:val="86"/>
              </w:rPr>
              <w:t>Common Stock, $0.0001 par value: 300,000,000 shares authorized as of June 30, 2020 and December 31, 2019; 39,830,122 and 28,686,116 issued and outstanding as of June 30, 2020</w:t>
            </w: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and December 31, 2019, respectively</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24</w:t>
            </w:r>
          </w:p>
        </w:tc>
        <w:tc>
          <w:tcPr>
            <w:tcW w:w="120" w:type="dxa"/>
            <w:vAlign w:val="bottom"/>
            <w:shd w:val="clear" w:color="auto" w:fill="CFF0FC"/>
          </w:tcPr>
          <w:p>
            <w:pPr>
              <w:spacing w:after="0"/>
              <w:rPr>
                <w:sz w:val="10"/>
                <w:szCs w:val="10"/>
                <w:color w:val="auto"/>
              </w:rPr>
            </w:pPr>
          </w:p>
        </w:tc>
      </w:tr>
      <w:tr>
        <w:trPr>
          <w:trHeight w:val="125"/>
        </w:trPr>
        <w:tc>
          <w:tcPr>
            <w:tcW w:w="7880" w:type="dxa"/>
            <w:vAlign w:val="bottom"/>
          </w:tcPr>
          <w:p>
            <w:pPr>
              <w:spacing w:after="0" w:line="125" w:lineRule="exact"/>
              <w:rPr>
                <w:sz w:val="20"/>
                <w:szCs w:val="20"/>
                <w:color w:val="auto"/>
              </w:rPr>
            </w:pPr>
            <w:r>
              <w:rPr>
                <w:rFonts w:ascii="Arial" w:cs="Arial" w:eastAsia="Arial" w:hAnsi="Arial"/>
                <w:sz w:val="11"/>
                <w:szCs w:val="11"/>
                <w:color w:val="auto"/>
              </w:rPr>
              <w:t>Additional paid-in capital (Note 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174,622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25" w:lineRule="exact"/>
              <w:rPr>
                <w:sz w:val="20"/>
                <w:szCs w:val="20"/>
                <w:color w:val="auto"/>
              </w:rPr>
            </w:pPr>
            <w:r>
              <w:rPr>
                <w:rFonts w:ascii="Arial" w:cs="Arial" w:eastAsia="Arial" w:hAnsi="Arial"/>
                <w:sz w:val="11"/>
                <w:szCs w:val="11"/>
                <w:color w:val="auto"/>
              </w:rPr>
              <w:t>149,840</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Accumulated deficit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(135,464)</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jc w:val="right"/>
              <w:ind w:right="80"/>
              <w:spacing w:after="0" w:line="125" w:lineRule="exact"/>
              <w:rPr>
                <w:sz w:val="20"/>
                <w:szCs w:val="20"/>
                <w:color w:val="auto"/>
              </w:rPr>
            </w:pPr>
            <w:r>
              <w:rPr>
                <w:rFonts w:ascii="Arial" w:cs="Arial" w:eastAsia="Arial" w:hAnsi="Arial"/>
                <w:sz w:val="11"/>
                <w:szCs w:val="11"/>
                <w:color w:val="auto"/>
              </w:rPr>
              <w:t>(75,686)</w:t>
            </w:r>
          </w:p>
        </w:tc>
      </w:tr>
      <w:tr>
        <w:trPr>
          <w:trHeight w:val="116"/>
        </w:trPr>
        <w:tc>
          <w:tcPr>
            <w:tcW w:w="7880" w:type="dxa"/>
            <w:vAlign w:val="bottom"/>
          </w:tcPr>
          <w:p>
            <w:pPr>
              <w:spacing w:after="0" w:line="116" w:lineRule="exact"/>
              <w:rPr>
                <w:sz w:val="20"/>
                <w:szCs w:val="20"/>
                <w:color w:val="auto"/>
              </w:rPr>
            </w:pPr>
            <w:r>
              <w:rPr>
                <w:rFonts w:ascii="Arial" w:cs="Arial" w:eastAsia="Arial" w:hAnsi="Arial"/>
                <w:sz w:val="11"/>
                <w:szCs w:val="11"/>
                <w:color w:val="auto"/>
              </w:rPr>
              <w:t>TOTAL STOCKHOLDERS’ EQUITY</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1"/>
                <w:szCs w:val="11"/>
                <w:color w:val="auto"/>
              </w:rPr>
              <w:t>39,183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1"/>
                <w:szCs w:val="11"/>
                <w:color w:val="auto"/>
              </w:rPr>
              <w:t>74,178</w:t>
            </w:r>
          </w:p>
        </w:tc>
        <w:tc>
          <w:tcPr>
            <w:tcW w:w="120" w:type="dxa"/>
            <w:vAlign w:val="bottom"/>
          </w:tcPr>
          <w:p>
            <w:pPr>
              <w:spacing w:after="0"/>
              <w:rPr>
                <w:sz w:val="10"/>
                <w:szCs w:val="10"/>
                <w:color w:val="auto"/>
              </w:rPr>
            </w:pPr>
          </w:p>
        </w:tc>
      </w:tr>
      <w:tr>
        <w:trPr>
          <w:trHeight w:val="125"/>
        </w:trPr>
        <w:tc>
          <w:tcPr>
            <w:tcW w:w="78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Non-controlling interests</w:t>
            </w:r>
          </w:p>
        </w:tc>
        <w:tc>
          <w:tcPr>
            <w:tcW w:w="100" w:type="dxa"/>
            <w:vAlign w:val="bottom"/>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1,151</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2,500</w:t>
            </w:r>
          </w:p>
        </w:tc>
        <w:tc>
          <w:tcPr>
            <w:tcW w:w="120" w:type="dxa"/>
            <w:vAlign w:val="bottom"/>
            <w:shd w:val="clear" w:color="auto" w:fill="CFF0FC"/>
          </w:tcPr>
          <w:p>
            <w:pPr>
              <w:spacing w:after="0"/>
              <w:rPr>
                <w:sz w:val="10"/>
                <w:szCs w:val="10"/>
                <w:color w:val="auto"/>
              </w:rPr>
            </w:pPr>
          </w:p>
        </w:tc>
      </w:tr>
      <w:tr>
        <w:trPr>
          <w:trHeight w:val="116"/>
        </w:trPr>
        <w:tc>
          <w:tcPr>
            <w:tcW w:w="788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40,334</w:t>
            </w:r>
          </w:p>
        </w:tc>
        <w:tc>
          <w:tcPr>
            <w:tcW w:w="16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76,678</w:t>
            </w:r>
          </w:p>
        </w:tc>
        <w:tc>
          <w:tcPr>
            <w:tcW w:w="120" w:type="dxa"/>
            <w:vAlign w:val="bottom"/>
            <w:tcBorders>
              <w:bottom w:val="single" w:sz="8" w:color="CFF0FC"/>
            </w:tcBorders>
          </w:tcPr>
          <w:p>
            <w:pPr>
              <w:spacing w:after="0"/>
              <w:rPr>
                <w:sz w:val="10"/>
                <w:szCs w:val="10"/>
                <w:color w:val="auto"/>
              </w:rPr>
            </w:pPr>
          </w:p>
        </w:tc>
      </w:tr>
      <w:tr>
        <w:trPr>
          <w:trHeight w:val="116"/>
        </w:trPr>
        <w:tc>
          <w:tcPr>
            <w:tcW w:w="7880" w:type="dxa"/>
            <w:vAlign w:val="bottom"/>
            <w:tcBorders>
              <w:bottom w:val="single" w:sz="8" w:color="CFF0FC"/>
            </w:tcBorders>
            <w:shd w:val="clear" w:color="auto" w:fill="CFF0FC"/>
          </w:tcPr>
          <w:p>
            <w:pPr>
              <w:spacing w:after="0" w:line="116" w:lineRule="exact"/>
              <w:rPr>
                <w:sz w:val="20"/>
                <w:szCs w:val="20"/>
                <w:color w:val="auto"/>
              </w:rPr>
            </w:pPr>
            <w:r>
              <w:rPr>
                <w:rFonts w:ascii="Arial" w:cs="Arial" w:eastAsia="Arial" w:hAnsi="Arial"/>
                <w:sz w:val="11"/>
                <w:szCs w:val="11"/>
                <w:color w:val="auto"/>
              </w:rPr>
              <w:t>TOTAL LIABILITIES AND STOCKHOLDERS’ EQUITY</w:t>
            </w:r>
          </w:p>
        </w:tc>
        <w:tc>
          <w:tcPr>
            <w:tcW w:w="1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150,922</w:t>
            </w:r>
          </w:p>
        </w:tc>
        <w:tc>
          <w:tcPr>
            <w:tcW w:w="1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14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191,127</w:t>
            </w:r>
          </w:p>
        </w:tc>
        <w:tc>
          <w:tcPr>
            <w:tcW w:w="120" w:type="dxa"/>
            <w:vAlign w:val="bottom"/>
            <w:tcBorders>
              <w:bottom w:val="single" w:sz="8" w:color="CFF0FC"/>
            </w:tcBorders>
            <w:shd w:val="clear" w:color="auto" w:fill="CFF0FC"/>
          </w:tcPr>
          <w:p>
            <w:pPr>
              <w:spacing w:after="0"/>
              <w:rPr>
                <w:sz w:val="10"/>
                <w:szCs w:val="10"/>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 w:name="page4"/>
    <w:bookmarkEnd w:id="3"/>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 except for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Six Months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0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Leases</w:t>
            </w:r>
          </w:p>
        </w:tc>
        <w:tc>
          <w:tcPr>
            <w:tcW w:w="118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7,465</w:t>
            </w:r>
          </w:p>
        </w:tc>
        <w:tc>
          <w:tcPr>
            <w:tcW w:w="240" w:type="dxa"/>
            <w:vAlign w:val="bottom"/>
          </w:tcPr>
          <w:p>
            <w:pPr>
              <w:spacing w:after="0"/>
              <w:rPr>
                <w:sz w:val="16"/>
                <w:szCs w:val="16"/>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16,643</w:t>
            </w:r>
          </w:p>
        </w:tc>
        <w:tc>
          <w:tcPr>
            <w:tcW w:w="24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14,278</w:t>
            </w:r>
          </w:p>
        </w:tc>
        <w:tc>
          <w:tcPr>
            <w:tcW w:w="24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32,385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Products and services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9,531</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11,175</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17,226</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20,013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16,996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27,818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31,504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52,398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Leases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3,283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2,993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Products and services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3,558</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4,461</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7,334</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5,099</w:t>
            </w:r>
          </w:p>
        </w:tc>
        <w:tc>
          <w:tcPr>
            <w:tcW w:w="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7,744</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10,327</w:t>
            </w:r>
          </w:p>
        </w:tc>
        <w:tc>
          <w:tcPr>
            <w:tcW w:w="2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14,259</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11,897</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20,074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21,177</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38,139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Operating expenses: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Selling and marketing</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4,545</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13,156</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19,782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General and administrative</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14,975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11,853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29,151</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20,192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and development</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4,194</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Goodwill impairment</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27,450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operating expenses</w:t>
            </w:r>
          </w:p>
        </w:tc>
        <w:tc>
          <w:tcPr>
            <w:tcW w:w="9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21,090</w:t>
            </w: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24,023</w:t>
            </w: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73,951</w:t>
            </w:r>
          </w:p>
        </w:tc>
        <w:tc>
          <w:tcPr>
            <w:tcW w:w="2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43,955</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Loss from operations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(9,193)</w:t>
            </w:r>
          </w:p>
        </w:tc>
        <w:tc>
          <w:tcPr>
            <w:tcW w:w="3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(3,949)</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(52,774)</w:t>
            </w:r>
          </w:p>
        </w:tc>
        <w:tc>
          <w:tcPr>
            <w:tcW w:w="3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(5,816)</w:t>
            </w:r>
          </w:p>
        </w:tc>
        <w:tc>
          <w:tcPr>
            <w:tcW w:w="0" w:type="dxa"/>
            <w:vAlign w:val="bottom"/>
          </w:tcPr>
          <w:p>
            <w:pPr>
              <w:spacing w:after="0"/>
              <w:rPr>
                <w:sz w:val="1"/>
                <w:szCs w:val="1"/>
                <w:color w:val="auto"/>
              </w:rPr>
            </w:pPr>
          </w:p>
        </w:tc>
      </w:tr>
      <w:tr>
        <w:trPr>
          <w:trHeight w:val="18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expenses:</w:t>
            </w:r>
          </w:p>
        </w:tc>
        <w:tc>
          <w:tcPr>
            <w:tcW w:w="9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Arial" w:cs="Arial" w:eastAsia="Arial" w:hAnsi="Arial"/>
                <w:sz w:val="15"/>
                <w:szCs w:val="15"/>
                <w:color w:val="auto"/>
              </w:rPr>
              <w:t>Foreign exchange loss (income)</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(1,166)</w:t>
            </w:r>
          </w:p>
        </w:tc>
        <w:tc>
          <w:tcPr>
            <w:tcW w:w="3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(684)</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Finance expenses</w:t>
            </w:r>
          </w:p>
        </w:tc>
        <w:tc>
          <w:tcPr>
            <w:tcW w:w="9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2,371</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2,152</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4,625</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(10,398)</w:t>
            </w:r>
          </w:p>
        </w:tc>
        <w:tc>
          <w:tcPr>
            <w:tcW w:w="3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(5,417)</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(60,512)</w:t>
            </w:r>
          </w:p>
        </w:tc>
        <w:tc>
          <w:tcPr>
            <w:tcW w:w="3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(9,636)</w:t>
            </w:r>
          </w:p>
        </w:tc>
        <w:tc>
          <w:tcPr>
            <w:tcW w:w="0" w:type="dxa"/>
            <w:vAlign w:val="bottom"/>
          </w:tcPr>
          <w:p>
            <w:pPr>
              <w:spacing w:after="0"/>
              <w:rPr>
                <w:sz w:val="1"/>
                <w:szCs w:val="1"/>
                <w:color w:val="auto"/>
              </w:rPr>
            </w:pPr>
          </w:p>
        </w:tc>
      </w:tr>
      <w:tr>
        <w:trPr>
          <w:trHeight w:val="194"/>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Income tax (benefit) expense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(633)</w:t>
            </w: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(44)</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(9,765)</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(5,478)</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(60,468)</w:t>
            </w: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(10,583)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Deemed dividend (Note 13)</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line="168" w:lineRule="exact"/>
              <w:rPr>
                <w:sz w:val="20"/>
                <w:szCs w:val="20"/>
                <w:color w:val="auto"/>
              </w:rPr>
            </w:pPr>
            <w:r>
              <w:rPr>
                <w:rFonts w:ascii="Arial" w:cs="Arial" w:eastAsia="Arial" w:hAnsi="Arial"/>
                <w:sz w:val="15"/>
                <w:szCs w:val="15"/>
                <w:color w:val="auto"/>
              </w:rPr>
              <w:t>(3,564)</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line="168" w:lineRule="exact"/>
              <w:rPr>
                <w:sz w:val="20"/>
                <w:szCs w:val="20"/>
                <w:color w:val="auto"/>
              </w:rPr>
            </w:pPr>
            <w:r>
              <w:rPr>
                <w:rFonts w:ascii="Arial" w:cs="Arial" w:eastAsia="Arial" w:hAnsi="Arial"/>
                <w:sz w:val="15"/>
                <w:szCs w:val="15"/>
                <w:color w:val="auto"/>
              </w:rPr>
              <w:t>(3,564)</w:t>
            </w: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Loss attributable to stockholders of the Company</w:t>
            </w: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(13,152)</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(5,910)</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(63,342)</w:t>
            </w: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(11,183)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(Loss) income attributable to non-controlling interest</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(177)</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432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(690)</w:t>
            </w: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Net loss per share:</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20"/>
                <w:szCs w:val="20"/>
                <w:color w:val="auto"/>
              </w:rPr>
            </w:pPr>
            <w:r>
              <w:rPr>
                <w:rFonts w:ascii="Arial" w:cs="Arial" w:eastAsia="Arial" w:hAnsi="Arial"/>
                <w:sz w:val="15"/>
                <w:szCs w:val="15"/>
                <w:color w:val="auto"/>
              </w:rPr>
              <w:t>Basic</w:t>
            </w:r>
          </w:p>
        </w:tc>
        <w:tc>
          <w:tcPr>
            <w:tcW w:w="9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(0.39)</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(1.24)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(2.01)</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Diluted</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7"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(0.39)</w:t>
            </w:r>
          </w:p>
        </w:tc>
        <w:tc>
          <w:tcPr>
            <w:tcW w:w="360" w:type="dxa"/>
            <w:vAlign w:val="bottom"/>
            <w:shd w:val="clear" w:color="auto" w:fill="CFF0FC"/>
          </w:tcPr>
          <w:p>
            <w:pPr>
              <w:jc w:val="right"/>
              <w:ind w:right="2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(1.24)</w:t>
            </w:r>
          </w:p>
        </w:tc>
        <w:tc>
          <w:tcPr>
            <w:tcW w:w="260" w:type="dxa"/>
            <w:vAlign w:val="bottom"/>
            <w:shd w:val="clear" w:color="auto" w:fill="CFF0FC"/>
          </w:tcPr>
          <w:p>
            <w:pPr>
              <w:jc w:val="right"/>
              <w:ind w:right="104"/>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5"/>
                <w:szCs w:val="15"/>
                <w:color w:val="auto"/>
              </w:rPr>
              <w:t>(2.01)</w:t>
            </w:r>
          </w:p>
        </w:tc>
        <w:tc>
          <w:tcPr>
            <w:tcW w:w="380" w:type="dxa"/>
            <w:vAlign w:val="bottom"/>
            <w:shd w:val="clear" w:color="auto" w:fill="CFF0FC"/>
          </w:tcPr>
          <w:p>
            <w:pPr>
              <w:jc w:val="right"/>
              <w:ind w:right="224"/>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Weighted-average number of shares used in per share calculation:</w:t>
            </w: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Basic</w:t>
            </w:r>
          </w:p>
        </w:tc>
        <w:tc>
          <w:tcPr>
            <w:tcW w:w="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33,315</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4,776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31,564</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4,776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color w:val="auto"/>
              </w:rPr>
              <w:t>Diluted</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33,315</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4,776</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31,564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4,776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 w:name="page5"/>
    <w:bookmarkEnd w:id="4"/>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Condensed Consolidated Statements of Comprehensive Loss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Three Months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104"/>
              <w:spacing w:after="0"/>
              <w:rPr>
                <w:sz w:val="20"/>
                <w:szCs w:val="20"/>
                <w:color w:val="auto"/>
              </w:rPr>
            </w:pPr>
            <w:r>
              <w:rPr>
                <w:rFonts w:ascii="Arial" w:cs="Arial" w:eastAsia="Arial" w:hAnsi="Arial"/>
                <w:sz w:val="12"/>
                <w:szCs w:val="12"/>
                <w:b w:val="1"/>
                <w:bCs w:val="1"/>
                <w:color w:val="auto"/>
              </w:rPr>
              <w:t>Six Months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2"/>
                <w:szCs w:val="12"/>
                <w:b w:val="1"/>
                <w:bCs w:val="1"/>
                <w:color w:val="auto"/>
              </w:rPr>
              <w:t>Ended June 30</w:t>
            </w: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2"/>
                <w:szCs w:val="12"/>
                <w:b w:val="1"/>
                <w:bCs w:val="1"/>
                <w:color w:val="auto"/>
              </w:rPr>
              <w:t>Ended June 30</w:t>
            </w: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80" w:type="dxa"/>
            <w:vAlign w:val="bottom"/>
            <w:tcBorders>
              <w:bottom w:val="single" w:sz="8" w:color="CFF0FC"/>
            </w:tcBorders>
          </w:tcPr>
          <w:p>
            <w:pPr>
              <w:spacing w:after="0"/>
              <w:rPr>
                <w:sz w:val="11"/>
                <w:szCs w:val="11"/>
                <w:color w:val="auto"/>
              </w:rPr>
            </w:pPr>
          </w:p>
        </w:tc>
        <w:tc>
          <w:tcPr>
            <w:tcW w:w="8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0"/>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7"/>
              <w:spacing w:after="0" w:line="128"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90"/>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7"/>
              <w:spacing w:after="0" w:line="128"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980" w:type="dxa"/>
            <w:vAlign w:val="bottom"/>
            <w:shd w:val="clear" w:color="auto" w:fill="CFF0FC"/>
          </w:tcPr>
          <w:p>
            <w:pPr>
              <w:spacing w:after="0"/>
              <w:rPr>
                <w:sz w:val="20"/>
                <w:szCs w:val="20"/>
                <w:color w:val="auto"/>
              </w:rPr>
            </w:pPr>
            <w:r>
              <w:rPr>
                <w:rFonts w:ascii="Arial" w:cs="Arial" w:eastAsia="Arial" w:hAnsi="Arial"/>
                <w:sz w:val="15"/>
                <w:szCs w:val="15"/>
                <w:color w:val="auto"/>
              </w:rPr>
              <w:t>Net loss and comprehensive loss</w:t>
            </w:r>
          </w:p>
        </w:tc>
        <w:tc>
          <w:tcPr>
            <w:tcW w:w="110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(9,765)</w:t>
            </w:r>
          </w:p>
        </w:tc>
        <w:tc>
          <w:tcPr>
            <w:tcW w:w="340" w:type="dxa"/>
            <w:vAlign w:val="bottom"/>
            <w:shd w:val="clear" w:color="auto" w:fill="CFF0FC"/>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(5,478)</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(60,468)</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(10,583)</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20"/>
                <w:szCs w:val="20"/>
                <w:color w:val="auto"/>
              </w:rPr>
            </w:pPr>
            <w:r>
              <w:rPr>
                <w:rFonts w:ascii="Arial" w:cs="Arial" w:eastAsia="Arial" w:hAnsi="Arial"/>
                <w:sz w:val="15"/>
                <w:szCs w:val="15"/>
                <w:color w:val="auto"/>
              </w:rPr>
              <w:t>Deemed dividend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(3,564)</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(3,564)</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CFF0FC"/>
          </w:tcPr>
          <w:p>
            <w:pPr>
              <w:spacing w:after="0"/>
              <w:rPr>
                <w:sz w:val="20"/>
                <w:szCs w:val="20"/>
                <w:color w:val="auto"/>
              </w:rPr>
            </w:pPr>
            <w:r>
              <w:rPr>
                <w:rFonts w:ascii="Arial" w:cs="Arial" w:eastAsia="Arial" w:hAnsi="Arial"/>
                <w:sz w:val="15"/>
                <w:szCs w:val="15"/>
                <w:color w:val="auto"/>
              </w:rPr>
              <w:t>Loss attributable to stockholders of the Company</w:t>
            </w: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(13,152)</w:t>
            </w:r>
          </w:p>
        </w:tc>
        <w:tc>
          <w:tcPr>
            <w:tcW w:w="3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(5,910)</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(63,342)</w:t>
            </w:r>
          </w:p>
        </w:tc>
        <w:tc>
          <w:tcPr>
            <w:tcW w:w="3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(11,183)</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20"/>
                <w:szCs w:val="20"/>
                <w:color w:val="auto"/>
              </w:rPr>
            </w:pPr>
            <w:r>
              <w:rPr>
                <w:rFonts w:ascii="Arial" w:cs="Arial" w:eastAsia="Arial" w:hAnsi="Arial"/>
                <w:sz w:val="15"/>
                <w:szCs w:val="15"/>
                <w:color w:val="auto"/>
              </w:rPr>
              <w:t>Comprehensive (loss) income attributable to non-controlling interest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(177)</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(690)</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Comprehensive loss</w:t>
            </w: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80" w:type="dxa"/>
            <w:vAlign w:val="bottom"/>
            <w:vMerge w:val="continue"/>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(13,329)</w:t>
            </w:r>
          </w:p>
        </w:tc>
        <w:tc>
          <w:tcPr>
            <w:tcW w:w="340" w:type="dxa"/>
            <w:vAlign w:val="bottom"/>
            <w:shd w:val="clear" w:color="auto" w:fill="CFF0FC"/>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(5,478)</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(64,032)</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(10,583)</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 w:name="page6"/>
    <w:bookmarkEnd w:id="5"/>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 except for shares)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5"/>
              </w:rPr>
              <w:t>Preferred Stock</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center"/>
              <w:ind w:right="144"/>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2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left="144"/>
              <w:spacing w:after="0"/>
              <w:rPr>
                <w:sz w:val="20"/>
                <w:szCs w:val="20"/>
                <w:color w:val="auto"/>
              </w:rPr>
            </w:pPr>
            <w:r>
              <w:rPr>
                <w:rFonts w:ascii="Arial" w:cs="Arial" w:eastAsia="Arial" w:hAnsi="Arial"/>
                <w:sz w:val="11"/>
                <w:szCs w:val="11"/>
                <w:b w:val="1"/>
                <w:bCs w:val="1"/>
                <w:color w:val="auto"/>
                <w:w w:val="90"/>
              </w:rPr>
              <w:t>Series A</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24"/>
              <w:spacing w:after="0"/>
              <w:rPr>
                <w:sz w:val="20"/>
                <w:szCs w:val="20"/>
                <w:color w:val="auto"/>
              </w:rPr>
            </w:pPr>
            <w:r>
              <w:rPr>
                <w:rFonts w:ascii="Arial" w:cs="Arial" w:eastAsia="Arial" w:hAnsi="Arial"/>
                <w:sz w:val="11"/>
                <w:szCs w:val="11"/>
                <w:b w:val="1"/>
                <w:bCs w:val="1"/>
                <w:color w:val="auto"/>
                <w:w w:val="96"/>
              </w:rPr>
              <w:t>Paid-</w:t>
            </w:r>
          </w:p>
        </w:tc>
        <w:tc>
          <w:tcPr>
            <w:tcW w:w="240" w:type="dxa"/>
            <w:vAlign w:val="bottom"/>
          </w:tcPr>
          <w:p>
            <w:pPr>
              <w:spacing w:after="0"/>
              <w:rPr>
                <w:sz w:val="12"/>
                <w:szCs w:val="12"/>
                <w:color w:val="auto"/>
              </w:rPr>
            </w:pPr>
          </w:p>
        </w:tc>
        <w:tc>
          <w:tcPr>
            <w:tcW w:w="840" w:type="dxa"/>
            <w:vAlign w:val="bottom"/>
            <w:gridSpan w:val="5"/>
          </w:tcPr>
          <w:p>
            <w:pPr>
              <w:jc w:val="right"/>
              <w:ind w:right="14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controlling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2"/>
        </w:trPr>
        <w:tc>
          <w:tcPr>
            <w:tcW w:w="26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52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FF0FC"/>
            </w:tcBorders>
            <w:gridSpan w:val="2"/>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w w:val="92"/>
              </w:rPr>
              <w:t>Shares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Borders>
              <w:bottom w:val="single" w:sz="8" w:color="CFF0FC"/>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center"/>
              <w:ind w:right="124"/>
              <w:spacing w:after="0"/>
              <w:rPr>
                <w:sz w:val="20"/>
                <w:szCs w:val="20"/>
                <w:color w:val="auto"/>
              </w:rPr>
            </w:pPr>
            <w:r>
              <w:rPr>
                <w:rFonts w:ascii="Arial" w:cs="Arial" w:eastAsia="Arial" w:hAnsi="Arial"/>
                <w:sz w:val="11"/>
                <w:szCs w:val="11"/>
                <w:b w:val="1"/>
                <w:bCs w:val="1"/>
                <w:color w:val="auto"/>
                <w:w w:val="99"/>
              </w:rPr>
              <w:t>in-Capital</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23"/>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Balance — January 1, 2020</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28,686,116</w:t>
            </w:r>
          </w:p>
        </w:tc>
        <w:tc>
          <w:tcPr>
            <w:tcW w:w="320" w:type="dxa"/>
            <w:vAlign w:val="bottom"/>
            <w:gridSpan w:val="3"/>
            <w:shd w:val="clear" w:color="auto" w:fill="CFF0FC"/>
          </w:tcPr>
          <w:p>
            <w:pPr>
              <w:jc w:val="right"/>
              <w:ind w:right="5"/>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149,840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7"/>
              </w:rPr>
              <w:t>(75,686)</w:t>
            </w:r>
          </w:p>
        </w:tc>
        <w:tc>
          <w:tcPr>
            <w:tcW w:w="2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2,500</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76,678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Issuance of common stock</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1"/>
                <w:szCs w:val="11"/>
                <w:color w:val="auto"/>
              </w:rPr>
              <w:t>1,208,169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2020 Private Placement shares, net of costs</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660,000</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2,300,000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12,115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12,115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2020 Private Placement Warrants, net of costs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4,621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Beneficial conversion feature</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3,564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3,564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Dividends from subsidiaries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 - the Company</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7"/>
              </w:rPr>
              <w:t>(50,190)</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(50,190)</w:t>
            </w: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Net loss - non-controlling interest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(513)</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11"/>
                <w:szCs w:val="11"/>
                <w:color w:val="auto"/>
              </w:rPr>
            </w:pPr>
          </w:p>
        </w:tc>
        <w:tc>
          <w:tcPr>
            <w:tcW w:w="160" w:type="dxa"/>
            <w:vAlign w:val="bottom"/>
            <w:tcBorders>
              <w:bottom w:val="single" w:sz="8" w:color="auto"/>
              <w:right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gridSpan w:val="2"/>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00" w:type="dxa"/>
            <w:vAlign w:val="bottom"/>
          </w:tcPr>
          <w:p>
            <w:pPr>
              <w:spacing w:after="0"/>
              <w:rPr>
                <w:sz w:val="20"/>
                <w:szCs w:val="20"/>
                <w:color w:val="auto"/>
              </w:rPr>
            </w:pPr>
            <w:r>
              <w:rPr>
                <w:rFonts w:ascii="Arial" w:cs="Arial" w:eastAsia="Arial" w:hAnsi="Arial"/>
                <w:sz w:val="11"/>
                <w:szCs w:val="11"/>
                <w:color w:val="auto"/>
              </w:rPr>
              <w:t>Balance — March 31, 2020</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660,000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1"/>
                <w:szCs w:val="11"/>
                <w:color w:val="auto"/>
              </w:rPr>
              <w:t>32,194,285</w:t>
            </w:r>
          </w:p>
        </w:tc>
        <w:tc>
          <w:tcPr>
            <w:tcW w:w="320" w:type="dxa"/>
            <w:vAlign w:val="bottom"/>
            <w:gridSpan w:val="3"/>
          </w:tcPr>
          <w:p>
            <w:pPr>
              <w:jc w:val="right"/>
              <w:ind w:right="5"/>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170,657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ind w:right="40"/>
              <w:spacing w:after="0"/>
              <w:rPr>
                <w:sz w:val="20"/>
                <w:szCs w:val="20"/>
                <w:color w:val="auto"/>
              </w:rPr>
            </w:pPr>
            <w:r>
              <w:rPr>
                <w:rFonts w:ascii="Arial" w:cs="Arial" w:eastAsia="Arial" w:hAnsi="Arial"/>
                <w:sz w:val="11"/>
                <w:szCs w:val="11"/>
                <w:color w:val="auto"/>
              </w:rPr>
              <w:t>(125,876)</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1,769</w:t>
            </w:r>
          </w:p>
        </w:tc>
        <w:tc>
          <w:tcPr>
            <w:tcW w:w="12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46,574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600" w:type="dxa"/>
            <w:vAlign w:val="bottom"/>
            <w:tcBorders>
              <w:top w:val="single" w:sz="8" w:color="CFF0FC"/>
            </w:tcBorders>
            <w:shd w:val="clear" w:color="auto" w:fill="CFF0FC"/>
          </w:tcPr>
          <w:p>
            <w:pPr>
              <w:ind w:left="200"/>
              <w:spacing w:after="0" w:line="111" w:lineRule="exact"/>
              <w:rPr>
                <w:sz w:val="20"/>
                <w:szCs w:val="20"/>
                <w:color w:val="auto"/>
              </w:rPr>
            </w:pPr>
            <w:r>
              <w:rPr>
                <w:rFonts w:ascii="Arial" w:cs="Arial" w:eastAsia="Arial" w:hAnsi="Arial"/>
                <w:sz w:val="11"/>
                <w:szCs w:val="11"/>
                <w:color w:val="auto"/>
              </w:rPr>
              <w:t>Issuance of common stock</w:t>
            </w:r>
          </w:p>
        </w:tc>
        <w:tc>
          <w:tcPr>
            <w:tcW w:w="56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gridSpan w:val="2"/>
            <w:shd w:val="clear" w:color="auto" w:fill="CFF0FC"/>
          </w:tcPr>
          <w:p>
            <w:pPr>
              <w:spacing w:after="0"/>
              <w:rPr>
                <w:sz w:val="9"/>
                <w:szCs w:val="9"/>
                <w:color w:val="auto"/>
              </w:rPr>
            </w:pPr>
          </w:p>
        </w:tc>
        <w:tc>
          <w:tcPr>
            <w:tcW w:w="160" w:type="dxa"/>
            <w:vAlign w:val="bottom"/>
            <w:tcBorders>
              <w:top w:val="single" w:sz="8" w:color="auto"/>
              <w:right w:val="single" w:sz="8" w:color="CFF0FC"/>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right w:val="single" w:sz="8" w:color="CFF0FC"/>
            </w:tcBorders>
            <w:shd w:val="clear" w:color="auto" w:fill="CFF0FC"/>
          </w:tcPr>
          <w:p>
            <w:pPr>
              <w:spacing w:after="0"/>
              <w:rPr>
                <w:sz w:val="9"/>
                <w:szCs w:val="9"/>
                <w:color w:val="auto"/>
              </w:rPr>
            </w:pPr>
          </w:p>
        </w:tc>
        <w:tc>
          <w:tcPr>
            <w:tcW w:w="820" w:type="dxa"/>
            <w:vAlign w:val="bottom"/>
            <w:tcBorders>
              <w:top w:val="single" w:sz="8" w:color="auto"/>
              <w:right w:val="single" w:sz="8" w:color="CFF0FC"/>
            </w:tcBorders>
            <w:gridSpan w:val="3"/>
            <w:shd w:val="clear" w:color="auto" w:fill="CFF0FC"/>
          </w:tcPr>
          <w:p>
            <w:pPr>
              <w:jc w:val="right"/>
              <w:ind w:right="40"/>
              <w:spacing w:after="0" w:line="111" w:lineRule="exact"/>
              <w:rPr>
                <w:sz w:val="20"/>
                <w:szCs w:val="20"/>
                <w:color w:val="auto"/>
              </w:rPr>
            </w:pPr>
            <w:r>
              <w:rPr>
                <w:rFonts w:ascii="Arial" w:cs="Arial" w:eastAsia="Arial" w:hAnsi="Arial"/>
                <w:sz w:val="11"/>
                <w:szCs w:val="11"/>
                <w:color w:val="auto"/>
              </w:rPr>
              <w:t>1,013,060</w:t>
            </w:r>
          </w:p>
        </w:tc>
        <w:tc>
          <w:tcPr>
            <w:tcW w:w="1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3,393</w:t>
            </w:r>
          </w:p>
        </w:tc>
        <w:tc>
          <w:tcPr>
            <w:tcW w:w="2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gridSpan w:val="2"/>
            <w:shd w:val="clear" w:color="auto" w:fill="CFF0FC"/>
          </w:tcPr>
          <w:p>
            <w:pPr>
              <w:jc w:val="right"/>
              <w:ind w:right="20"/>
              <w:spacing w:after="0" w:line="111" w:lineRule="exact"/>
              <w:rPr>
                <w:sz w:val="20"/>
                <w:szCs w:val="20"/>
                <w:color w:val="auto"/>
              </w:rPr>
            </w:pPr>
            <w:r>
              <w:rPr>
                <w:rFonts w:ascii="Arial" w:cs="Arial" w:eastAsia="Arial" w:hAnsi="Arial"/>
                <w:sz w:val="11"/>
                <w:szCs w:val="11"/>
                <w:color w:val="auto"/>
              </w:rPr>
              <w:t>3,393</w:t>
            </w: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Conversion of Preferred Stock Series A</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right"/>
              <w:ind w:right="63"/>
              <w:spacing w:after="0"/>
              <w:rPr>
                <w:sz w:val="20"/>
                <w:szCs w:val="20"/>
                <w:color w:val="auto"/>
              </w:rPr>
            </w:pPr>
            <w:r>
              <w:rPr>
                <w:rFonts w:ascii="Arial" w:cs="Arial" w:eastAsia="Arial" w:hAnsi="Arial"/>
                <w:sz w:val="11"/>
                <w:szCs w:val="11"/>
                <w:color w:val="auto"/>
              </w:rPr>
              <w:t>(660,000)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1"/>
                <w:szCs w:val="11"/>
                <w:color w:val="auto"/>
              </w:rPr>
              <w:t>6,600,000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jc w:val="right"/>
              <w:ind w:right="14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Beneficial conversion feature</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43"/>
              <w:spacing w:after="0"/>
              <w:rPr>
                <w:sz w:val="20"/>
                <w:szCs w:val="20"/>
                <w:color w:val="auto"/>
              </w:rPr>
            </w:pPr>
            <w:r>
              <w:rPr>
                <w:rFonts w:ascii="Arial" w:cs="Arial" w:eastAsia="Arial" w:hAnsi="Arial"/>
                <w:sz w:val="11"/>
                <w:szCs w:val="11"/>
                <w:color w:val="auto"/>
              </w:rPr>
              <w:t>(3,564)</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(3,564)</w:t>
            </w: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Deemed dividend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3,564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3,564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Disposal of subsidiary</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(441)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Net loss - the Company</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(9,588)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(9,588)</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 - non-controlling interest</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ind w:right="1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(177)</w:t>
            </w: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1"/>
                <w:szCs w:val="11"/>
                <w:color w:val="auto"/>
              </w:rPr>
              <w:t>22,777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spacing w:after="0"/>
              <w:rPr>
                <w:sz w:val="11"/>
                <w:szCs w:val="11"/>
                <w:color w:val="auto"/>
              </w:rPr>
            </w:pPr>
          </w:p>
        </w:tc>
        <w:tc>
          <w:tcPr>
            <w:tcW w:w="160" w:type="dxa"/>
            <w:vAlign w:val="bottom"/>
            <w:tcBorders>
              <w:bottom w:val="single" w:sz="8" w:color="auto"/>
              <w:right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gridSpan w:val="2"/>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539</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20"/>
                <w:szCs w:val="20"/>
                <w:color w:val="auto"/>
              </w:rPr>
            </w:pPr>
            <w:r>
              <w:rPr>
                <w:rFonts w:ascii="Arial" w:cs="Arial" w:eastAsia="Arial" w:hAnsi="Arial"/>
                <w:sz w:val="11"/>
                <w:szCs w:val="11"/>
                <w:color w:val="auto"/>
              </w:rPr>
              <w:t>Balance — June 30, 2020</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spacing w:after="0"/>
              <w:rPr>
                <w:sz w:val="11"/>
                <w:szCs w:val="11"/>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1"/>
                <w:szCs w:val="11"/>
                <w:color w:val="auto"/>
              </w:rPr>
              <w:t>39,830,122</w:t>
            </w:r>
          </w:p>
        </w:tc>
        <w:tc>
          <w:tcPr>
            <w:tcW w:w="320" w:type="dxa"/>
            <w:vAlign w:val="bottom"/>
            <w:gridSpan w:val="3"/>
          </w:tcPr>
          <w:p>
            <w:pPr>
              <w:jc w:val="right"/>
              <w:ind w:right="5"/>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174,622</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ind w:right="40"/>
              <w:spacing w:after="0"/>
              <w:rPr>
                <w:sz w:val="20"/>
                <w:szCs w:val="20"/>
                <w:color w:val="auto"/>
              </w:rPr>
            </w:pPr>
            <w:r>
              <w:rPr>
                <w:rFonts w:ascii="Arial" w:cs="Arial" w:eastAsia="Arial" w:hAnsi="Arial"/>
                <w:sz w:val="11"/>
                <w:szCs w:val="11"/>
                <w:color w:val="auto"/>
              </w:rPr>
              <w:t>(135,464)</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1,151</w:t>
            </w:r>
          </w:p>
        </w:tc>
        <w:tc>
          <w:tcPr>
            <w:tcW w:w="120" w:type="dxa"/>
            <w:vAlign w:val="bottom"/>
          </w:tcPr>
          <w:p>
            <w:pPr>
              <w:spacing w:after="0"/>
              <w:rPr>
                <w:sz w:val="11"/>
                <w:szCs w:val="1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40,334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7"/>
              </w:rPr>
              <w:t>Non-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9"/>
        </w:trPr>
        <w:tc>
          <w:tcPr>
            <w:tcW w:w="2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86"/>
              </w:rPr>
              <w:t>Series A</w:t>
            </w:r>
          </w:p>
        </w:tc>
        <w:tc>
          <w:tcPr>
            <w:tcW w:w="560" w:type="dxa"/>
            <w:vAlign w:val="bottom"/>
            <w:gridSpan w:val="2"/>
          </w:tcPr>
          <w:p>
            <w:pPr>
              <w:jc w:val="center"/>
              <w:ind w:right="20"/>
              <w:spacing w:after="0" w:line="125" w:lineRule="exact"/>
              <w:rPr>
                <w:sz w:val="20"/>
                <w:szCs w:val="20"/>
                <w:color w:val="auto"/>
              </w:rPr>
            </w:pPr>
            <w:r>
              <w:rPr>
                <w:rFonts w:ascii="Arial" w:cs="Arial" w:eastAsia="Arial" w:hAnsi="Arial"/>
                <w:sz w:val="11"/>
                <w:szCs w:val="11"/>
                <w:b w:val="1"/>
                <w:bCs w:val="1"/>
                <w:color w:val="auto"/>
                <w:w w:val="86"/>
              </w:rPr>
              <w:t>Series B</w:t>
            </w:r>
          </w:p>
        </w:tc>
        <w:tc>
          <w:tcPr>
            <w:tcW w:w="220" w:type="dxa"/>
            <w:vAlign w:val="bottom"/>
          </w:tcPr>
          <w:p>
            <w:pPr>
              <w:spacing w:after="0"/>
              <w:rPr>
                <w:sz w:val="10"/>
                <w:szCs w:val="10"/>
                <w:color w:val="auto"/>
              </w:rPr>
            </w:pPr>
          </w:p>
        </w:tc>
        <w:tc>
          <w:tcPr>
            <w:tcW w:w="640" w:type="dxa"/>
            <w:vAlign w:val="bottom"/>
            <w:gridSpan w:val="3"/>
          </w:tcPr>
          <w:p>
            <w:pPr>
              <w:jc w:val="center"/>
              <w:ind w:right="80"/>
              <w:spacing w:after="0" w:line="125" w:lineRule="exact"/>
              <w:rPr>
                <w:sz w:val="20"/>
                <w:szCs w:val="20"/>
                <w:color w:val="auto"/>
              </w:rPr>
            </w:pPr>
            <w:r>
              <w:rPr>
                <w:rFonts w:ascii="Arial" w:cs="Arial" w:eastAsia="Arial" w:hAnsi="Arial"/>
                <w:sz w:val="11"/>
                <w:szCs w:val="11"/>
                <w:b w:val="1"/>
                <w:bCs w:val="1"/>
                <w:color w:val="auto"/>
                <w:w w:val="81"/>
              </w:rPr>
              <w:t>Series C</w:t>
            </w:r>
          </w:p>
        </w:tc>
        <w:tc>
          <w:tcPr>
            <w:tcW w:w="160" w:type="dxa"/>
            <w:vAlign w:val="bottom"/>
          </w:tcPr>
          <w:p>
            <w:pPr>
              <w:spacing w:after="0"/>
              <w:rPr>
                <w:sz w:val="10"/>
                <w:szCs w:val="10"/>
                <w:color w:val="auto"/>
              </w:rPr>
            </w:pPr>
          </w:p>
        </w:tc>
        <w:tc>
          <w:tcPr>
            <w:tcW w:w="520" w:type="dxa"/>
            <w:vAlign w:val="bottom"/>
            <w:gridSpan w:val="2"/>
          </w:tcPr>
          <w:p>
            <w:pPr>
              <w:jc w:val="center"/>
              <w:ind w:right="3"/>
              <w:spacing w:after="0" w:line="125" w:lineRule="exact"/>
              <w:rPr>
                <w:sz w:val="20"/>
                <w:szCs w:val="20"/>
                <w:color w:val="auto"/>
              </w:rPr>
            </w:pPr>
            <w:r>
              <w:rPr>
                <w:rFonts w:ascii="Arial" w:cs="Arial" w:eastAsia="Arial" w:hAnsi="Arial"/>
                <w:sz w:val="11"/>
                <w:szCs w:val="11"/>
                <w:b w:val="1"/>
                <w:bCs w:val="1"/>
                <w:color w:val="auto"/>
                <w:w w:val="85"/>
              </w:rPr>
              <w:t>Series C-1</w:t>
            </w:r>
          </w:p>
        </w:tc>
        <w:tc>
          <w:tcPr>
            <w:tcW w:w="2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86"/>
              </w:rPr>
              <w:t>Series 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right"/>
              <w:spacing w:after="0" w:line="125" w:lineRule="exact"/>
              <w:rPr>
                <w:sz w:val="20"/>
                <w:szCs w:val="20"/>
                <w:color w:val="auto"/>
              </w:rPr>
            </w:pPr>
            <w:r>
              <w:rPr>
                <w:rFonts w:ascii="Arial" w:cs="Arial" w:eastAsia="Arial" w:hAnsi="Arial"/>
                <w:sz w:val="11"/>
                <w:szCs w:val="11"/>
                <w:b w:val="1"/>
                <w:bCs w:val="1"/>
                <w:color w:val="auto"/>
                <w:w w:val="86"/>
              </w:rPr>
              <w:t>Common Stock</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89"/>
              </w:rPr>
              <w:t>Paid-</w:t>
            </w:r>
          </w:p>
        </w:tc>
        <w:tc>
          <w:tcPr>
            <w:tcW w:w="220" w:type="dxa"/>
            <w:vAlign w:val="bottom"/>
          </w:tcPr>
          <w:p>
            <w:pPr>
              <w:spacing w:after="0"/>
              <w:rPr>
                <w:sz w:val="10"/>
                <w:szCs w:val="10"/>
                <w:color w:val="auto"/>
              </w:rPr>
            </w:pPr>
          </w:p>
        </w:tc>
        <w:tc>
          <w:tcPr>
            <w:tcW w:w="760" w:type="dxa"/>
            <w:vAlign w:val="bottom"/>
            <w:gridSpan w:val="5"/>
          </w:tcPr>
          <w:p>
            <w:pPr>
              <w:jc w:val="right"/>
              <w:ind w:right="1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0"/>
                <w:szCs w:val="10"/>
                <w:color w:val="auto"/>
              </w:rPr>
            </w:pPr>
          </w:p>
        </w:tc>
        <w:tc>
          <w:tcPr>
            <w:tcW w:w="58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87"/>
              </w:rPr>
              <w:t>controlling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right="200"/>
              <w:spacing w:after="0" w:line="125"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78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85"/>
              </w:rPr>
              <w:t>Preferred</w:t>
            </w:r>
          </w:p>
        </w:tc>
        <w:tc>
          <w:tcPr>
            <w:tcW w:w="56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9"/>
              </w:rPr>
              <w:t>Preferred</w:t>
            </w:r>
          </w:p>
        </w:tc>
        <w:tc>
          <w:tcPr>
            <w:tcW w:w="220" w:type="dxa"/>
            <w:vAlign w:val="bottom"/>
          </w:tcPr>
          <w:p>
            <w:pPr>
              <w:spacing w:after="0"/>
              <w:rPr>
                <w:sz w:val="9"/>
                <w:szCs w:val="9"/>
                <w:color w:val="auto"/>
              </w:rPr>
            </w:pPr>
          </w:p>
        </w:tc>
        <w:tc>
          <w:tcPr>
            <w:tcW w:w="640" w:type="dxa"/>
            <w:vAlign w:val="bottom"/>
            <w:gridSpan w:val="3"/>
          </w:tcPr>
          <w:p>
            <w:pPr>
              <w:jc w:val="center"/>
              <w:ind w:right="80"/>
              <w:spacing w:after="0" w:line="114" w:lineRule="exact"/>
              <w:rPr>
                <w:sz w:val="20"/>
                <w:szCs w:val="20"/>
                <w:color w:val="auto"/>
              </w:rPr>
            </w:pPr>
            <w:r>
              <w:rPr>
                <w:rFonts w:ascii="Arial" w:cs="Arial" w:eastAsia="Arial" w:hAnsi="Arial"/>
                <w:sz w:val="11"/>
                <w:szCs w:val="11"/>
                <w:b w:val="1"/>
                <w:bCs w:val="1"/>
                <w:color w:val="auto"/>
                <w:w w:val="89"/>
              </w:rPr>
              <w:t>Preferred</w:t>
            </w:r>
          </w:p>
        </w:tc>
        <w:tc>
          <w:tcPr>
            <w:tcW w:w="160" w:type="dxa"/>
            <w:vAlign w:val="bottom"/>
          </w:tcPr>
          <w:p>
            <w:pPr>
              <w:spacing w:after="0"/>
              <w:rPr>
                <w:sz w:val="9"/>
                <w:szCs w:val="9"/>
                <w:color w:val="auto"/>
              </w:rPr>
            </w:pPr>
          </w:p>
        </w:tc>
        <w:tc>
          <w:tcPr>
            <w:tcW w:w="52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9"/>
              </w:rPr>
              <w:t>Preferred</w:t>
            </w:r>
          </w:p>
        </w:tc>
        <w:tc>
          <w:tcPr>
            <w:tcW w:w="200" w:type="dxa"/>
            <w:vAlign w:val="bottom"/>
          </w:tcPr>
          <w:p>
            <w:pPr>
              <w:spacing w:after="0"/>
              <w:rPr>
                <w:sz w:val="9"/>
                <w:szCs w:val="9"/>
                <w:color w:val="auto"/>
              </w:rPr>
            </w:pPr>
          </w:p>
        </w:tc>
        <w:tc>
          <w:tcPr>
            <w:tcW w:w="620" w:type="dxa"/>
            <w:vAlign w:val="bottom"/>
            <w:tcBorders>
              <w:right w:val="single" w:sz="8" w:color="auto"/>
            </w:tcBorders>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9"/>
              </w:rPr>
              <w:t>Preferred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2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1"/>
              </w:rPr>
              <w:t>Shares</w:t>
            </w:r>
          </w:p>
        </w:tc>
        <w:tc>
          <w:tcPr>
            <w:tcW w:w="22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7"/>
              </w:rPr>
              <w:t>Shares</w:t>
            </w:r>
          </w:p>
        </w:tc>
        <w:tc>
          <w:tcPr>
            <w:tcW w:w="20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Borders>
              <w:bottom w:val="single" w:sz="8" w:color="CFF0FC"/>
              <w:right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7"/>
              </w:rPr>
              <w:t>Shares</w:t>
            </w:r>
          </w:p>
        </w:tc>
        <w:tc>
          <w:tcPr>
            <w:tcW w:w="22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1"/>
              </w:rPr>
              <w:t>Amount</w:t>
            </w:r>
          </w:p>
        </w:tc>
        <w:tc>
          <w:tcPr>
            <w:tcW w:w="22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in-Capital</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Deficit</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5"/>
              </w:rPr>
              <w:t>Interest</w:t>
            </w:r>
          </w:p>
        </w:tc>
        <w:tc>
          <w:tcPr>
            <w:tcW w:w="1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Borders>
              <w:bottom w:val="single" w:sz="8" w:color="CFF0F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Balance — January 1, 2019 (as restated, Note 2)</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2,632,109</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4,615,567</w:t>
            </w:r>
          </w:p>
        </w:tc>
        <w:tc>
          <w:tcPr>
            <w:tcW w:w="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56,983</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647,189</w:t>
            </w:r>
          </w:p>
        </w:tc>
        <w:tc>
          <w:tcPr>
            <w:tcW w:w="120" w:type="dxa"/>
            <w:vAlign w:val="bottom"/>
            <w:tcBorders>
              <w:right w:val="single" w:sz="8" w:color="auto"/>
            </w:tcBorders>
            <w:shd w:val="clear" w:color="auto" w:fill="CFF0FC"/>
          </w:tcPr>
          <w:p>
            <w:pPr>
              <w:spacing w:after="0"/>
              <w:rPr>
                <w:sz w:val="11"/>
                <w:szCs w:val="11"/>
                <w:color w:val="auto"/>
              </w:rPr>
            </w:pPr>
          </w:p>
        </w:tc>
        <w:tc>
          <w:tcPr>
            <w:tcW w:w="680" w:type="dxa"/>
            <w:vAlign w:val="bottom"/>
            <w:gridSpan w:val="5"/>
            <w:shd w:val="clear" w:color="auto" w:fill="CFF0FC"/>
          </w:tcPr>
          <w:p>
            <w:pPr>
              <w:jc w:val="right"/>
              <w:ind w:right="20"/>
              <w:spacing w:after="0"/>
              <w:rPr>
                <w:sz w:val="20"/>
                <w:szCs w:val="20"/>
                <w:color w:val="auto"/>
              </w:rPr>
            </w:pPr>
            <w:r>
              <w:rPr>
                <w:rFonts w:ascii="Arial" w:cs="Arial" w:eastAsia="Arial" w:hAnsi="Arial"/>
                <w:sz w:val="11"/>
                <w:szCs w:val="11"/>
                <w:color w:val="auto"/>
              </w:rPr>
              <w:t>4,772,956</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500" w:type="dxa"/>
            <w:vAlign w:val="bottom"/>
            <w:gridSpan w:val="2"/>
            <w:shd w:val="clear" w:color="auto" w:fill="CFF0FC"/>
          </w:tcPr>
          <w:p>
            <w:pPr>
              <w:jc w:val="right"/>
              <w:ind w:right="164"/>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89"/>
              </w:rPr>
              <w:t>67,495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(35,067)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36,455</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Net loss - the Company</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1"/>
                <w:szCs w:val="11"/>
                <w:color w:val="auto"/>
              </w:rPr>
              <w:t>(5,273)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(5,273)</w:t>
            </w: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income - non-controlling interest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Options exercised</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3,506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20"/>
                <w:szCs w:val="20"/>
                <w:color w:val="auto"/>
              </w:rPr>
            </w:pPr>
            <w:r>
              <w:rPr>
                <w:rFonts w:ascii="Arial" w:cs="Arial" w:eastAsia="Arial" w:hAnsi="Arial"/>
                <w:sz w:val="11"/>
                <w:szCs w:val="11"/>
                <w:color w:val="auto"/>
              </w:rPr>
              <w:t>Balance — March 31, 2019 (as restated, Note 2)</w:t>
            </w:r>
          </w:p>
        </w:tc>
        <w:tc>
          <w:tcPr>
            <w:tcW w:w="560" w:type="dxa"/>
            <w:vAlign w:val="bottom"/>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2,632,109</w:t>
            </w:r>
          </w:p>
        </w:tc>
        <w:tc>
          <w:tcPr>
            <w:tcW w:w="22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4,615,567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56,983</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647,189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1"/>
                <w:szCs w:val="11"/>
                <w:color w:val="auto"/>
              </w:rPr>
              <w:t>4,776,462</w:t>
            </w:r>
          </w:p>
        </w:tc>
        <w:tc>
          <w:tcPr>
            <w:tcW w:w="220" w:type="dxa"/>
            <w:vAlign w:val="bottom"/>
          </w:tcPr>
          <w:p>
            <w:pPr>
              <w:spacing w:after="0"/>
              <w:rPr>
                <w:sz w:val="12"/>
                <w:szCs w:val="12"/>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500" w:type="dxa"/>
            <w:vAlign w:val="bottom"/>
            <w:gridSpan w:val="2"/>
          </w:tcPr>
          <w:p>
            <w:pPr>
              <w:jc w:val="right"/>
              <w:ind w:right="164"/>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w w:val="89"/>
              </w:rPr>
              <w:t>67,877</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1"/>
                <w:szCs w:val="11"/>
                <w:color w:val="auto"/>
              </w:rPr>
              <w:t>(40,340)</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4,190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31,732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vMerge w:val="restart"/>
            <w:shd w:val="clear" w:color="auto" w:fill="CFF0FC"/>
          </w:tcPr>
          <w:p>
            <w:pPr>
              <w:ind w:left="200"/>
              <w:spacing w:after="0"/>
              <w:rPr>
                <w:sz w:val="20"/>
                <w:szCs w:val="20"/>
                <w:color w:val="auto"/>
              </w:rPr>
            </w:pPr>
            <w:r>
              <w:rPr>
                <w:rFonts w:ascii="Arial" w:cs="Arial" w:eastAsia="Arial" w:hAnsi="Arial"/>
                <w:sz w:val="11"/>
                <w:szCs w:val="11"/>
                <w:color w:val="auto"/>
              </w:rPr>
              <w:t>Net loss - the Company</w:t>
            </w: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gridSpan w:val="4"/>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600" w:type="dxa"/>
            <w:vAlign w:val="bottom"/>
            <w:vMerge w:val="continue"/>
            <w:shd w:val="clear" w:color="auto" w:fill="CFF0FC"/>
          </w:tcPr>
          <w:p>
            <w:pPr>
              <w:spacing w:after="0"/>
              <w:rPr>
                <w:sz w:val="9"/>
                <w:szCs w:val="9"/>
                <w:color w:val="auto"/>
              </w:rPr>
            </w:pPr>
          </w:p>
        </w:tc>
        <w:tc>
          <w:tcPr>
            <w:tcW w:w="56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6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2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tcBorders>
              <w:right w:val="single" w:sz="8" w:color="CFF0FC"/>
            </w:tcBorders>
            <w:gridSpan w:val="4"/>
            <w:shd w:val="clear" w:color="auto" w:fill="CFF0FC"/>
          </w:tcPr>
          <w:p>
            <w:pPr>
              <w:jc w:val="right"/>
              <w:ind w:right="20"/>
              <w:spacing w:after="0" w:line="111" w:lineRule="exact"/>
              <w:rPr>
                <w:sz w:val="20"/>
                <w:szCs w:val="20"/>
                <w:color w:val="auto"/>
              </w:rPr>
            </w:pPr>
            <w:r>
              <w:rPr>
                <w:rFonts w:ascii="Arial" w:cs="Arial" w:eastAsia="Arial" w:hAnsi="Arial"/>
                <w:sz w:val="11"/>
                <w:szCs w:val="11"/>
                <w:color w:val="auto"/>
              </w:rPr>
              <w:t>(5,910)</w:t>
            </w: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60" w:type="dxa"/>
            <w:vAlign w:val="bottom"/>
            <w:gridSpan w:val="3"/>
            <w:shd w:val="clear" w:color="auto" w:fill="CFF0FC"/>
          </w:tcPr>
          <w:p>
            <w:pPr>
              <w:jc w:val="right"/>
              <w:ind w:right="80"/>
              <w:spacing w:after="0" w:line="111" w:lineRule="exact"/>
              <w:rPr>
                <w:sz w:val="20"/>
                <w:szCs w:val="20"/>
                <w:color w:val="auto"/>
              </w:rPr>
            </w:pPr>
            <w:r>
              <w:rPr>
                <w:rFonts w:ascii="Arial" w:cs="Arial" w:eastAsia="Arial" w:hAnsi="Arial"/>
                <w:sz w:val="11"/>
                <w:szCs w:val="11"/>
                <w:color w:val="auto"/>
              </w:rPr>
              <w:t>(5,910)</w:t>
            </w:r>
          </w:p>
        </w:tc>
        <w:tc>
          <w:tcPr>
            <w:tcW w:w="0" w:type="dxa"/>
            <w:vAlign w:val="bottom"/>
          </w:tcPr>
          <w:p>
            <w:pPr>
              <w:spacing w:after="0"/>
              <w:rPr>
                <w:sz w:val="1"/>
                <w:szCs w:val="1"/>
                <w:color w:val="auto"/>
              </w:rPr>
            </w:pPr>
          </w:p>
        </w:tc>
      </w:tr>
      <w:tr>
        <w:trPr>
          <w:trHeight w:val="136"/>
        </w:trPr>
        <w:tc>
          <w:tcPr>
            <w:tcW w:w="2600" w:type="dxa"/>
            <w:vAlign w:val="bottom"/>
          </w:tcPr>
          <w:p>
            <w:pPr>
              <w:ind w:left="200"/>
              <w:spacing w:after="0"/>
              <w:rPr>
                <w:sz w:val="20"/>
                <w:szCs w:val="20"/>
                <w:color w:val="auto"/>
              </w:rPr>
            </w:pPr>
            <w:r>
              <w:rPr>
                <w:rFonts w:ascii="Arial" w:cs="Arial" w:eastAsia="Arial" w:hAnsi="Arial"/>
                <w:sz w:val="11"/>
                <w:szCs w:val="11"/>
                <w:color w:val="auto"/>
              </w:rPr>
              <w:t>Net income - non-controlling interest</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1,044</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1,044</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20"/>
                <w:szCs w:val="20"/>
                <w:color w:val="auto"/>
              </w:rPr>
            </w:pPr>
            <w:r>
              <w:rPr>
                <w:rFonts w:ascii="Arial" w:cs="Arial" w:eastAsia="Arial" w:hAnsi="Arial"/>
                <w:sz w:val="11"/>
                <w:szCs w:val="11"/>
                <w:color w:val="auto"/>
              </w:rPr>
              <w:t>Balance — June 30, 2019 (as restated, Note 2)</w:t>
            </w:r>
          </w:p>
        </w:tc>
        <w:tc>
          <w:tcPr>
            <w:tcW w:w="560" w:type="dxa"/>
            <w:vAlign w:val="bottom"/>
          </w:tcPr>
          <w:p>
            <w:pPr>
              <w:jc w:val="right"/>
              <w:spacing w:after="0"/>
              <w:rPr>
                <w:sz w:val="20"/>
                <w:szCs w:val="20"/>
                <w:color w:val="auto"/>
              </w:rPr>
            </w:pPr>
            <w:r>
              <w:rPr>
                <w:rFonts w:ascii="Arial" w:cs="Arial" w:eastAsia="Arial" w:hAnsi="Arial"/>
                <w:sz w:val="11"/>
                <w:szCs w:val="11"/>
                <w:color w:val="auto"/>
              </w:rPr>
              <w:t>1,264,565</w:t>
            </w:r>
          </w:p>
        </w:tc>
        <w:tc>
          <w:tcPr>
            <w:tcW w:w="22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2,632,109</w:t>
            </w:r>
          </w:p>
        </w:tc>
        <w:tc>
          <w:tcPr>
            <w:tcW w:w="780" w:type="dxa"/>
            <w:vAlign w:val="bottom"/>
            <w:gridSpan w:val="3"/>
          </w:tcPr>
          <w:p>
            <w:pPr>
              <w:jc w:val="right"/>
              <w:spacing w:after="0"/>
              <w:rPr>
                <w:sz w:val="20"/>
                <w:szCs w:val="20"/>
                <w:color w:val="auto"/>
              </w:rPr>
            </w:pPr>
            <w:r>
              <w:rPr>
                <w:rFonts w:ascii="Arial" w:cs="Arial" w:eastAsia="Arial" w:hAnsi="Arial"/>
                <w:sz w:val="11"/>
                <w:szCs w:val="11"/>
                <w:color w:val="auto"/>
              </w:rPr>
              <w:t>4,615,567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56,983</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647,189</w:t>
            </w:r>
          </w:p>
        </w:tc>
        <w:tc>
          <w:tcPr>
            <w:tcW w:w="120" w:type="dxa"/>
            <w:vAlign w:val="bottom"/>
            <w:tcBorders>
              <w:right w:val="single" w:sz="8" w:color="auto"/>
            </w:tcBorders>
          </w:tcPr>
          <w:p>
            <w:pPr>
              <w:spacing w:after="0"/>
              <w:rPr>
                <w:sz w:val="11"/>
                <w:szCs w:val="11"/>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1"/>
                <w:szCs w:val="11"/>
                <w:color w:val="auto"/>
              </w:rPr>
              <w:t>4,776,462</w:t>
            </w:r>
          </w:p>
        </w:tc>
        <w:tc>
          <w:tcPr>
            <w:tcW w:w="220" w:type="dxa"/>
            <w:vAlign w:val="bottom"/>
          </w:tcPr>
          <w:p>
            <w:pPr>
              <w:spacing w:after="0"/>
              <w:rPr>
                <w:sz w:val="11"/>
                <w:szCs w:val="11"/>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500" w:type="dxa"/>
            <w:vAlign w:val="bottom"/>
            <w:gridSpan w:val="2"/>
          </w:tcPr>
          <w:p>
            <w:pPr>
              <w:jc w:val="right"/>
              <w:ind w:right="164"/>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w w:val="89"/>
              </w:rPr>
              <w:t>68,921</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1"/>
                <w:szCs w:val="11"/>
                <w:color w:val="auto"/>
              </w:rPr>
              <w:t>(46,250)</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4,622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27,298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6" w:name="page7"/>
    <w:bookmarkEnd w:id="6"/>
    <w:p>
      <w:pPr>
        <w:ind w:left="4800"/>
        <w:spacing w:after="0"/>
        <w:rPr>
          <w:sz w:val="20"/>
          <w:szCs w:val="20"/>
          <w:color w:val="auto"/>
        </w:rPr>
      </w:pPr>
      <w:r>
        <w:rPr>
          <w:rFonts w:ascii="Arial" w:cs="Arial" w:eastAsia="Arial" w:hAnsi="Arial"/>
          <w:sz w:val="15"/>
          <w:szCs w:val="15"/>
          <w:b w:val="1"/>
          <w:bCs w:val="1"/>
          <w:color w:val="auto"/>
        </w:rPr>
        <w:t>VENUS CONCEPT INC.</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(in thousands)</w:t>
      </w:r>
    </w:p>
    <w:p>
      <w:pPr>
        <w:spacing w:after="0" w:line="187" w:lineRule="exact"/>
        <w:rPr>
          <w:sz w:val="20"/>
          <w:szCs w:val="20"/>
          <w:color w:val="auto"/>
        </w:rPr>
      </w:pPr>
    </w:p>
    <w:p>
      <w:pPr>
        <w:jc w:val="center"/>
        <w:ind w:left="7640"/>
        <w:spacing w:after="0"/>
        <w:rPr>
          <w:sz w:val="20"/>
          <w:szCs w:val="20"/>
          <w:color w:val="auto"/>
        </w:rPr>
      </w:pPr>
      <w:r>
        <w:rPr>
          <w:rFonts w:ascii="Arial" w:cs="Arial" w:eastAsia="Arial" w:hAnsi="Arial"/>
          <w:sz w:val="11"/>
          <w:szCs w:val="11"/>
          <w:b w:val="1"/>
          <w:bCs w:val="1"/>
          <w:color w:val="auto"/>
        </w:rPr>
        <w:t>Six Months</w:t>
      </w:r>
    </w:p>
    <w:p>
      <w:pPr>
        <w:jc w:val="center"/>
        <w:ind w:left="7640"/>
        <w:spacing w:after="0" w:line="222" w:lineRule="auto"/>
        <w:rPr>
          <w:sz w:val="20"/>
          <w:szCs w:val="20"/>
          <w:color w:val="auto"/>
        </w:rPr>
      </w:pPr>
      <w:r>
        <w:rPr>
          <w:rFonts w:ascii="Arial" w:cs="Arial" w:eastAsia="Arial" w:hAnsi="Arial"/>
          <w:sz w:val="11"/>
          <w:szCs w:val="11"/>
          <w:b w:val="1"/>
          <w:bCs w:val="1"/>
          <w:color w:val="auto"/>
        </w:rPr>
        <w:t>Ended June 30</w:t>
      </w:r>
    </w:p>
    <w:tbl>
      <w:tblPr>
        <w:tblLayout w:type="fixed"/>
        <w:tblInd w:w="0" w:type="dxa"/>
        <w:tblCellMar>
          <w:top w:w="0" w:type="dxa"/>
          <w:left w:w="0" w:type="dxa"/>
          <w:bottom w:w="0" w:type="dxa"/>
          <w:right w:w="0" w:type="dxa"/>
        </w:tblCellMar>
      </w:tblPr>
      <w:tr>
        <w:trPr>
          <w:trHeight w:val="116"/>
        </w:trPr>
        <w:tc>
          <w:tcPr>
            <w:tcW w:w="7740" w:type="dxa"/>
            <w:vAlign w:val="bottom"/>
            <w:tcBorders>
              <w:bottom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132"/>
              <w:spacing w:after="0" w:line="116" w:lineRule="exact"/>
              <w:rPr>
                <w:sz w:val="20"/>
                <w:szCs w:val="20"/>
                <w:color w:val="auto"/>
              </w:rPr>
            </w:pPr>
            <w:r>
              <w:rPr>
                <w:rFonts w:ascii="Arial" w:cs="Arial" w:eastAsia="Arial" w:hAnsi="Arial"/>
                <w:sz w:val="11"/>
                <w:szCs w:val="11"/>
                <w:b w:val="1"/>
                <w:bCs w:val="1"/>
                <w:color w:val="auto"/>
              </w:rPr>
              <w:t>2020</w:t>
            </w:r>
          </w:p>
        </w:tc>
        <w:tc>
          <w:tcPr>
            <w:tcW w:w="50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627"/>
              <w:spacing w:after="0" w:line="116" w:lineRule="exact"/>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FF0FC"/>
            </w:tcBorders>
          </w:tcPr>
          <w:p>
            <w:pPr>
              <w:spacing w:after="0"/>
              <w:rPr>
                <w:sz w:val="10"/>
                <w:szCs w:val="10"/>
                <w:color w:val="auto"/>
              </w:rPr>
            </w:pPr>
          </w:p>
        </w:tc>
      </w:tr>
      <w:tr>
        <w:trPr>
          <w:trHeight w:val="116"/>
        </w:trPr>
        <w:tc>
          <w:tcPr>
            <w:tcW w:w="7740" w:type="dxa"/>
            <w:vAlign w:val="bottom"/>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CASH FLOWS FROM OPERATING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(60,468)</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(10,583)</w:t>
            </w:r>
          </w:p>
        </w:tc>
      </w:tr>
      <w:tr>
        <w:trPr>
          <w:trHeight w:val="125"/>
        </w:trPr>
        <w:tc>
          <w:tcPr>
            <w:tcW w:w="7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Adjustments to reconcile net loss to net cash used in operating activities: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Goodwill impairment</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27,450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Depreciation and amortization</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2,514</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735</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Stock-based compensation</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1,056</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1,419</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Provision for bad debt</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5,416</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2,017</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Provision for inventory obsolescence</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530</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435</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Finance expenses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4,134</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72</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Deferred tax expense</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(1,237)</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630</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Change in fair value of earn-out liability</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244</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578</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Loss on sale of subsidiary</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385</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Loss on disposal of property and equipment</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11</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tcPr>
          <w:p>
            <w:pPr>
              <w:spacing w:after="0" w:line="125" w:lineRule="exact"/>
              <w:rPr>
                <w:sz w:val="20"/>
                <w:szCs w:val="20"/>
                <w:color w:val="auto"/>
              </w:rPr>
            </w:pPr>
            <w:r>
              <w:rPr>
                <w:rFonts w:ascii="Arial" w:cs="Arial" w:eastAsia="Arial" w:hAnsi="Arial"/>
                <w:sz w:val="11"/>
                <w:szCs w:val="11"/>
                <w:color w:val="auto"/>
              </w:rPr>
              <w:t>Changes in operating assets and liabilities:</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Accounts receivable short- and long-term</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6,187</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(13,359)</w:t>
            </w: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Inventories</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(986)</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(346)</w:t>
            </w: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Prepaid expenses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88</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(103)</w:t>
            </w: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Other current assets</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(2,483)</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(353)</w:t>
            </w: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Other long-term assets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6</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Trade payables</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(385)</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6,025</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Accrued expenses and other current liabilities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(5,365)</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1,963</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Severance pay funds</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72</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(39)</w:t>
            </w:r>
          </w:p>
        </w:tc>
      </w:tr>
      <w:tr>
        <w:trPr>
          <w:trHeight w:val="125"/>
        </w:trPr>
        <w:tc>
          <w:tcPr>
            <w:tcW w:w="7740" w:type="dxa"/>
            <w:vAlign w:val="bottom"/>
            <w:shd w:val="clear" w:color="auto" w:fill="CFF0FC"/>
          </w:tcPr>
          <w:p>
            <w:pPr>
              <w:ind w:left="400"/>
              <w:spacing w:after="0" w:line="125" w:lineRule="exact"/>
              <w:rPr>
                <w:sz w:val="20"/>
                <w:szCs w:val="20"/>
                <w:color w:val="auto"/>
              </w:rPr>
            </w:pPr>
            <w:r>
              <w:rPr>
                <w:rFonts w:ascii="Arial" w:cs="Arial" w:eastAsia="Arial" w:hAnsi="Arial"/>
                <w:sz w:val="11"/>
                <w:szCs w:val="11"/>
                <w:color w:val="auto"/>
              </w:rPr>
              <w:t>Unearned interest income</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(1,418)</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(122)</w:t>
            </w:r>
          </w:p>
        </w:tc>
      </w:tr>
      <w:tr>
        <w:trPr>
          <w:trHeight w:val="125"/>
        </w:trPr>
        <w:tc>
          <w:tcPr>
            <w:tcW w:w="7740" w:type="dxa"/>
            <w:vAlign w:val="bottom"/>
          </w:tcPr>
          <w:p>
            <w:pPr>
              <w:ind w:left="400"/>
              <w:spacing w:after="0" w:line="125" w:lineRule="exact"/>
              <w:rPr>
                <w:sz w:val="20"/>
                <w:szCs w:val="20"/>
                <w:color w:val="auto"/>
              </w:rPr>
            </w:pPr>
            <w:r>
              <w:rPr>
                <w:rFonts w:ascii="Arial" w:cs="Arial" w:eastAsia="Arial" w:hAnsi="Arial"/>
                <w:sz w:val="11"/>
                <w:szCs w:val="11"/>
                <w:color w:val="auto"/>
              </w:rPr>
              <w:t>Other long-term liabilities</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(463)</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(411)</w:t>
            </w:r>
          </w:p>
        </w:tc>
      </w:tr>
      <w:tr>
        <w:trPr>
          <w:trHeight w:val="116"/>
        </w:trPr>
        <w:tc>
          <w:tcPr>
            <w:tcW w:w="7740" w:type="dxa"/>
            <w:vAlign w:val="bottom"/>
            <w:tcBorders>
              <w:top w:val="single" w:sz="8" w:color="CFF0FC"/>
            </w:tcBorders>
            <w:shd w:val="clear" w:color="auto" w:fill="CFF0FC"/>
          </w:tcPr>
          <w:p>
            <w:pPr>
              <w:ind w:left="620"/>
              <w:spacing w:after="0" w:line="116" w:lineRule="exact"/>
              <w:rPr>
                <w:sz w:val="20"/>
                <w:szCs w:val="20"/>
                <w:color w:val="auto"/>
              </w:rPr>
            </w:pPr>
            <w:r>
              <w:rPr>
                <w:rFonts w:ascii="Arial" w:cs="Arial" w:eastAsia="Arial" w:hAnsi="Arial"/>
                <w:sz w:val="11"/>
                <w:szCs w:val="11"/>
                <w:color w:val="auto"/>
              </w:rPr>
              <w:t>Net cash used in operating activities</w:t>
            </w:r>
          </w:p>
        </w:tc>
        <w:tc>
          <w:tcPr>
            <w:tcW w:w="1060" w:type="dxa"/>
            <w:vAlign w:val="bottom"/>
            <w:tcBorders>
              <w:top w:val="single" w:sz="8" w:color="auto"/>
              <w:bottom w:val="single" w:sz="8" w:color="auto"/>
            </w:tcBorders>
            <w:shd w:val="clear" w:color="auto" w:fill="CFF0FC"/>
          </w:tcPr>
          <w:p>
            <w:pPr>
              <w:spacing w:after="0"/>
              <w:rPr>
                <w:sz w:val="10"/>
                <w:szCs w:val="10"/>
                <w:color w:val="auto"/>
              </w:rPr>
            </w:pPr>
          </w:p>
        </w:tc>
        <w:tc>
          <w:tcPr>
            <w:tcW w:w="5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(24,712)</w:t>
            </w:r>
          </w:p>
        </w:tc>
        <w:tc>
          <w:tcPr>
            <w:tcW w:w="30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auto"/>
            </w:tcBorders>
            <w:shd w:val="clear" w:color="auto" w:fill="CFF0FC"/>
          </w:tcPr>
          <w:p>
            <w:pPr>
              <w:spacing w:after="0"/>
              <w:rPr>
                <w:sz w:val="10"/>
                <w:szCs w:val="10"/>
                <w:color w:val="auto"/>
              </w:rPr>
            </w:pPr>
          </w:p>
        </w:tc>
        <w:tc>
          <w:tcPr>
            <w:tcW w:w="12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(11,442)</w:t>
            </w:r>
          </w:p>
        </w:tc>
        <w:tc>
          <w:tcPr>
            <w:tcW w:w="100" w:type="dxa"/>
            <w:vAlign w:val="bottom"/>
            <w:tcBorders>
              <w:top w:val="single" w:sz="8" w:color="CFF0FC"/>
            </w:tcBorders>
            <w:shd w:val="clear" w:color="auto" w:fill="CFF0FC"/>
          </w:tcPr>
          <w:p>
            <w:pPr>
              <w:spacing w:after="0"/>
              <w:rPr>
                <w:sz w:val="10"/>
                <w:szCs w:val="10"/>
                <w:color w:val="auto"/>
              </w:rPr>
            </w:pPr>
          </w:p>
        </w:tc>
      </w:tr>
      <w:tr>
        <w:trPr>
          <w:trHeight w:val="116"/>
        </w:trPr>
        <w:tc>
          <w:tcPr>
            <w:tcW w:w="7740" w:type="dxa"/>
            <w:vAlign w:val="bottom"/>
          </w:tcPr>
          <w:p>
            <w:pPr>
              <w:spacing w:after="0" w:line="116" w:lineRule="exact"/>
              <w:rPr>
                <w:sz w:val="20"/>
                <w:szCs w:val="20"/>
                <w:color w:val="auto"/>
              </w:rPr>
            </w:pPr>
            <w:r>
              <w:rPr>
                <w:rFonts w:ascii="Arial" w:cs="Arial" w:eastAsia="Arial" w:hAnsi="Arial"/>
                <w:sz w:val="11"/>
                <w:szCs w:val="11"/>
                <w:b w:val="1"/>
                <w:bCs w:val="1"/>
                <w:color w:val="auto"/>
              </w:rPr>
              <w:t>CASH FLOWS FROM INVESTING ACTIVITIES:</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Purchases of property and equipment</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60"/>
              <w:spacing w:after="0" w:line="125" w:lineRule="exact"/>
              <w:rPr>
                <w:sz w:val="20"/>
                <w:szCs w:val="20"/>
                <w:color w:val="auto"/>
              </w:rPr>
            </w:pPr>
            <w:r>
              <w:rPr>
                <w:rFonts w:ascii="Arial" w:cs="Arial" w:eastAsia="Arial" w:hAnsi="Arial"/>
                <w:sz w:val="11"/>
                <w:szCs w:val="11"/>
                <w:color w:val="auto"/>
              </w:rPr>
              <w:t>(108)</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(346)</w:t>
            </w: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Cash received from sale of subsidiary, net of cash relinquished</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89</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16"/>
        </w:trPr>
        <w:tc>
          <w:tcPr>
            <w:tcW w:w="7740" w:type="dxa"/>
            <w:vAlign w:val="bottom"/>
            <w:tcBorders>
              <w:top w:val="single" w:sz="8" w:color="CFF0FC"/>
            </w:tcBorders>
            <w:shd w:val="clear" w:color="auto" w:fill="CFF0FC"/>
          </w:tcPr>
          <w:p>
            <w:pPr>
              <w:ind w:left="620"/>
              <w:spacing w:after="0" w:line="116" w:lineRule="exact"/>
              <w:rPr>
                <w:sz w:val="20"/>
                <w:szCs w:val="20"/>
                <w:color w:val="auto"/>
              </w:rPr>
            </w:pPr>
            <w:r>
              <w:rPr>
                <w:rFonts w:ascii="Arial" w:cs="Arial" w:eastAsia="Arial" w:hAnsi="Arial"/>
                <w:sz w:val="11"/>
                <w:szCs w:val="11"/>
                <w:color w:val="auto"/>
              </w:rPr>
              <w:t>Net cash used in investing activities</w:t>
            </w:r>
          </w:p>
        </w:tc>
        <w:tc>
          <w:tcPr>
            <w:tcW w:w="1060" w:type="dxa"/>
            <w:vAlign w:val="bottom"/>
            <w:tcBorders>
              <w:top w:val="single" w:sz="8" w:color="auto"/>
              <w:bottom w:val="single" w:sz="8" w:color="auto"/>
            </w:tcBorders>
            <w:shd w:val="clear" w:color="auto" w:fill="CFF0FC"/>
          </w:tcPr>
          <w:p>
            <w:pPr>
              <w:spacing w:after="0"/>
              <w:rPr>
                <w:sz w:val="10"/>
                <w:szCs w:val="10"/>
                <w:color w:val="auto"/>
              </w:rPr>
            </w:pPr>
          </w:p>
        </w:tc>
        <w:tc>
          <w:tcPr>
            <w:tcW w:w="5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(19)</w:t>
            </w:r>
          </w:p>
        </w:tc>
        <w:tc>
          <w:tcPr>
            <w:tcW w:w="30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auto"/>
            </w:tcBorders>
            <w:shd w:val="clear" w:color="auto" w:fill="CFF0FC"/>
          </w:tcPr>
          <w:p>
            <w:pPr>
              <w:spacing w:after="0"/>
              <w:rPr>
                <w:sz w:val="10"/>
                <w:szCs w:val="10"/>
                <w:color w:val="auto"/>
              </w:rPr>
            </w:pPr>
          </w:p>
        </w:tc>
        <w:tc>
          <w:tcPr>
            <w:tcW w:w="1200" w:type="dxa"/>
            <w:vAlign w:val="bottom"/>
            <w:tcBorders>
              <w:top w:val="single" w:sz="8" w:color="auto"/>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(346)</w:t>
            </w:r>
          </w:p>
        </w:tc>
        <w:tc>
          <w:tcPr>
            <w:tcW w:w="100" w:type="dxa"/>
            <w:vAlign w:val="bottom"/>
            <w:tcBorders>
              <w:top w:val="single" w:sz="8" w:color="CFF0FC"/>
            </w:tcBorders>
            <w:shd w:val="clear" w:color="auto" w:fill="CFF0FC"/>
          </w:tcPr>
          <w:p>
            <w:pPr>
              <w:spacing w:after="0"/>
              <w:rPr>
                <w:sz w:val="10"/>
                <w:szCs w:val="10"/>
                <w:color w:val="auto"/>
              </w:rPr>
            </w:pPr>
          </w:p>
        </w:tc>
      </w:tr>
      <w:tr>
        <w:trPr>
          <w:trHeight w:val="116"/>
        </w:trPr>
        <w:tc>
          <w:tcPr>
            <w:tcW w:w="7740" w:type="dxa"/>
            <w:vAlign w:val="bottom"/>
          </w:tcPr>
          <w:p>
            <w:pPr>
              <w:spacing w:after="0" w:line="116" w:lineRule="exact"/>
              <w:rPr>
                <w:sz w:val="20"/>
                <w:szCs w:val="20"/>
                <w:color w:val="auto"/>
              </w:rPr>
            </w:pPr>
            <w:r>
              <w:rPr>
                <w:rFonts w:ascii="Arial" w:cs="Arial" w:eastAsia="Arial" w:hAnsi="Arial"/>
                <w:sz w:val="11"/>
                <w:szCs w:val="11"/>
                <w:b w:val="1"/>
                <w:bCs w:val="1"/>
                <w:color w:val="auto"/>
              </w:rPr>
              <w:t>CASH FLOWS FROM FINANCING ACTIVITIES:</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Issuance of long-term debt, net of financing fees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9,739</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(Repayment of) proceeds from line-of-credit</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(3,928)</w:t>
            </w:r>
          </w:p>
        </w:tc>
        <w:tc>
          <w:tcPr>
            <w:tcW w:w="360" w:type="dxa"/>
            <w:vAlign w:val="bottom"/>
          </w:tcPr>
          <w:p>
            <w:pPr>
              <w:spacing w:after="0"/>
              <w:rPr>
                <w:sz w:val="10"/>
                <w:szCs w:val="10"/>
                <w:color w:val="auto"/>
              </w:rPr>
            </w:pP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2,531</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Proceeds from government assistance loans</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4,110</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Proceeds from issuance of common stock</w:t>
            </w:r>
          </w:p>
        </w:tc>
        <w:tc>
          <w:tcPr>
            <w:tcW w:w="10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2,956</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Proceeds from 2020 Private Placement, net of costs of $1,950</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20,300</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Dividends from subsidiaries paid to non-controlling interest</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(218)</w:t>
            </w:r>
          </w:p>
        </w:tc>
        <w:tc>
          <w:tcPr>
            <w:tcW w:w="360" w:type="dxa"/>
            <w:vAlign w:val="bottom"/>
          </w:tcPr>
          <w:p>
            <w:pPr>
              <w:spacing w:after="0"/>
              <w:rPr>
                <w:sz w:val="10"/>
                <w:szCs w:val="10"/>
                <w:color w:val="auto"/>
              </w:rPr>
            </w:pPr>
          </w:p>
        </w:tc>
        <w:tc>
          <w:tcPr>
            <w:tcW w:w="13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Proceeds from issuance of convertible promissory notes, net of cash issuance costs of $280</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7,520</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Payment of earn-out liability</w:t>
            </w:r>
          </w:p>
        </w:tc>
        <w:tc>
          <w:tcPr>
            <w:tcW w:w="1060" w:type="dxa"/>
            <w:vAlign w:val="bottom"/>
          </w:tcPr>
          <w:p>
            <w:pPr>
              <w:spacing w:after="0"/>
              <w:rPr>
                <w:sz w:val="10"/>
                <w:szCs w:val="10"/>
                <w:color w:val="auto"/>
              </w:rPr>
            </w:pPr>
          </w:p>
        </w:tc>
        <w:tc>
          <w:tcPr>
            <w:tcW w:w="80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(156)</w:t>
            </w:r>
          </w:p>
        </w:tc>
        <w:tc>
          <w:tcPr>
            <w:tcW w:w="360" w:type="dxa"/>
            <w:vAlign w:val="bottom"/>
          </w:tcPr>
          <w:p>
            <w:pPr>
              <w:spacing w:after="0"/>
              <w:rPr>
                <w:sz w:val="10"/>
                <w:szCs w:val="10"/>
                <w:color w:val="auto"/>
              </w:rPr>
            </w:pPr>
          </w:p>
        </w:tc>
        <w:tc>
          <w:tcPr>
            <w:tcW w:w="130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(138)</w:t>
            </w: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Installment payments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line="125"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(250)</w:t>
            </w:r>
          </w:p>
        </w:tc>
      </w:tr>
      <w:tr>
        <w:trPr>
          <w:trHeight w:val="125"/>
        </w:trPr>
        <w:tc>
          <w:tcPr>
            <w:tcW w:w="7740" w:type="dxa"/>
            <w:vAlign w:val="bottom"/>
            <w:tcBorders>
              <w:bottom w:val="single" w:sz="8" w:color="CFF0FC"/>
            </w:tcBorders>
          </w:tcPr>
          <w:p>
            <w:pPr>
              <w:ind w:left="200"/>
              <w:spacing w:after="0" w:line="125" w:lineRule="exact"/>
              <w:rPr>
                <w:sz w:val="20"/>
                <w:szCs w:val="20"/>
                <w:color w:val="auto"/>
              </w:rPr>
            </w:pPr>
            <w:r>
              <w:rPr>
                <w:rFonts w:ascii="Arial" w:cs="Arial" w:eastAsia="Arial" w:hAnsi="Arial"/>
                <w:sz w:val="11"/>
                <w:szCs w:val="11"/>
                <w:color w:val="auto"/>
              </w:rPr>
              <w:t>Proceeds from exercise of options</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34</w:t>
            </w:r>
          </w:p>
        </w:tc>
        <w:tc>
          <w:tcPr>
            <w:tcW w:w="3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7</w:t>
            </w:r>
          </w:p>
        </w:tc>
        <w:tc>
          <w:tcPr>
            <w:tcW w:w="100" w:type="dxa"/>
            <w:vAlign w:val="bottom"/>
            <w:tcBorders>
              <w:bottom w:val="single" w:sz="8" w:color="CFF0FC"/>
            </w:tcBorders>
          </w:tcPr>
          <w:p>
            <w:pPr>
              <w:spacing w:after="0"/>
              <w:rPr>
                <w:sz w:val="10"/>
                <w:szCs w:val="10"/>
                <w:color w:val="auto"/>
              </w:rPr>
            </w:pPr>
          </w:p>
        </w:tc>
      </w:tr>
      <w:tr>
        <w:trPr>
          <w:trHeight w:val="116"/>
        </w:trPr>
        <w:tc>
          <w:tcPr>
            <w:tcW w:w="7740" w:type="dxa"/>
            <w:vAlign w:val="bottom"/>
            <w:shd w:val="clear" w:color="auto" w:fill="CFF0FC"/>
          </w:tcPr>
          <w:p>
            <w:pPr>
              <w:ind w:left="620"/>
              <w:spacing w:after="0" w:line="116" w:lineRule="exact"/>
              <w:rPr>
                <w:sz w:val="20"/>
                <w:szCs w:val="20"/>
                <w:color w:val="auto"/>
              </w:rPr>
            </w:pPr>
            <w:r>
              <w:rPr>
                <w:rFonts w:ascii="Arial" w:cs="Arial" w:eastAsia="Arial" w:hAnsi="Arial"/>
                <w:sz w:val="11"/>
                <w:szCs w:val="11"/>
                <w:color w:val="auto"/>
              </w:rPr>
              <w:t>Net cash provided by financing activities</w:t>
            </w:r>
          </w:p>
        </w:tc>
        <w:tc>
          <w:tcPr>
            <w:tcW w:w="106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23,098</w:t>
            </w:r>
          </w:p>
        </w:tc>
        <w:tc>
          <w:tcPr>
            <w:tcW w:w="30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19,409</w:t>
            </w:r>
          </w:p>
        </w:tc>
        <w:tc>
          <w:tcPr>
            <w:tcW w:w="100" w:type="dxa"/>
            <w:vAlign w:val="bottom"/>
            <w:shd w:val="clear" w:color="auto" w:fill="CFF0FC"/>
          </w:tcPr>
          <w:p>
            <w:pPr>
              <w:spacing w:after="0"/>
              <w:rPr>
                <w:sz w:val="10"/>
                <w:szCs w:val="10"/>
                <w:color w:val="auto"/>
              </w:rPr>
            </w:pPr>
          </w:p>
        </w:tc>
      </w:tr>
      <w:tr>
        <w:trPr>
          <w:trHeight w:val="116"/>
        </w:trPr>
        <w:tc>
          <w:tcPr>
            <w:tcW w:w="7740" w:type="dxa"/>
            <w:vAlign w:val="bottom"/>
          </w:tcPr>
          <w:p>
            <w:pPr>
              <w:spacing w:after="0" w:line="116" w:lineRule="exact"/>
              <w:rPr>
                <w:sz w:val="20"/>
                <w:szCs w:val="20"/>
                <w:color w:val="auto"/>
              </w:rPr>
            </w:pPr>
            <w:r>
              <w:rPr>
                <w:rFonts w:ascii="Arial" w:cs="Arial" w:eastAsia="Arial" w:hAnsi="Arial"/>
                <w:sz w:val="11"/>
                <w:szCs w:val="11"/>
                <w:color w:val="auto"/>
              </w:rPr>
              <w:t>NET INCREASE IN CASH AND CASH EQUIVALENTS AND RESTRICTED CASH</w:t>
            </w:r>
          </w:p>
        </w:tc>
        <w:tc>
          <w:tcPr>
            <w:tcW w:w="106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Arial" w:cs="Arial" w:eastAsia="Arial" w:hAnsi="Arial"/>
                <w:sz w:val="11"/>
                <w:szCs w:val="11"/>
                <w:color w:val="auto"/>
              </w:rPr>
              <w:t>(1,633)</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16" w:lineRule="exact"/>
              <w:rPr>
                <w:sz w:val="20"/>
                <w:szCs w:val="20"/>
                <w:color w:val="auto"/>
              </w:rPr>
            </w:pPr>
            <w:r>
              <w:rPr>
                <w:rFonts w:ascii="Arial" w:cs="Arial" w:eastAsia="Arial" w:hAnsi="Arial"/>
                <w:sz w:val="11"/>
                <w:szCs w:val="11"/>
                <w:color w:val="auto"/>
              </w:rPr>
              <w:t>7,621</w:t>
            </w:r>
          </w:p>
        </w:tc>
        <w:tc>
          <w:tcPr>
            <w:tcW w:w="100" w:type="dxa"/>
            <w:vAlign w:val="bottom"/>
          </w:tcPr>
          <w:p>
            <w:pPr>
              <w:spacing w:after="0"/>
              <w:rPr>
                <w:sz w:val="10"/>
                <w:szCs w:val="10"/>
                <w:color w:val="auto"/>
              </w:rPr>
            </w:pPr>
          </w:p>
        </w:tc>
      </w:tr>
      <w:tr>
        <w:trPr>
          <w:trHeight w:val="125"/>
        </w:trPr>
        <w:tc>
          <w:tcPr>
            <w:tcW w:w="7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CASH AND CASH EQUIVALENTS AND RESTRICTED CASH — Beginning of period</w:t>
            </w:r>
          </w:p>
        </w:tc>
        <w:tc>
          <w:tcPr>
            <w:tcW w:w="106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15,749</w:t>
            </w:r>
          </w:p>
        </w:tc>
        <w:tc>
          <w:tcPr>
            <w:tcW w:w="30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6,758</w:t>
            </w:r>
          </w:p>
        </w:tc>
        <w:tc>
          <w:tcPr>
            <w:tcW w:w="100" w:type="dxa"/>
            <w:vAlign w:val="bottom"/>
            <w:shd w:val="clear" w:color="auto" w:fill="CFF0FC"/>
          </w:tcPr>
          <w:p>
            <w:pPr>
              <w:spacing w:after="0"/>
              <w:rPr>
                <w:sz w:val="10"/>
                <w:szCs w:val="10"/>
                <w:color w:val="auto"/>
              </w:rPr>
            </w:pPr>
          </w:p>
        </w:tc>
      </w:tr>
      <w:tr>
        <w:trPr>
          <w:trHeight w:val="156"/>
        </w:trPr>
        <w:tc>
          <w:tcPr>
            <w:tcW w:w="7740" w:type="dxa"/>
            <w:vAlign w:val="bottom"/>
            <w:tcBorders>
              <w:bottom w:val="single" w:sz="8" w:color="CFF0FC"/>
            </w:tcBorders>
          </w:tcPr>
          <w:p>
            <w:pPr>
              <w:spacing w:after="0" w:line="116" w:lineRule="exact"/>
              <w:rPr>
                <w:sz w:val="20"/>
                <w:szCs w:val="20"/>
                <w:color w:val="auto"/>
              </w:rPr>
            </w:pPr>
            <w:r>
              <w:rPr>
                <w:rFonts w:ascii="Arial" w:cs="Arial" w:eastAsia="Arial" w:hAnsi="Arial"/>
                <w:sz w:val="11"/>
                <w:szCs w:val="11"/>
                <w:color w:val="auto"/>
              </w:rPr>
              <w:t>CASH AND CASH EQUIVALENTS AND RESTRICTED CASH — End of period</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14,116</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14,379</w:t>
            </w:r>
          </w:p>
        </w:tc>
        <w:tc>
          <w:tcPr>
            <w:tcW w:w="100" w:type="dxa"/>
            <w:vAlign w:val="bottom"/>
            <w:tcBorders>
              <w:bottom w:val="single" w:sz="8" w:color="CFF0FC"/>
            </w:tcBorders>
          </w:tcPr>
          <w:p>
            <w:pPr>
              <w:spacing w:after="0"/>
              <w:rPr>
                <w:sz w:val="13"/>
                <w:szCs w:val="13"/>
                <w:color w:val="auto"/>
              </w:rPr>
            </w:pPr>
          </w:p>
        </w:tc>
      </w:tr>
      <w:tr>
        <w:trPr>
          <w:trHeight w:val="99"/>
        </w:trPr>
        <w:tc>
          <w:tcPr>
            <w:tcW w:w="7740" w:type="dxa"/>
            <w:vAlign w:val="bottom"/>
            <w:shd w:val="clear" w:color="auto" w:fill="CFF0FC"/>
          </w:tcPr>
          <w:p>
            <w:pPr>
              <w:spacing w:after="0" w:line="99" w:lineRule="exact"/>
              <w:rPr>
                <w:sz w:val="20"/>
                <w:szCs w:val="20"/>
                <w:color w:val="auto"/>
              </w:rPr>
            </w:pPr>
            <w:r>
              <w:rPr>
                <w:rFonts w:ascii="Arial" w:cs="Arial" w:eastAsia="Arial" w:hAnsi="Arial"/>
                <w:sz w:val="11"/>
                <w:szCs w:val="11"/>
                <w:b w:val="1"/>
                <w:bCs w:val="1"/>
                <w:color w:val="auto"/>
              </w:rPr>
              <w:t>SUPPLEMENTAL DISCLOSURES OF CASH FLOW INFORMATION:</w:t>
            </w:r>
          </w:p>
        </w:tc>
        <w:tc>
          <w:tcPr>
            <w:tcW w:w="10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25"/>
        </w:trPr>
        <w:tc>
          <w:tcPr>
            <w:tcW w:w="7740" w:type="dxa"/>
            <w:vAlign w:val="bottom"/>
            <w:tcBorders>
              <w:bottom w:val="single" w:sz="8" w:color="CFF0FC"/>
            </w:tcBorders>
          </w:tcPr>
          <w:p>
            <w:pPr>
              <w:ind w:left="200"/>
              <w:spacing w:after="0" w:line="125" w:lineRule="exact"/>
              <w:rPr>
                <w:sz w:val="20"/>
                <w:szCs w:val="20"/>
                <w:color w:val="auto"/>
              </w:rPr>
            </w:pPr>
            <w:r>
              <w:rPr>
                <w:rFonts w:ascii="Arial" w:cs="Arial" w:eastAsia="Arial" w:hAnsi="Arial"/>
                <w:sz w:val="11"/>
                <w:szCs w:val="11"/>
                <w:color w:val="auto"/>
              </w:rPr>
              <w:t>Cash paid for income taxes</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496</w:t>
            </w:r>
          </w:p>
        </w:tc>
        <w:tc>
          <w:tcPr>
            <w:tcW w:w="30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471</w:t>
            </w:r>
          </w:p>
        </w:tc>
        <w:tc>
          <w:tcPr>
            <w:tcW w:w="100" w:type="dxa"/>
            <w:vAlign w:val="bottom"/>
            <w:tcBorders>
              <w:bottom w:val="single" w:sz="8" w:color="CFF0FC"/>
            </w:tcBorders>
          </w:tcPr>
          <w:p>
            <w:pPr>
              <w:spacing w:after="0"/>
              <w:rPr>
                <w:sz w:val="10"/>
                <w:szCs w:val="10"/>
                <w:color w:val="auto"/>
              </w:rPr>
            </w:pPr>
          </w:p>
        </w:tc>
      </w:tr>
      <w:tr>
        <w:trPr>
          <w:trHeight w:val="116"/>
        </w:trPr>
        <w:tc>
          <w:tcPr>
            <w:tcW w:w="7740" w:type="dxa"/>
            <w:vAlign w:val="bottom"/>
            <w:shd w:val="clear" w:color="auto" w:fill="CFF0FC"/>
          </w:tcPr>
          <w:p>
            <w:pPr>
              <w:ind w:left="200"/>
              <w:spacing w:after="0" w:line="116" w:lineRule="exact"/>
              <w:rPr>
                <w:sz w:val="20"/>
                <w:szCs w:val="20"/>
                <w:color w:val="auto"/>
              </w:rPr>
            </w:pPr>
            <w:r>
              <w:rPr>
                <w:rFonts w:ascii="Arial" w:cs="Arial" w:eastAsia="Arial" w:hAnsi="Arial"/>
                <w:sz w:val="11"/>
                <w:szCs w:val="11"/>
                <w:color w:val="auto"/>
              </w:rPr>
              <w:t>Cash paid for interest</w:t>
            </w:r>
          </w:p>
        </w:tc>
        <w:tc>
          <w:tcPr>
            <w:tcW w:w="106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173</w:t>
            </w:r>
          </w:p>
        </w:tc>
        <w:tc>
          <w:tcPr>
            <w:tcW w:w="30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3,036</w:t>
            </w:r>
          </w:p>
        </w:tc>
        <w:tc>
          <w:tcPr>
            <w:tcW w:w="100" w:type="dxa"/>
            <w:vAlign w:val="bottom"/>
            <w:shd w:val="clear" w:color="auto" w:fill="CFF0FC"/>
          </w:tcPr>
          <w:p>
            <w:pPr>
              <w:spacing w:after="0"/>
              <w:rPr>
                <w:sz w:val="10"/>
                <w:szCs w:val="10"/>
                <w:color w:val="auto"/>
              </w:rPr>
            </w:pPr>
          </w:p>
        </w:tc>
      </w:tr>
      <w:tr>
        <w:trPr>
          <w:trHeight w:val="101"/>
        </w:trPr>
        <w:tc>
          <w:tcPr>
            <w:tcW w:w="7740" w:type="dxa"/>
            <w:vAlign w:val="bottom"/>
          </w:tcPr>
          <w:p>
            <w:pPr>
              <w:spacing w:after="0" w:line="101" w:lineRule="exact"/>
              <w:rPr>
                <w:sz w:val="20"/>
                <w:szCs w:val="20"/>
                <w:color w:val="auto"/>
              </w:rPr>
            </w:pPr>
            <w:r>
              <w:rPr>
                <w:rFonts w:ascii="Arial" w:cs="Arial" w:eastAsia="Arial" w:hAnsi="Arial"/>
                <w:sz w:val="11"/>
                <w:szCs w:val="11"/>
                <w:b w:val="1"/>
                <w:bCs w:val="1"/>
                <w:color w:val="auto"/>
              </w:rPr>
              <w:t>SUPPLEMENTAL DISCLOSURES OF NON-CASH INVESTING AND</w:t>
            </w: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9"/>
        </w:trPr>
        <w:tc>
          <w:tcPr>
            <w:tcW w:w="7740" w:type="dxa"/>
            <w:vAlign w:val="bottom"/>
          </w:tcPr>
          <w:p>
            <w:pPr>
              <w:spacing w:after="0"/>
              <w:rPr>
                <w:sz w:val="20"/>
                <w:szCs w:val="20"/>
                <w:color w:val="auto"/>
              </w:rPr>
            </w:pPr>
            <w:r>
              <w:rPr>
                <w:rFonts w:ascii="Arial" w:cs="Arial" w:eastAsia="Arial" w:hAnsi="Arial"/>
                <w:sz w:val="11"/>
                <w:szCs w:val="11"/>
                <w:b w:val="1"/>
                <w:bCs w:val="1"/>
                <w:color w:val="auto"/>
              </w:rPr>
              <w:t>FINANCING INFORMATION:</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5"/>
        </w:trPr>
        <w:tc>
          <w:tcPr>
            <w:tcW w:w="7740" w:type="dxa"/>
            <w:vAlign w:val="bottom"/>
            <w:shd w:val="clear" w:color="auto" w:fill="CFF0FC"/>
          </w:tcPr>
          <w:p>
            <w:pPr>
              <w:ind w:left="200"/>
              <w:spacing w:after="0" w:line="125" w:lineRule="exact"/>
              <w:rPr>
                <w:sz w:val="20"/>
                <w:szCs w:val="20"/>
                <w:color w:val="auto"/>
              </w:rPr>
            </w:pPr>
            <w:r>
              <w:rPr>
                <w:rFonts w:ascii="Arial" w:cs="Arial" w:eastAsia="Arial" w:hAnsi="Arial"/>
                <w:sz w:val="11"/>
                <w:szCs w:val="11"/>
                <w:color w:val="auto"/>
              </w:rPr>
              <w:t>Beneficial conversion feature of preferred stock recorded as deemed dividend</w:t>
            </w:r>
          </w:p>
        </w:tc>
        <w:tc>
          <w:tcPr>
            <w:tcW w:w="1060" w:type="dxa"/>
            <w:vAlign w:val="bottom"/>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3,564</w:t>
            </w: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r>
      <w:tr>
        <w:trPr>
          <w:trHeight w:val="125"/>
        </w:trPr>
        <w:tc>
          <w:tcPr>
            <w:tcW w:w="7740" w:type="dxa"/>
            <w:vAlign w:val="bottom"/>
          </w:tcPr>
          <w:p>
            <w:pPr>
              <w:ind w:left="200"/>
              <w:spacing w:after="0" w:line="125" w:lineRule="exact"/>
              <w:rPr>
                <w:sz w:val="20"/>
                <w:szCs w:val="20"/>
                <w:color w:val="auto"/>
              </w:rPr>
            </w:pPr>
            <w:r>
              <w:rPr>
                <w:rFonts w:ascii="Arial" w:cs="Arial" w:eastAsia="Arial" w:hAnsi="Arial"/>
                <w:sz w:val="11"/>
                <w:szCs w:val="11"/>
                <w:color w:val="auto"/>
              </w:rPr>
              <w:t>Common stock issuance costs</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620</w:t>
            </w:r>
          </w:p>
        </w:tc>
        <w:tc>
          <w:tcPr>
            <w:tcW w:w="30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5"/>
        </w:trPr>
        <w:tc>
          <w:tcPr>
            <w:tcW w:w="7740" w:type="dxa"/>
            <w:vAlign w:val="bottom"/>
            <w:tcBorders>
              <w:bottom w:val="single" w:sz="8" w:color="CFF0FC"/>
            </w:tcBorders>
            <w:shd w:val="clear" w:color="auto" w:fill="CFF0FC"/>
          </w:tcPr>
          <w:p>
            <w:pPr>
              <w:ind w:left="200"/>
              <w:spacing w:after="0" w:line="125" w:lineRule="exact"/>
              <w:rPr>
                <w:sz w:val="20"/>
                <w:szCs w:val="20"/>
                <w:color w:val="auto"/>
              </w:rPr>
            </w:pPr>
            <w:r>
              <w:rPr>
                <w:rFonts w:ascii="Arial" w:cs="Arial" w:eastAsia="Arial" w:hAnsi="Arial"/>
                <w:sz w:val="11"/>
                <w:szCs w:val="11"/>
                <w:color w:val="auto"/>
              </w:rPr>
              <w:t>Conversion of Series A convertible preferred stock</w:t>
            </w:r>
          </w:p>
        </w:tc>
        <w:tc>
          <w:tcPr>
            <w:tcW w:w="1060" w:type="dxa"/>
            <w:vAlign w:val="bottom"/>
            <w:tcBorders>
              <w:bottom w:val="single" w:sz="8" w:color="auto"/>
            </w:tcBorders>
            <w:shd w:val="clear" w:color="auto" w:fill="CFF0FC"/>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660</w:t>
            </w:r>
          </w:p>
        </w:tc>
        <w:tc>
          <w:tcPr>
            <w:tcW w:w="30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20"/>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15"/>
          <w:szCs w:val="15"/>
          <w:b w:val="1"/>
          <w:bCs w:val="1"/>
          <w:color w:val="auto"/>
        </w:rPr>
        <w:t>VENUS CONCEPT INC.</w:t>
      </w:r>
    </w:p>
    <w:p>
      <w:pPr>
        <w:spacing w:after="0" w:line="22"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i w:val="1"/>
          <w:iCs w:val="1"/>
          <w:color w:val="auto"/>
        </w:rPr>
        <w:t>(Unaudited)</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i w:val="1"/>
          <w:iCs w:val="1"/>
          <w:color w:val="auto"/>
        </w:rPr>
        <w:t>(in thousands, unless otherwise noted, except for shares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Venus Concept Inc. (formerly Restoration Robotics,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enables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“Venus Concept,” refers to Venus Concept Inc. and its subsidiaries on a consolidated basis.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Going Concern</w:t>
      </w:r>
    </w:p>
    <w:p>
      <w:pPr>
        <w:spacing w:after="0" w:line="195"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The Company has had recurring net operating losses and negative cash flows from operations. As of June 30, 2020 and December 31, 2019, the Company had an accumulated deficit of $135,464 and $75,686, respectively. The Company was in compliance with all required covenants as of June 30, 2020 and as of December 31, 2019. The Company’s recurring losses from operations and negative cash flows raise substantial doubt about the Company’s ability to continue as a going concern within 12 months from the date that the condensed consolidated financial statements are issued. In addition, the coronavirus pandemic (“COVID-19” or “pandemic”) has had a significant negative impact on the Company’s condensed consolidated financial statements as of June 30, 2020 and for the six months then ended, and management expects the pandemic to continue to have a negative impact in the foreseeable future, the extent of which is uncertain and largely subject to whether the severity of the pandemic worsens, or duration lengthens. In the event that the COVID-19 pandemic and the economic disruptions it has caused continue for an extended period of time, the Company cannot assure that it will remain in compliance with the financial covenants in its credit facilities.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March 2020 the Company completed a private placement that raised net proceeds of $20,300, as described below. 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of shares of its common stock from time to time over the two-year term of the agreement. Any shares of common stock sold to Lincoln Park will be sold at a purchase price that is based on the prevailing prices of the common stock at the time of each sale. During the three months ended June 30, 2020, the Company raised net cash proceeds of $2,956 under the Equity Purchase Agreement as described below. Until the Company generates revenue at a level to support its cost structure, the Company expects to continue to incur substantial operating losses and net cash outflows from operating activities.</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Given the COVID-19 pandemic,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331"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07"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Merger of the Company with Venus Concept Ltd.</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On November 7, 2019, the Company (formerly Restoration Robotics, Inc.), completed its business combination with Venus Concept Ltd., in accordance with the terms of the Agreement and Plan of Merger and Reorganization, dated as of March 15, 2019, as amended from time to time (the “Merger Agreement”), by and among the Company, Venus Concept Ltd. and Radiant Merger Sub Ltd., a company organized under the laws of Israel and a direct, wholly-owned subsidiary of the Company (“Merger Sub”). Under the Merger Agreement, Merger Sub merged with and into Venus Concept Ltd., with Venus Concept Ltd. surviving as a wholly owned subsidiary of the Company (the “Merger”). Following the completion of the Merger, the Company changed its corporate name to Venus Concept Inc., and the business conducted by Venus Concept Ltd. became the primary business conducted by the Company.</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At the effective time of the Merger, each outstanding ordinary and preferred share of Venus Concept Ltd., other than shares held by Venus Concept Ltd. as treasury stock or held by the Company or Merger Sub, were converted into the right to receive 8.6506, or Exchange Ratio, validly issued, fully paid and non-assessable shares of common stock, and each outstanding stock option and warrant issued and outstanding by Venus Concept Ltd. was assumed by Restoration Robotics, Inc. and converted into and became an option or warrant (as applicable) exercisable for shares of common stock with the number and exercise price adjusted by the Exchange Ratio.</w:t>
      </w:r>
    </w:p>
    <w:p>
      <w:pPr>
        <w:spacing w:after="0" w:line="144" w:lineRule="exact"/>
        <w:rPr>
          <w:sz w:val="20"/>
          <w:szCs w:val="20"/>
          <w:color w:val="auto"/>
        </w:rPr>
      </w:pPr>
    </w:p>
    <w:p>
      <w:pPr>
        <w:ind w:right="40"/>
        <w:spacing w:after="0" w:line="358" w:lineRule="auto"/>
        <w:rPr>
          <w:sz w:val="20"/>
          <w:szCs w:val="20"/>
          <w:color w:val="auto"/>
        </w:rPr>
      </w:pPr>
      <w:r>
        <w:rPr>
          <w:rFonts w:ascii="Arial" w:cs="Arial" w:eastAsia="Arial" w:hAnsi="Arial"/>
          <w:sz w:val="13"/>
          <w:szCs w:val="13"/>
          <w:color w:val="auto"/>
        </w:rPr>
        <w:t>The Merger was accounted for as a reverse acquisition with Venus Concept Ltd. as the acquiring company for accounting purposes, and Restoration Robotics, Inc. as the legal acquirer. As a result, upon consummation of the Merger, the historical financial statements of Venus Concept Ltd. became the historical financial statements of Venus Concept Inc.</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2020 Private Placement</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On March 18, 2020, the Company entered into a securities purchase agreement (the “Securities Purchase Agreement”) with certain investors (collectively, the “Investors”) pursuant to which the Company issued and sold to the Investors an aggregate of 2,300,000 shares of common stock, par value $0.0001 per share, 660,000 shares of Series A Convertible Preferred Stock, par value $0.0001 per share (the “Series A Preferred Stock”), which are convertible into 6,600,000 shares of common stock upon receipt of stockholder approval, and warrants (the “2020 Private Placement Warrants”) to purchase up to 6,675,000 shares of common stock with an exercise price of $3.50 per share (the “2020 Private Placement”). The 2020 Private Placement Warrants have a five-year term and are exercisable beginning 181 days after their issue date. The 2020 Private Placement was completed on March 19, 2020. On June 16, 2020 the Company’s stockholders approved the issuance of 6,600,000 shares of common stock upon the conversion of the 660,000 shares of Series A Preferred Stock issued by the Company in connection with the 2020 Private Placement and all outstanding shares of Series A Preferred Stock were converted into 6,600,000 shares of common stock. The gross proceeds from the securities sold in the 2020 Private Placement was $22,250. The costs incurred with respect to the 2020 Private Placement totaled $1,950 and were recorded in the condensed consolidated statements of stockholders’ equity. The accounting effects of the 2020 Private Placement transaction and subsequent conversion of Series A Preferred Stock are discussed in Note 13.</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Purchase Agreement with Lincoln Park</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On June 16, 2020, the Company entered into the Equity Purchase Agreement with Lincoln Park, which provides that, upon the terms and subject to the conditions and limitations set forth therein, the Company may sell to Lincoln Park up to $31,000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42"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07" w:right="339" w:bottom="1440" w:gutter="0" w:footer="0" w:header="0"/>
        </w:sectPr>
      </w:pPr>
    </w:p>
    <w:bookmarkStart w:id="9" w:name="page10"/>
    <w:bookmarkEnd w:id="9"/>
    <w:p>
      <w:pPr>
        <w:ind w:right="100"/>
        <w:spacing w:after="0" w:line="278" w:lineRule="auto"/>
        <w:rPr>
          <w:sz w:val="20"/>
          <w:szCs w:val="20"/>
          <w:color w:val="auto"/>
        </w:rPr>
      </w:pPr>
      <w:r>
        <w:rPr>
          <w:rFonts w:ascii="Arial" w:cs="Arial" w:eastAsia="Arial" w:hAnsi="Arial"/>
          <w:sz w:val="14"/>
          <w:szCs w:val="14"/>
          <w:color w:val="auto"/>
        </w:rPr>
        <w:t>As of June 30, 2020, the Company issued and sold to Lincoln Park 1,013,060 shares of its common stock at an average price of $3.61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Gross proceeds from common stock issuances as of June 30, 2020 were $3,576, which were then reduced by the amortization of deferred issuance costs of $183. Gross proceeds in the amount of $3,576 reduced by the value of the Commitment Shares of $620 were recorded in the condensed consolidated statements of cash flows as net cash proceeds from issuance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 of subsidiary</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On May 4, 2020, the Company entered into a share sale and purchase agreement with Med Group Consult Ltd., an unrelated third party, and transferred its entire interest (51%) in Venus Concept Central Eastern Europe Ltd. for cash consideration of Euro (“EUR”) 473 which is equivalent to $531. The Company received the payment of EUR 110 on May 4, 2020 (which is equivalent to $124), the payment of EUR 60 on June 30, 2020 (which is equivalent to $67), and the remainder is payable to the Company by December 31, 2020, in five equal monthly installments. As Venus Concept Central Eastern Europe Ltd.’s operating revenue was about 1% of the Company’s revenue and the disposal did not constitute a strategic shift that will have a major effect on the Company’s operations and financial results, the results of operations for Venus Concept Central Eastern Europe Ltd. were not reported as discontinued operations under the guidance of Accounting Standards Codification (“ASC”) 205-20-45. The sale resulted in loss of approximately $385 recognized in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91"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condensed consolidated financial statements should be read in conjunction with the Company’s audited consolidated financial statements included in its Annual Report on Form 10-K for the year ended December 31, 2019, filed with the SEC on March 30, 2020. In the opinion of management, all adjustments (consisting only of normal recurring adjustments) considered necessary for fair presentation have been included. Operating results for the six months ended June 30, 2020 are not necessarily indicative of the results that may be expected for the year ending December 31, 2020. For further information, refer to the consolidated financial statements and footnotes thereto included in Item 8 of the Company’s most recent Annual Report on Form 10-K.</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June 30, 2020 and through the date of this report filing. The accounting matters assessed included, but were not limited to, the allowance for doubtful accounts and the carrying value of goodwill, intangible and long-lived assets. Based on the assessment performed, the Company recorded an additional allowance for doubtful accounts of $2,954 and $3,454 for the three and six months ended June 30, 2020, respectively. The Company recorded goodwill impairment of $27,450 (Note 7), which represents the entire value of goodwill, as of March 31, 2020.</w:t>
      </w:r>
    </w:p>
    <w:p>
      <w:pPr>
        <w:spacing w:after="0" w:line="164"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Restatement of Comparative Amounts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Venus Concept Ltd.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overall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60"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9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The following table summarizes the impact of the restatement adjustments on Venus Concept Ltd.’s previously reported condensed consolidated financial statements:</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0"/>
              </w:rPr>
              <w:t>As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110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9"/>
              </w:rPr>
              <w:t>previously</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rPr>
              <w:t>Adjustment</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reported</w:t>
            </w: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restated</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9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w:t>
            </w:r>
          </w:p>
        </w:tc>
        <w:tc>
          <w:tcPr>
            <w:tcW w:w="180" w:type="dxa"/>
            <w:vAlign w:val="bottom"/>
          </w:tcPr>
          <w:p>
            <w:pPr>
              <w:spacing w:after="0"/>
              <w:rPr>
                <w:sz w:val="11"/>
                <w:szCs w:val="11"/>
                <w:color w:val="auto"/>
              </w:rPr>
            </w:pPr>
          </w:p>
        </w:tc>
        <w:tc>
          <w:tcPr>
            <w:tcW w:w="920" w:type="dxa"/>
            <w:vAlign w:val="bottom"/>
            <w:tcBorders>
              <w:top w:val="single" w:sz="8" w:color="auto"/>
            </w:tcBorders>
          </w:tcPr>
          <w:p>
            <w:pPr>
              <w:jc w:val="right"/>
              <w:ind w:right="368"/>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w w:val="96"/>
              </w:rPr>
              <w:t>Consolidated balance sheet and consolidated statement of stockholders'</w:t>
            </w: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equity</w:t>
            </w: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January 1,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57,101</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(57,096)</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10,399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57,096</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67,495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March 31,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57,108</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(57,103)</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10,774</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57,103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67,877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June 30, 2019</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57,108</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(57,103)</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920" w:type="dxa"/>
            <w:vAlign w:val="bottom"/>
          </w:tcPr>
          <w:p>
            <w:pPr>
              <w:jc w:val="right"/>
              <w:spacing w:after="0"/>
              <w:rPr>
                <w:sz w:val="20"/>
                <w:szCs w:val="20"/>
                <w:color w:val="auto"/>
              </w:rPr>
            </w:pPr>
            <w:r>
              <w:rPr>
                <w:rFonts w:ascii="Arial" w:cs="Arial" w:eastAsia="Arial" w:hAnsi="Arial"/>
                <w:sz w:val="15"/>
                <w:szCs w:val="15"/>
                <w:color w:val="auto"/>
              </w:rPr>
              <w:t>11,818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57,103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68,921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191" w:lineRule="exact"/>
        <w:rPr>
          <w:sz w:val="20"/>
          <w:szCs w:val="20"/>
          <w:color w:val="auto"/>
        </w:rPr>
      </w:pPr>
    </w:p>
    <w:p>
      <w:pPr>
        <w:jc w:val="both"/>
        <w:ind w:right="80"/>
        <w:spacing w:after="0" w:line="265" w:lineRule="auto"/>
        <w:rPr>
          <w:sz w:val="20"/>
          <w:szCs w:val="20"/>
          <w:color w:val="auto"/>
        </w:rPr>
      </w:pPr>
      <w:r>
        <w:rPr>
          <w:rFonts w:ascii="Arial" w:cs="Arial" w:eastAsia="Arial" w:hAnsi="Arial"/>
          <w:sz w:val="15"/>
          <w:szCs w:val="15"/>
          <w:color w:val="auto"/>
        </w:rPr>
        <w:t>The accounting policies the Company follows are set forth in the Company’s audited consolidated financial statements for fiscal year 2019. For further information, refer to the consolidated financial statements and footnotes thereto included in Item 8 of the Company’s most recent Annual Report on Form 10-K. There have been no material changes to these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JOBS Act Accounting Election</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The Company has considered the impact of the novel coronavirus (COVID-19) on its condensed consolidated financial statements. COVID-19 has had a significant negative impact on the Company’s condensed consolidated financial statements as of June 30, 2020 and for the three and six months then ended, and management expects the pandemic to continue to have a negative impact in the foreseeable future, the extent of which is uncertain and largely subject to whether the severity of the pandemic worsens, or duration lengthens. These impacts could include, but may not be limited to, risks and uncertainty related to the ability of the Company’s sales and marketing personnel and distributors to access the Company’s customer base, disruptions to the Company’s global supply chain, reduced demand and/or suspension of operations by the Company’s subscription customers which could impact their ability to make monthly payments, or deferral of aesthetic or hair restoration procedures which would impact the Company’s revenues. Consequently, these have negatively impacted the Company’s results of operations, cash flows and its overall financial condition. In addition, the impact of COVID-19 may subject the Company to future risk of material intangible and long-lived assets impairments, increased reserves for uncollectible accounts, and adjustments for inventory and market volatility for items subject to fair value measurements.</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492" w:right="35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Recently Issued Accounting Standards Not Yet Adopted</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In April 2020,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Company is currently assessing the impact of applying this guidance to its lease arrangements as well as when to adopt this guidance.</w:t>
      </w:r>
    </w:p>
    <w:p>
      <w:pPr>
        <w:spacing w:after="0" w:line="18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The Company is currently assessing the impact of applying this guidance as well as when to adopt this guidance.</w:t>
      </w:r>
    </w:p>
    <w:p>
      <w:pPr>
        <w:spacing w:after="0" w:line="16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In February 2020, the FASB issued authoritative guidance (ASU 2020-02 – Financial Instruments – Credit Losses (Topic 326) and Leases (Topic 842)) that amends and clarifies Topic 326 and Topic 842. For Topic 326, the codification was updated to include the Securities and Exchange Commission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 of this guidance.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91"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 The net loss attributable to common stockholders’ is adjusted for the preferred stock deemed dividend related to the beneficial conversion feature for the periods in which the preferred stock is outstanding.</w:t>
      </w:r>
    </w:p>
    <w:p>
      <w:pPr>
        <w:spacing w:after="0" w:line="326"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515" w:right="339" w:bottom="1440" w:gutter="0" w:footer="0" w:header="0"/>
        </w:sectPr>
      </w:pPr>
    </w:p>
    <w:bookmarkStart w:id="12" w:name="page13"/>
    <w:bookmarkEnd w:id="12"/>
    <w:p>
      <w:pPr>
        <w:ind w:right="200"/>
        <w:spacing w:after="0" w:line="278" w:lineRule="auto"/>
        <w:rPr>
          <w:sz w:val="20"/>
          <w:szCs w:val="20"/>
          <w:color w:val="auto"/>
        </w:rPr>
      </w:pPr>
      <w:r>
        <w:rPr>
          <w:rFonts w:ascii="Arial" w:cs="Arial" w:eastAsia="Arial" w:hAnsi="Arial"/>
          <w:sz w:val="15"/>
          <w:szCs w:val="15"/>
          <w:color w:val="auto"/>
        </w:rPr>
        <w:t>The following table sets forth the computation of basic and diluted net loss and the weighted average number of shares used in computing basic and diluted net loss per share (in thousands, except per share data):</w:t>
      </w:r>
    </w:p>
    <w:p>
      <w:pPr>
        <w:spacing w:after="0" w:line="135"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Three Months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Six Months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Ended June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Ended June 30</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40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1"/>
              <w:spacing w:after="0" w:line="128"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7"/>
              <w:spacing w:after="0" w:line="128" w:lineRule="exact"/>
              <w:rPr>
                <w:sz w:val="20"/>
                <w:szCs w:val="20"/>
                <w:color w:val="auto"/>
              </w:rPr>
            </w:pPr>
            <w:r>
              <w:rPr>
                <w:rFonts w:ascii="Arial" w:cs="Arial" w:eastAsia="Arial" w:hAnsi="Arial"/>
                <w:sz w:val="12"/>
                <w:szCs w:val="12"/>
                <w:b w:val="1"/>
                <w:bCs w:val="1"/>
                <w:color w:val="auto"/>
                <w:w w:val="89"/>
              </w:rPr>
              <w:t>2019</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1"/>
              <w:spacing w:after="0" w:line="12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47"/>
              <w:spacing w:after="0" w:line="128" w:lineRule="exact"/>
              <w:rPr>
                <w:sz w:val="20"/>
                <w:szCs w:val="20"/>
                <w:color w:val="auto"/>
              </w:rPr>
            </w:pPr>
            <w:r>
              <w:rPr>
                <w:rFonts w:ascii="Arial" w:cs="Arial" w:eastAsia="Arial" w:hAnsi="Arial"/>
                <w:sz w:val="12"/>
                <w:szCs w:val="12"/>
                <w:b w:val="1"/>
                <w:bCs w:val="1"/>
                <w:color w:val="auto"/>
                <w:w w:val="82"/>
              </w:rPr>
              <w:t>2019</w:t>
            </w:r>
          </w:p>
        </w:tc>
        <w:tc>
          <w:tcPr>
            <w:tcW w:w="100" w:type="dxa"/>
            <w:vAlign w:val="bottom"/>
            <w:tcBorders>
              <w:bottom w:val="single" w:sz="8" w:color="CFF0FC"/>
            </w:tcBorders>
          </w:tcPr>
          <w:p>
            <w:pPr>
              <w:spacing w:after="0"/>
              <w:rPr>
                <w:sz w:val="11"/>
                <w:szCs w:val="1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Numerator:</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2"/>
        </w:trPr>
        <w:tc>
          <w:tcPr>
            <w:tcW w:w="4060" w:type="dxa"/>
            <w:vAlign w:val="bottom"/>
          </w:tcPr>
          <w:p>
            <w:pPr>
              <w:ind w:left="200"/>
              <w:spacing w:after="0"/>
              <w:rPr>
                <w:sz w:val="20"/>
                <w:szCs w:val="20"/>
                <w:color w:val="auto"/>
              </w:rPr>
            </w:pPr>
            <w:r>
              <w:rPr>
                <w:rFonts w:ascii="Arial" w:cs="Arial" w:eastAsia="Arial" w:hAnsi="Arial"/>
                <w:sz w:val="15"/>
                <w:szCs w:val="15"/>
                <w:color w:val="auto"/>
              </w:rPr>
              <w:t>Net loss</w:t>
            </w: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(9,765)</w:t>
            </w:r>
          </w:p>
        </w:tc>
        <w:tc>
          <w:tcPr>
            <w:tcW w:w="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(5,478)</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(60,468)</w:t>
            </w: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(10,583)</w:t>
            </w:r>
          </w:p>
        </w:tc>
      </w:tr>
      <w:tr>
        <w:trPr>
          <w:trHeight w:val="194"/>
        </w:trPr>
        <w:tc>
          <w:tcPr>
            <w:tcW w:w="40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loss allocated to stockholders of the Company</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(13,152)</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(5,910)</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(63,342)</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(11,183)</w:t>
            </w:r>
          </w:p>
        </w:tc>
      </w:tr>
      <w:tr>
        <w:trPr>
          <w:trHeight w:val="184"/>
        </w:trPr>
        <w:tc>
          <w:tcPr>
            <w:tcW w:w="4060" w:type="dxa"/>
            <w:vAlign w:val="bottom"/>
          </w:tcPr>
          <w:p>
            <w:pPr>
              <w:spacing w:after="0"/>
              <w:rPr>
                <w:sz w:val="20"/>
                <w:szCs w:val="20"/>
                <w:color w:val="auto"/>
              </w:rPr>
            </w:pPr>
            <w:r>
              <w:rPr>
                <w:rFonts w:ascii="Arial" w:cs="Arial" w:eastAsia="Arial" w:hAnsi="Arial"/>
                <w:sz w:val="15"/>
                <w:szCs w:val="15"/>
                <w:color w:val="auto"/>
              </w:rPr>
              <w:t>Denominator:</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w w:val="95"/>
              </w:rPr>
              <w:t>Weighted-average shares of common stock outstanding used in</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computing net loss per share, basic and diluted</w:t>
            </w:r>
          </w:p>
        </w:tc>
        <w:tc>
          <w:tcPr>
            <w:tcW w:w="2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33,315</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4,776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31,564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4,776</w:t>
            </w:r>
          </w:p>
        </w:tc>
        <w:tc>
          <w:tcPr>
            <w:tcW w:w="100" w:type="dxa"/>
            <w:vAlign w:val="bottom"/>
            <w:shd w:val="clear" w:color="auto" w:fill="CFF0FC"/>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5"/>
                <w:szCs w:val="15"/>
                <w:color w:val="auto"/>
              </w:rPr>
              <w:t>Net loss per share: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40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Basic and diluted</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(0.39)</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(1.24)</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(2.01)</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(2.34)</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Due to the net loss, all the outstanding shares of common stock equivalents were excluded from the calculation of diluted net loss per share attributable to common stockholders because including them would have been antidilutive:</w:t>
      </w: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5440" w:type="dxa"/>
            <w:vAlign w:val="bottom"/>
          </w:tcPr>
          <w:p>
            <w:pPr>
              <w:spacing w:after="0"/>
              <w:rPr>
                <w:sz w:val="12"/>
                <w:szCs w:val="12"/>
                <w:color w:val="auto"/>
              </w:rPr>
            </w:pPr>
          </w:p>
        </w:tc>
        <w:tc>
          <w:tcPr>
            <w:tcW w:w="1160" w:type="dxa"/>
            <w:vAlign w:val="bottom"/>
          </w:tcPr>
          <w:p>
            <w:pPr>
              <w:jc w:val="right"/>
              <w:ind w:right="329"/>
              <w:spacing w:after="0"/>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2"/>
                <w:szCs w:val="12"/>
                <w:color w:val="auto"/>
              </w:rPr>
            </w:pP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5"/>
        </w:trPr>
        <w:tc>
          <w:tcPr>
            <w:tcW w:w="5440" w:type="dxa"/>
            <w:vAlign w:val="bottom"/>
            <w:vMerge w:val="restart"/>
          </w:tcPr>
          <w:p>
            <w:pPr>
              <w:spacing w:after="0"/>
              <w:rPr>
                <w:sz w:val="20"/>
                <w:szCs w:val="20"/>
                <w:color w:val="auto"/>
              </w:rPr>
            </w:pPr>
            <w:r>
              <w:rPr>
                <w:rFonts w:ascii="Arial" w:cs="Arial" w:eastAsia="Arial" w:hAnsi="Arial"/>
                <w:sz w:val="15"/>
                <w:szCs w:val="15"/>
                <w:color w:val="auto"/>
              </w:rPr>
              <w:t>Options to purchase common stock</w:t>
            </w: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40" w:type="dxa"/>
            <w:vAlign w:val="bottom"/>
            <w:vMerge w:val="continue"/>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2,808,235</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3,269,926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Preferred stock</w:t>
            </w:r>
          </w:p>
        </w:tc>
        <w:tc>
          <w:tcPr>
            <w:tcW w:w="116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9,216,413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Arial" w:cs="Arial" w:eastAsia="Arial" w:hAnsi="Arial"/>
                <w:sz w:val="15"/>
                <w:szCs w:val="15"/>
                <w:color w:val="auto"/>
              </w:rPr>
              <w:t>Warrants for common stock</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10,665,067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179,932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Total potential dilutive shares</w:t>
            </w:r>
          </w:p>
        </w:tc>
        <w:tc>
          <w:tcPr>
            <w:tcW w:w="1160" w:type="dxa"/>
            <w:vAlign w:val="bottom"/>
            <w:tcBorders>
              <w:top w:val="single" w:sz="8" w:color="auto"/>
              <w:bottom w:val="single" w:sz="8" w:color="auto"/>
              <w:right w:val="single" w:sz="8" w:color="CFF0FC"/>
            </w:tcBorders>
            <w:shd w:val="clear" w:color="auto" w:fill="CFF0FC"/>
          </w:tcPr>
          <w:p>
            <w:pPr>
              <w:jc w:val="right"/>
              <w:ind w:right="9"/>
              <w:spacing w:after="0"/>
              <w:rPr>
                <w:sz w:val="20"/>
                <w:szCs w:val="20"/>
                <w:color w:val="auto"/>
              </w:rPr>
            </w:pPr>
            <w:r>
              <w:rPr>
                <w:rFonts w:ascii="Arial" w:cs="Arial" w:eastAsia="Arial" w:hAnsi="Arial"/>
                <w:sz w:val="15"/>
                <w:szCs w:val="15"/>
                <w:color w:val="auto"/>
              </w:rPr>
              <w:t>13,473,302</w:t>
            </w: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12,666,271</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financial liabilities are initially recognized at fair value when the Company becomes a party to the contractual provision of the financial instrument.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Subsequently, all financial instruments are measured at amortized cost using the effective interest method.</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financial instruments of the Company consist of cash and cash equivalents, restricted cash, accounts receivable, long-term receivables, line of credit, trade payables, government assistance loans, accrued expenses and other current liabilities, earn-out liability, other long-term liabilities and long-term debt. In view of their nature, the fair value of most of the financial instruments approximates their carrying amounts.</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Quoted prices in active markets for identical assets or liabilities.</w:t>
      </w:r>
    </w:p>
    <w:p>
      <w:pPr>
        <w:spacing w:after="0" w:line="191"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 Inputs other than Level 1 that are observable, either directly or indirectly, such as quoted prices in markets that are not active, or other inputs that are observable or can be</w:t>
      </w:r>
      <w:r>
        <w:rPr>
          <w:rFonts w:ascii="Arial" w:cs="Arial" w:eastAsia="Arial" w:hAnsi="Arial"/>
          <w:sz w:val="15"/>
          <w:szCs w:val="15"/>
          <w:i w:val="1"/>
          <w:iCs w:val="1"/>
          <w:color w:val="auto"/>
        </w:rPr>
        <w:t xml:space="preserve"> </w:t>
      </w:r>
      <w:r>
        <w:rPr>
          <w:rFonts w:ascii="Arial" w:cs="Arial" w:eastAsia="Arial" w:hAnsi="Arial"/>
          <w:sz w:val="15"/>
          <w:szCs w:val="15"/>
          <w:color w:val="auto"/>
        </w:rPr>
        <w:t>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Unobservable inputs that are supported by little or no market activity and that are significant to the fair value of the assets or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categorization of a financial instrument within the valuation hierarchy is based on the lowest level of input that is significant to the fair value measurement.</w:t>
      </w:r>
    </w:p>
    <w:p>
      <w:pPr>
        <w:spacing w:after="0" w:line="191"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11" w:right="319" w:bottom="1440" w:gutter="0" w:footer="0" w:header="0"/>
        </w:sectPr>
      </w:pPr>
    </w:p>
    <w:bookmarkStart w:id="13" w:name="page14"/>
    <w:bookmarkEnd w:id="13"/>
    <w:p>
      <w:pPr>
        <w:jc w:val="both"/>
        <w:ind w:left="360" w:right="440"/>
        <w:spacing w:after="0" w:line="265" w:lineRule="auto"/>
        <w:rPr>
          <w:sz w:val="20"/>
          <w:szCs w:val="20"/>
          <w:color w:val="auto"/>
        </w:rPr>
      </w:pPr>
      <w:r>
        <w:rPr>
          <w:rFonts w:ascii="Arial" w:cs="Arial" w:eastAsia="Arial" w:hAnsi="Arial"/>
          <w:sz w:val="15"/>
          <w:szCs w:val="15"/>
          <w:color w:val="auto"/>
        </w:rPr>
        <w:t>The Company classifies its restricted cash and guaranteed investment certificates within Level 2 as it uses alternative pricing sources and models utilizing market observable inputs. Contingent earn-out consideration is classified within Level 3. The following tables set forth the fair value of the Company’s Level 2 and Level 3 financial assets and liabilities within the fair value hierarchy:</w:t>
      </w:r>
    </w:p>
    <w:p>
      <w:pPr>
        <w:spacing w:after="0" w:line="158"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9"/>
          </w:tcPr>
          <w:p>
            <w:pPr>
              <w:jc w:val="center"/>
              <w:ind w:left="454"/>
              <w:spacing w:after="0"/>
              <w:rPr>
                <w:sz w:val="20"/>
                <w:szCs w:val="20"/>
                <w:color w:val="auto"/>
              </w:rPr>
            </w:pPr>
            <w:r>
              <w:rPr>
                <w:rFonts w:ascii="Arial" w:cs="Arial" w:eastAsia="Arial" w:hAnsi="Arial"/>
                <w:sz w:val="12"/>
                <w:szCs w:val="12"/>
                <w:b w:val="1"/>
                <w:bCs w:val="1"/>
                <w:color w:val="auto"/>
                <w:w w:val="90"/>
              </w:rPr>
              <w:t>Fair Value Measurements as of June 30, 2020</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54"/>
              <w:spacing w:after="0" w:line="108" w:lineRule="exact"/>
              <w:rPr>
                <w:sz w:val="20"/>
                <w:szCs w:val="20"/>
                <w:color w:val="auto"/>
              </w:rPr>
            </w:pPr>
            <w:r>
              <w:rPr>
                <w:rFonts w:ascii="Arial" w:cs="Arial" w:eastAsia="Arial" w:hAnsi="Arial"/>
                <w:sz w:val="12"/>
                <w:szCs w:val="12"/>
                <w:b w:val="1"/>
                <w:bCs w:val="1"/>
                <w:color w:val="auto"/>
                <w:w w:val="90"/>
              </w:rPr>
              <w:t>Quoted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91"/>
              </w:rPr>
              <w:t>Prices 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94"/>
              </w:rPr>
              <w:t>Active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92"/>
              </w:rPr>
              <w:t>Markets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1"/>
              </w:rPr>
              <w:t>Significant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81"/>
              </w:rPr>
              <w:t>using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2"/>
              <w:spacing w:after="0" w:line="12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94"/>
              </w:rPr>
              <w:t>Identical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2"/>
              <w:spacing w:after="0" w:line="125" w:lineRule="exact"/>
              <w:rPr>
                <w:sz w:val="20"/>
                <w:szCs w:val="20"/>
                <w:color w:val="auto"/>
              </w:rPr>
            </w:pPr>
            <w:r>
              <w:rPr>
                <w:rFonts w:ascii="Arial" w:cs="Arial" w:eastAsia="Arial" w:hAnsi="Arial"/>
                <w:sz w:val="12"/>
                <w:szCs w:val="12"/>
                <w:b w:val="1"/>
                <w:bCs w:val="1"/>
                <w:color w:val="auto"/>
                <w:w w:val="88"/>
              </w:rPr>
              <w:t>Observable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1"/>
              <w:spacing w:after="0" w:line="125" w:lineRule="exact"/>
              <w:rPr>
                <w:sz w:val="20"/>
                <w:szCs w:val="20"/>
                <w:color w:val="auto"/>
              </w:rPr>
            </w:pPr>
            <w:r>
              <w:rPr>
                <w:rFonts w:ascii="Arial" w:cs="Arial" w:eastAsia="Arial" w:hAnsi="Arial"/>
                <w:sz w:val="12"/>
                <w:szCs w:val="12"/>
                <w:b w:val="1"/>
                <w:bCs w:val="1"/>
                <w:color w:val="auto"/>
                <w:w w:val="90"/>
              </w:rPr>
              <w:t>Unobservable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4"/>
              <w:spacing w:after="0" w:line="125" w:lineRule="exact"/>
              <w:rPr>
                <w:sz w:val="20"/>
                <w:szCs w:val="20"/>
                <w:color w:val="auto"/>
              </w:rPr>
            </w:pPr>
            <w:r>
              <w:rPr>
                <w:rFonts w:ascii="Arial" w:cs="Arial" w:eastAsia="Arial" w:hAnsi="Arial"/>
                <w:sz w:val="12"/>
                <w:szCs w:val="12"/>
                <w:b w:val="1"/>
                <w:bCs w:val="1"/>
                <w:color w:val="auto"/>
                <w:w w:val="86"/>
              </w:rPr>
              <w:t>Assets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2"/>
              <w:spacing w:after="0" w:line="125" w:lineRule="exact"/>
              <w:rPr>
                <w:sz w:val="20"/>
                <w:szCs w:val="20"/>
                <w:color w:val="auto"/>
              </w:rPr>
            </w:pPr>
            <w:r>
              <w:rPr>
                <w:rFonts w:ascii="Arial" w:cs="Arial" w:eastAsia="Arial" w:hAnsi="Arial"/>
                <w:sz w:val="12"/>
                <w:szCs w:val="12"/>
                <w:b w:val="1"/>
                <w:bCs w:val="1"/>
                <w:color w:val="auto"/>
                <w:w w:val="94"/>
              </w:rPr>
              <w:t>Inputs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51"/>
              <w:spacing w:after="0" w:line="125" w:lineRule="exact"/>
              <w:rPr>
                <w:sz w:val="20"/>
                <w:szCs w:val="20"/>
                <w:color w:val="auto"/>
              </w:rPr>
            </w:pPr>
            <w:r>
              <w:rPr>
                <w:rFonts w:ascii="Arial" w:cs="Arial" w:eastAsia="Arial" w:hAnsi="Arial"/>
                <w:sz w:val="12"/>
                <w:szCs w:val="12"/>
                <w:b w:val="1"/>
                <w:bCs w:val="1"/>
                <w:color w:val="auto"/>
                <w:w w:val="94"/>
              </w:rPr>
              <w:t>Inputs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4"/>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2"/>
              <w:spacing w:after="0"/>
              <w:rPr>
                <w:sz w:val="20"/>
                <w:szCs w:val="20"/>
                <w:color w:val="auto"/>
              </w:rPr>
            </w:pPr>
            <w:r>
              <w:rPr>
                <w:rFonts w:ascii="Arial" w:cs="Arial" w:eastAsia="Arial" w:hAnsi="Arial"/>
                <w:sz w:val="12"/>
                <w:szCs w:val="12"/>
                <w:b w:val="1"/>
                <w:bCs w:val="1"/>
                <w:color w:val="auto"/>
                <w:w w:val="94"/>
              </w:rPr>
              <w:t>(Level 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51"/>
              <w:spacing w:after="0"/>
              <w:rPr>
                <w:sz w:val="20"/>
                <w:szCs w:val="20"/>
                <w:color w:val="auto"/>
              </w:rPr>
            </w:pPr>
            <w:r>
              <w:rPr>
                <w:rFonts w:ascii="Arial" w:cs="Arial" w:eastAsia="Arial" w:hAnsi="Arial"/>
                <w:sz w:val="12"/>
                <w:szCs w:val="12"/>
                <w:b w:val="1"/>
                <w:bCs w:val="1"/>
                <w:color w:val="auto"/>
                <w:w w:val="94"/>
              </w:rPr>
              <w:t>(Level 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80" w:type="dxa"/>
            <w:vAlign w:val="bottom"/>
            <w:tcBorders>
              <w:top w:val="single" w:sz="8" w:color="CFF0FC"/>
              <w:right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rPr>
              <w:t>Assets</w:t>
            </w: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Arial" w:cs="Arial" w:eastAsia="Arial" w:hAnsi="Arial"/>
                <w:sz w:val="15"/>
                <w:szCs w:val="15"/>
                <w:color w:val="auto"/>
              </w:rPr>
              <w:t>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w:t>
            </w:r>
          </w:p>
        </w:tc>
        <w:tc>
          <w:tcPr>
            <w:tcW w:w="200" w:type="dxa"/>
            <w:vAlign w:val="bottom"/>
            <w:gridSpan w:val="2"/>
          </w:tcPr>
          <w:p>
            <w:pPr>
              <w:jc w:val="center"/>
              <w:ind w:lef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CFF0FC"/>
            </w:tcBorders>
            <w:gridSpan w:val="2"/>
            <w:vMerge w:val="restart"/>
            <w:shd w:val="clear" w:color="auto" w:fill="CFF0FC"/>
          </w:tcPr>
          <w:p>
            <w:pPr>
              <w:spacing w:after="0"/>
              <w:rPr>
                <w:sz w:val="20"/>
                <w:szCs w:val="20"/>
                <w:color w:val="auto"/>
              </w:rPr>
            </w:pPr>
            <w:r>
              <w:rPr>
                <w:rFonts w:ascii="Arial" w:cs="Arial" w:eastAsia="Arial" w:hAnsi="Arial"/>
                <w:sz w:val="15"/>
                <w:szCs w:val="15"/>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8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ind w:left="520"/>
              <w:spacing w:after="0"/>
              <w:rPr>
                <w:sz w:val="20"/>
                <w:szCs w:val="20"/>
                <w:color w:val="auto"/>
              </w:rPr>
            </w:pPr>
            <w:r>
              <w:rPr>
                <w:rFonts w:ascii="Arial" w:cs="Arial" w:eastAsia="Arial" w:hAnsi="Arial"/>
                <w:sz w:val="15"/>
                <w:szCs w:val="15"/>
                <w:color w:val="auto"/>
                <w:w w:val="93"/>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200" w:type="dxa"/>
            <w:vAlign w:val="bottom"/>
            <w:gridSpan w:val="2"/>
            <w:shd w:val="clear" w:color="auto" w:fill="CFF0FC"/>
          </w:tcPr>
          <w:p>
            <w:pPr>
              <w:jc w:val="center"/>
              <w:ind w:lef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5"/>
                <w:szCs w:val="15"/>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426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5"/>
                <w:szCs w:val="15"/>
                <w:color w:val="auto"/>
              </w:rPr>
              <w:t>Contingent earn-out consideration</w:t>
            </w:r>
          </w:p>
        </w:tc>
        <w:tc>
          <w:tcPr>
            <w:tcW w:w="1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right w:val="single" w:sz="8" w:color="CFF0FC"/>
            </w:tcBorders>
            <w:shd w:val="clear" w:color="auto" w:fill="CFF0FC"/>
          </w:tcPr>
          <w:p>
            <w:pPr>
              <w:ind w:left="520"/>
              <w:spacing w:after="0"/>
              <w:rPr>
                <w:sz w:val="20"/>
                <w:szCs w:val="20"/>
                <w:color w:val="auto"/>
              </w:rPr>
            </w:pPr>
            <w:r>
              <w:rPr>
                <w:rFonts w:ascii="Arial" w:cs="Arial" w:eastAsia="Arial" w:hAnsi="Arial"/>
                <w:sz w:val="15"/>
                <w:szCs w:val="15"/>
                <w:color w:val="auto"/>
                <w:w w:val="93"/>
              </w:rPr>
              <w:t>—</w:t>
            </w: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743</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center"/>
              <w:ind w:lef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center"/>
              <w:ind w:left="374"/>
              <w:spacing w:after="0"/>
              <w:rPr>
                <w:sz w:val="20"/>
                <w:szCs w:val="20"/>
                <w:color w:val="auto"/>
              </w:rPr>
            </w:pPr>
            <w:r>
              <w:rPr>
                <w:rFonts w:ascii="Arial" w:cs="Arial" w:eastAsia="Arial" w:hAnsi="Arial"/>
                <w:sz w:val="12"/>
                <w:szCs w:val="12"/>
                <w:b w:val="1"/>
                <w:bCs w:val="1"/>
                <w:color w:val="auto"/>
                <w:w w:val="91"/>
              </w:rPr>
              <w:t>Fair Value Measurements as of December 31, 2019</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134"/>
              <w:spacing w:after="0" w:line="108" w:lineRule="exact"/>
              <w:rPr>
                <w:sz w:val="20"/>
                <w:szCs w:val="20"/>
                <w:color w:val="auto"/>
              </w:rPr>
            </w:pPr>
            <w:r>
              <w:rPr>
                <w:rFonts w:ascii="Arial" w:cs="Arial" w:eastAsia="Arial" w:hAnsi="Arial"/>
                <w:sz w:val="12"/>
                <w:szCs w:val="12"/>
                <w:b w:val="1"/>
                <w:bCs w:val="1"/>
                <w:color w:val="auto"/>
                <w:w w:val="90"/>
              </w:rPr>
              <w:t>Quoted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14"/>
              <w:spacing w:after="0" w:line="125" w:lineRule="exact"/>
              <w:rPr>
                <w:sz w:val="20"/>
                <w:szCs w:val="20"/>
                <w:color w:val="auto"/>
              </w:rPr>
            </w:pPr>
            <w:r>
              <w:rPr>
                <w:rFonts w:ascii="Arial" w:cs="Arial" w:eastAsia="Arial" w:hAnsi="Arial"/>
                <w:sz w:val="12"/>
                <w:szCs w:val="12"/>
                <w:b w:val="1"/>
                <w:bCs w:val="1"/>
                <w:color w:val="auto"/>
                <w:w w:val="87"/>
              </w:rPr>
              <w:t>Prices 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14"/>
              <w:spacing w:after="0" w:line="125" w:lineRule="exact"/>
              <w:rPr>
                <w:sz w:val="20"/>
                <w:szCs w:val="20"/>
                <w:color w:val="auto"/>
              </w:rPr>
            </w:pPr>
            <w:r>
              <w:rPr>
                <w:rFonts w:ascii="Arial" w:cs="Arial" w:eastAsia="Arial" w:hAnsi="Arial"/>
                <w:sz w:val="12"/>
                <w:szCs w:val="12"/>
                <w:b w:val="1"/>
                <w:bCs w:val="1"/>
                <w:color w:val="auto"/>
                <w:w w:val="88"/>
              </w:rPr>
              <w:t>Active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14"/>
              <w:spacing w:after="0" w:line="125" w:lineRule="exact"/>
              <w:rPr>
                <w:sz w:val="20"/>
                <w:szCs w:val="20"/>
                <w:color w:val="auto"/>
              </w:rPr>
            </w:pPr>
            <w:r>
              <w:rPr>
                <w:rFonts w:ascii="Arial" w:cs="Arial" w:eastAsia="Arial" w:hAnsi="Arial"/>
                <w:sz w:val="12"/>
                <w:szCs w:val="12"/>
                <w:b w:val="1"/>
                <w:bCs w:val="1"/>
                <w:color w:val="auto"/>
                <w:w w:val="96"/>
              </w:rPr>
              <w:t>Markets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center"/>
              <w:ind w:right="111"/>
              <w:spacing w:after="0"/>
              <w:rPr>
                <w:sz w:val="20"/>
                <w:szCs w:val="20"/>
                <w:color w:val="auto"/>
              </w:rPr>
            </w:pPr>
            <w:r>
              <w:rPr>
                <w:rFonts w:ascii="Arial" w:cs="Arial" w:eastAsia="Arial" w:hAnsi="Arial"/>
                <w:sz w:val="12"/>
                <w:szCs w:val="12"/>
                <w:b w:val="1"/>
                <w:bCs w:val="1"/>
                <w:color w:val="auto"/>
                <w:w w:val="91"/>
              </w:rPr>
              <w:t>Significant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14"/>
              <w:spacing w:after="0" w:line="125" w:lineRule="exact"/>
              <w:rPr>
                <w:sz w:val="20"/>
                <w:szCs w:val="20"/>
                <w:color w:val="auto"/>
              </w:rPr>
            </w:pPr>
            <w:r>
              <w:rPr>
                <w:rFonts w:ascii="Arial" w:cs="Arial" w:eastAsia="Arial" w:hAnsi="Arial"/>
                <w:sz w:val="12"/>
                <w:szCs w:val="12"/>
                <w:b w:val="1"/>
                <w:bCs w:val="1"/>
                <w:color w:val="auto"/>
                <w:w w:val="87"/>
              </w:rPr>
              <w:t>using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2"/>
              <w:spacing w:after="0" w:line="12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34"/>
              <w:spacing w:after="0" w:line="125" w:lineRule="exact"/>
              <w:rPr>
                <w:sz w:val="20"/>
                <w:szCs w:val="20"/>
                <w:color w:val="auto"/>
              </w:rPr>
            </w:pPr>
            <w:r>
              <w:rPr>
                <w:rFonts w:ascii="Arial" w:cs="Arial" w:eastAsia="Arial" w:hAnsi="Arial"/>
                <w:sz w:val="12"/>
                <w:szCs w:val="12"/>
                <w:b w:val="1"/>
                <w:bCs w:val="1"/>
                <w:color w:val="auto"/>
                <w:w w:val="94"/>
              </w:rPr>
              <w:t>Identical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2"/>
              <w:spacing w:after="0" w:line="125" w:lineRule="exact"/>
              <w:rPr>
                <w:sz w:val="20"/>
                <w:szCs w:val="20"/>
                <w:color w:val="auto"/>
              </w:rPr>
            </w:pPr>
            <w:r>
              <w:rPr>
                <w:rFonts w:ascii="Arial" w:cs="Arial" w:eastAsia="Arial" w:hAnsi="Arial"/>
                <w:sz w:val="12"/>
                <w:szCs w:val="12"/>
                <w:b w:val="1"/>
                <w:bCs w:val="1"/>
                <w:color w:val="auto"/>
                <w:w w:val="88"/>
              </w:rPr>
              <w:t>Observable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11"/>
              <w:spacing w:after="0" w:line="125" w:lineRule="exact"/>
              <w:rPr>
                <w:sz w:val="20"/>
                <w:szCs w:val="20"/>
                <w:color w:val="auto"/>
              </w:rPr>
            </w:pPr>
            <w:r>
              <w:rPr>
                <w:rFonts w:ascii="Arial" w:cs="Arial" w:eastAsia="Arial" w:hAnsi="Arial"/>
                <w:sz w:val="12"/>
                <w:szCs w:val="12"/>
                <w:b w:val="1"/>
                <w:bCs w:val="1"/>
                <w:color w:val="auto"/>
                <w:w w:val="90"/>
              </w:rPr>
              <w:t>Unobservable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14"/>
              <w:spacing w:after="0" w:line="125" w:lineRule="exact"/>
              <w:rPr>
                <w:sz w:val="20"/>
                <w:szCs w:val="20"/>
                <w:color w:val="auto"/>
              </w:rPr>
            </w:pPr>
            <w:r>
              <w:rPr>
                <w:rFonts w:ascii="Arial" w:cs="Arial" w:eastAsia="Arial" w:hAnsi="Arial"/>
                <w:sz w:val="12"/>
                <w:szCs w:val="12"/>
                <w:b w:val="1"/>
                <w:bCs w:val="1"/>
                <w:color w:val="auto"/>
                <w:w w:val="81"/>
              </w:rPr>
              <w:t>Assets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2"/>
              <w:spacing w:after="0" w:line="125" w:lineRule="exact"/>
              <w:rPr>
                <w:sz w:val="20"/>
                <w:szCs w:val="20"/>
                <w:color w:val="auto"/>
              </w:rPr>
            </w:pPr>
            <w:r>
              <w:rPr>
                <w:rFonts w:ascii="Arial" w:cs="Arial" w:eastAsia="Arial" w:hAnsi="Arial"/>
                <w:sz w:val="12"/>
                <w:szCs w:val="12"/>
                <w:b w:val="1"/>
                <w:bCs w:val="1"/>
                <w:color w:val="auto"/>
                <w:w w:val="94"/>
              </w:rPr>
              <w:t>Inputs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91"/>
              <w:spacing w:after="0" w:line="125" w:lineRule="exact"/>
              <w:rPr>
                <w:sz w:val="20"/>
                <w:szCs w:val="20"/>
                <w:color w:val="auto"/>
              </w:rPr>
            </w:pPr>
            <w:r>
              <w:rPr>
                <w:rFonts w:ascii="Arial" w:cs="Arial" w:eastAsia="Arial" w:hAnsi="Arial"/>
                <w:sz w:val="12"/>
                <w:szCs w:val="12"/>
                <w:b w:val="1"/>
                <w:bCs w:val="1"/>
                <w:color w:val="auto"/>
                <w:w w:val="94"/>
              </w:rPr>
              <w:t>Inputs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34"/>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92"/>
              <w:spacing w:after="0"/>
              <w:rPr>
                <w:sz w:val="20"/>
                <w:szCs w:val="20"/>
                <w:color w:val="auto"/>
              </w:rPr>
            </w:pPr>
            <w:r>
              <w:rPr>
                <w:rFonts w:ascii="Arial" w:cs="Arial" w:eastAsia="Arial" w:hAnsi="Arial"/>
                <w:sz w:val="12"/>
                <w:szCs w:val="12"/>
                <w:b w:val="1"/>
                <w:bCs w:val="1"/>
                <w:color w:val="auto"/>
                <w:w w:val="94"/>
              </w:rPr>
              <w:t>(Level 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11"/>
              <w:spacing w:after="0"/>
              <w:rPr>
                <w:sz w:val="20"/>
                <w:szCs w:val="20"/>
                <w:color w:val="auto"/>
              </w:rPr>
            </w:pPr>
            <w:r>
              <w:rPr>
                <w:rFonts w:ascii="Arial" w:cs="Arial" w:eastAsia="Arial" w:hAnsi="Arial"/>
                <w:sz w:val="12"/>
                <w:szCs w:val="12"/>
                <w:b w:val="1"/>
                <w:bCs w:val="1"/>
                <w:color w:val="auto"/>
                <w:w w:val="90"/>
              </w:rPr>
              <w:t>(Level 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6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Assets</w:t>
            </w: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Pr>
          <w:p>
            <w:pPr>
              <w:ind w:left="220"/>
              <w:spacing w:after="0"/>
              <w:rPr>
                <w:sz w:val="20"/>
                <w:szCs w:val="20"/>
                <w:color w:val="auto"/>
              </w:rPr>
            </w:pPr>
            <w:r>
              <w:rPr>
                <w:rFonts w:ascii="Arial" w:cs="Arial" w:eastAsia="Arial" w:hAnsi="Arial"/>
                <w:sz w:val="15"/>
                <w:szCs w:val="15"/>
                <w:color w:val="auto"/>
              </w:rPr>
              <w:t>Guaranteed Investment Certificates ("GIC")</w:t>
            </w:r>
          </w:p>
        </w:tc>
        <w:tc>
          <w:tcPr>
            <w:tcW w:w="10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700" w:type="dxa"/>
            <w:vAlign w:val="bottom"/>
          </w:tcPr>
          <w:p>
            <w:pPr>
              <w:ind w:left="5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63</w:t>
            </w:r>
          </w:p>
        </w:tc>
        <w:tc>
          <w:tcPr>
            <w:tcW w:w="2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Restricted cash</w:t>
            </w:r>
          </w:p>
        </w:tc>
        <w:tc>
          <w:tcPr>
            <w:tcW w:w="1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right w:val="single" w:sz="8" w:color="CFF0FC"/>
            </w:tcBorders>
            <w:shd w:val="clear" w:color="auto" w:fill="CFF0FC"/>
          </w:tcPr>
          <w:p>
            <w:pPr>
              <w:ind w:left="50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83</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rPr>
              <w:t>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10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700" w:type="dxa"/>
            <w:vAlign w:val="bottom"/>
          </w:tcPr>
          <w:p>
            <w:pPr>
              <w:ind w:left="5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146</w:t>
            </w:r>
          </w:p>
        </w:tc>
        <w:tc>
          <w:tcPr>
            <w:tcW w:w="2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tcBorders>
              <w:top w:val="single" w:sz="8" w:color="CFF0FC"/>
              <w:right w:val="single" w:sz="8" w:color="CFF0FC"/>
            </w:tcBorders>
            <w:shd w:val="clear" w:color="auto" w:fill="CFF0FC"/>
          </w:tcPr>
          <w:p>
            <w:pPr>
              <w:spacing w:after="0" w:line="167" w:lineRule="exact"/>
              <w:rPr>
                <w:sz w:val="20"/>
                <w:szCs w:val="20"/>
                <w:color w:val="auto"/>
              </w:rPr>
            </w:pPr>
            <w:r>
              <w:rPr>
                <w:rFonts w:ascii="Arial" w:cs="Arial" w:eastAsia="Arial" w:hAnsi="Arial"/>
                <w:sz w:val="15"/>
                <w:szCs w:val="15"/>
                <w:color w:val="auto"/>
              </w:rPr>
              <w:t>Liabilities</w:t>
            </w: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CFF0FC"/>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right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Contingent earn-out consideration</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liabilities</w:t>
            </w:r>
          </w:p>
        </w:tc>
        <w:tc>
          <w:tcPr>
            <w:tcW w:w="10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700" w:type="dxa"/>
            <w:vAlign w:val="bottom"/>
            <w:tcBorders>
              <w:right w:val="single" w:sz="8" w:color="CFF0FC"/>
            </w:tcBorders>
            <w:shd w:val="clear" w:color="auto" w:fill="CFF0FC"/>
          </w:tcPr>
          <w:p>
            <w:pPr>
              <w:ind w:left="5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jc w:val="center"/>
              <w:spacing w:after="0"/>
              <w:rPr>
                <w:sz w:val="20"/>
                <w:szCs w:val="20"/>
                <w:color w:val="auto"/>
              </w:rPr>
            </w:pPr>
            <w:r>
              <w:rPr>
                <w:rFonts w:ascii="Arial" w:cs="Arial" w:eastAsia="Arial" w:hAnsi="Arial"/>
                <w:sz w:val="15"/>
                <w:szCs w:val="15"/>
                <w:color w:val="auto"/>
                <w:w w:val="95"/>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655</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rPr>
              <w:t>655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60" w:right="440"/>
        <w:spacing w:after="0" w:line="285" w:lineRule="auto"/>
        <w:rPr>
          <w:sz w:val="20"/>
          <w:szCs w:val="20"/>
          <w:color w:val="auto"/>
        </w:rPr>
      </w:pPr>
      <w:r>
        <w:rPr>
          <w:rFonts w:ascii="Arial" w:cs="Arial" w:eastAsia="Arial" w:hAnsi="Arial"/>
          <w:sz w:val="14"/>
          <w:szCs w:val="14"/>
          <w:color w:val="auto"/>
        </w:rPr>
        <w:t>The earn-out liability is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condensed consolidated statements of operations.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provides a roll forward of the aggregate fair values of the earn-out liability as of June 30, 2020, for which fair value is determined using Level 3 inputs: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spacing w:after="0"/>
              <w:rPr>
                <w:sz w:val="16"/>
                <w:szCs w:val="16"/>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Beginning balance</w:t>
            </w:r>
          </w:p>
        </w:tc>
        <w:tc>
          <w:tcPr>
            <w:tcW w:w="40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950</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2540" w:type="dxa"/>
            <w:vAlign w:val="bottom"/>
          </w:tcPr>
          <w:p>
            <w:pPr>
              <w:ind w:left="220"/>
              <w:spacing w:after="0"/>
              <w:rPr>
                <w:sz w:val="20"/>
                <w:szCs w:val="20"/>
                <w:color w:val="auto"/>
              </w:rPr>
            </w:pPr>
            <w:r>
              <w:rPr>
                <w:rFonts w:ascii="Arial" w:cs="Arial" w:eastAsia="Arial" w:hAnsi="Arial"/>
                <w:sz w:val="15"/>
                <w:szCs w:val="15"/>
                <w:color w:val="auto"/>
              </w:rPr>
              <w:t>Payments</w:t>
            </w: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5"/>
                <w:szCs w:val="15"/>
                <w:color w:val="auto"/>
              </w:rPr>
              <w:t>(828)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5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Change in value</w:t>
            </w:r>
          </w:p>
        </w:tc>
        <w:tc>
          <w:tcPr>
            <w:tcW w:w="3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533</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December 31, 2019</w:t>
            </w:r>
          </w:p>
        </w:tc>
        <w:tc>
          <w:tcPr>
            <w:tcW w:w="39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80" w:type="dxa"/>
            <w:vAlign w:val="bottom"/>
            <w:tcBorders>
              <w:bottom w:val="single" w:sz="8" w:color="CFF0FC"/>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25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Payments</w:t>
            </w:r>
          </w:p>
        </w:tc>
        <w:tc>
          <w:tcPr>
            <w:tcW w:w="3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25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Change in value</w:t>
            </w:r>
          </w:p>
        </w:tc>
        <w:tc>
          <w:tcPr>
            <w:tcW w:w="39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w:t>
            </w:r>
          </w:p>
        </w:tc>
        <w:tc>
          <w:tcPr>
            <w:tcW w:w="80" w:type="dxa"/>
            <w:vAlign w:val="bottom"/>
            <w:tcBorders>
              <w:bottom w:val="single" w:sz="8" w:color="CFF0FC"/>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March 31, 2020</w:t>
            </w:r>
          </w:p>
        </w:tc>
        <w:tc>
          <w:tcPr>
            <w:tcW w:w="3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5"/>
                <w:szCs w:val="15"/>
                <w:color w:val="auto"/>
              </w:rPr>
            </w:pPr>
          </w:p>
        </w:tc>
        <w:tc>
          <w:tcPr>
            <w:tcW w:w="2540" w:type="dxa"/>
            <w:vAlign w:val="bottom"/>
          </w:tcPr>
          <w:p>
            <w:pPr>
              <w:ind w:left="220"/>
              <w:spacing w:after="0"/>
              <w:rPr>
                <w:sz w:val="20"/>
                <w:szCs w:val="20"/>
                <w:color w:val="auto"/>
              </w:rPr>
            </w:pPr>
            <w:r>
              <w:rPr>
                <w:rFonts w:ascii="Arial" w:cs="Arial" w:eastAsia="Arial" w:hAnsi="Arial"/>
                <w:sz w:val="15"/>
                <w:szCs w:val="15"/>
                <w:color w:val="auto"/>
              </w:rPr>
              <w:t>Payments</w:t>
            </w: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5"/>
                <w:szCs w:val="15"/>
                <w:color w:val="auto"/>
              </w:rPr>
              <w:t>(79)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5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Change in value</w:t>
            </w:r>
          </w:p>
        </w:tc>
        <w:tc>
          <w:tcPr>
            <w:tcW w:w="39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gridSpan w:val="2"/>
          </w:tcPr>
          <w:p>
            <w:pPr>
              <w:ind w:left="1680"/>
              <w:spacing w:after="0"/>
              <w:rPr>
                <w:sz w:val="20"/>
                <w:szCs w:val="20"/>
                <w:color w:val="auto"/>
              </w:rPr>
            </w:pPr>
            <w:r>
              <w:rPr>
                <w:rFonts w:ascii="Arial" w:cs="Arial" w:eastAsia="Arial" w:hAnsi="Arial"/>
                <w:sz w:val="15"/>
                <w:szCs w:val="15"/>
                <w:color w:val="auto"/>
              </w:rPr>
              <w:t>June 30, 2020</w:t>
            </w:r>
          </w:p>
        </w:tc>
        <w:tc>
          <w:tcPr>
            <w:tcW w:w="40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743</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920" w:type="dxa"/>
            <w:vAlign w:val="bottom"/>
            <w:vMerge w:val="restart"/>
          </w:tcPr>
          <w:p>
            <w:pPr>
              <w:jc w:val="right"/>
              <w:ind w:right="2364"/>
              <w:spacing w:after="0"/>
              <w:rPr>
                <w:sz w:val="20"/>
                <w:szCs w:val="20"/>
                <w:color w:val="auto"/>
              </w:rPr>
            </w:pPr>
            <w:r>
              <w:rPr>
                <w:rFonts w:ascii="Arial" w:cs="Arial" w:eastAsia="Arial" w:hAnsi="Arial"/>
                <w:sz w:val="15"/>
                <w:szCs w:val="15"/>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92" w:right="29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5. ACCOUNTS RECEIVABLE</w:t>
      </w:r>
    </w:p>
    <w:p>
      <w:pPr>
        <w:spacing w:after="0" w:line="195"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A financing receivable is a contractual right to receive money, on demand or on fixed or determinable dates, that is recognized as an asset on the Company's consolidated balance sheets. The Company's financing receivables, consisting of sales-type leases, totaled $55,802 and $72,602 as of June 30, 2020 and December 31, 2019,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58"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The Company performed an assessment of the allowance for doubtful accounts as of June 30, 2020 and December 31, 2019. Based upon such assessment, the Company recorded an allowance for doubtful accounts totaling $14,277 and $10,494 as of June 30, 2020 and December 31,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accounts receivables is presented below:</w:t>
      </w:r>
    </w:p>
    <w:p>
      <w:pPr>
        <w:spacing w:after="0" w:line="373"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December 31,</w:t>
            </w:r>
          </w:p>
        </w:tc>
      </w:tr>
      <w:tr>
        <w:trPr>
          <w:trHeight w:val="145"/>
        </w:trPr>
        <w:tc>
          <w:tcPr>
            <w:tcW w:w="3800" w:type="dxa"/>
            <w:vAlign w:val="bottom"/>
            <w:tcBorders>
              <w:bottom w:val="single" w:sz="8" w:color="CFF0FC"/>
            </w:tcBorders>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2"/>
                <w:szCs w:val="12"/>
                <w:color w:val="auto"/>
              </w:rPr>
            </w:pPr>
          </w:p>
        </w:tc>
      </w:tr>
      <w:tr>
        <w:trPr>
          <w:trHeight w:val="184"/>
        </w:trPr>
        <w:tc>
          <w:tcPr>
            <w:tcW w:w="3800" w:type="dxa"/>
            <w:vAlign w:val="bottom"/>
            <w:shd w:val="clear" w:color="auto" w:fill="CFF0FC"/>
          </w:tcPr>
          <w:p>
            <w:pPr>
              <w:spacing w:after="0"/>
              <w:rPr>
                <w:sz w:val="20"/>
                <w:szCs w:val="20"/>
                <w:color w:val="auto"/>
              </w:rPr>
            </w:pPr>
            <w:r>
              <w:rPr>
                <w:rFonts w:ascii="Arial" w:cs="Arial" w:eastAsia="Arial" w:hAnsi="Arial"/>
                <w:sz w:val="15"/>
                <w:szCs w:val="15"/>
                <w:color w:val="auto"/>
              </w:rPr>
              <w:t>Gross accounts receivable</w:t>
            </w:r>
          </w:p>
        </w:tc>
        <w:tc>
          <w:tcPr>
            <w:tcW w:w="182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96,159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105,127</w:t>
            </w:r>
          </w:p>
        </w:tc>
        <w:tc>
          <w:tcPr>
            <w:tcW w:w="60" w:type="dxa"/>
            <w:vAlign w:val="bottom"/>
            <w:shd w:val="clear" w:color="auto" w:fill="CFF0FC"/>
          </w:tcPr>
          <w:p>
            <w:pPr>
              <w:spacing w:after="0"/>
              <w:rPr>
                <w:sz w:val="16"/>
                <w:szCs w:val="16"/>
                <w:color w:val="auto"/>
              </w:rPr>
            </w:pPr>
          </w:p>
        </w:tc>
      </w:tr>
      <w:tr>
        <w:trPr>
          <w:trHeight w:val="192"/>
        </w:trPr>
        <w:tc>
          <w:tcPr>
            <w:tcW w:w="3800" w:type="dxa"/>
            <w:vAlign w:val="bottom"/>
          </w:tcPr>
          <w:p>
            <w:pPr>
              <w:spacing w:after="0"/>
              <w:rPr>
                <w:sz w:val="20"/>
                <w:szCs w:val="20"/>
                <w:color w:val="auto"/>
              </w:rPr>
            </w:pPr>
            <w:r>
              <w:rPr>
                <w:rFonts w:ascii="Arial" w:cs="Arial" w:eastAsia="Arial" w:hAnsi="Arial"/>
                <w:sz w:val="15"/>
                <w:szCs w:val="15"/>
                <w:color w:val="auto"/>
              </w:rPr>
              <w:t>Unearned income</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(4,183)</w:t>
            </w:r>
          </w:p>
        </w:tc>
        <w:tc>
          <w:tcPr>
            <w:tcW w:w="1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(5,623)</w:t>
            </w:r>
          </w:p>
        </w:tc>
      </w:tr>
      <w:tr>
        <w:trPr>
          <w:trHeight w:val="193"/>
        </w:trPr>
        <w:tc>
          <w:tcPr>
            <w:tcW w:w="3800" w:type="dxa"/>
            <w:vAlign w:val="bottom"/>
            <w:shd w:val="clear" w:color="auto" w:fill="CFF0FC"/>
          </w:tcPr>
          <w:p>
            <w:pPr>
              <w:spacing w:after="0"/>
              <w:rPr>
                <w:sz w:val="20"/>
                <w:szCs w:val="20"/>
                <w:color w:val="auto"/>
              </w:rPr>
            </w:pPr>
            <w:r>
              <w:rPr>
                <w:rFonts w:ascii="Arial" w:cs="Arial" w:eastAsia="Arial" w:hAnsi="Arial"/>
                <w:sz w:val="15"/>
                <w:szCs w:val="15"/>
                <w:color w:val="auto"/>
              </w:rPr>
              <w:t>Allowance for doubtful accounts</w:t>
            </w:r>
          </w:p>
        </w:tc>
        <w:tc>
          <w:tcPr>
            <w:tcW w:w="1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(14,277)</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(10,494)</w:t>
            </w:r>
          </w:p>
        </w:tc>
      </w:tr>
      <w:tr>
        <w:trPr>
          <w:trHeight w:val="224"/>
        </w:trPr>
        <w:tc>
          <w:tcPr>
            <w:tcW w:w="380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77,699</w:t>
            </w: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89,010</w:t>
            </w:r>
          </w:p>
        </w:tc>
        <w:tc>
          <w:tcPr>
            <w:tcW w:w="60" w:type="dxa"/>
            <w:vAlign w:val="bottom"/>
            <w:tcBorders>
              <w:bottom w:val="single" w:sz="8" w:color="CFF0FC"/>
            </w:tcBorders>
          </w:tcPr>
          <w:p>
            <w:pPr>
              <w:spacing w:after="0"/>
              <w:rPr>
                <w:sz w:val="19"/>
                <w:szCs w:val="19"/>
                <w:color w:val="auto"/>
              </w:rPr>
            </w:pPr>
          </w:p>
        </w:tc>
      </w:tr>
      <w:tr>
        <w:trPr>
          <w:trHeight w:val="168"/>
        </w:trPr>
        <w:tc>
          <w:tcPr>
            <w:tcW w:w="3800" w:type="dxa"/>
            <w:vAlign w:val="bottom"/>
            <w:shd w:val="clear" w:color="auto" w:fill="CFF0FC"/>
          </w:tcPr>
          <w:p>
            <w:pPr>
              <w:spacing w:after="0" w:line="167" w:lineRule="exact"/>
              <w:rPr>
                <w:sz w:val="20"/>
                <w:szCs w:val="20"/>
                <w:color w:val="auto"/>
              </w:rPr>
            </w:pPr>
            <w:r>
              <w:rPr>
                <w:rFonts w:ascii="Arial" w:cs="Arial" w:eastAsia="Arial" w:hAnsi="Arial"/>
                <w:sz w:val="15"/>
                <w:szCs w:val="15"/>
                <w:color w:val="auto"/>
              </w:rPr>
              <w:t>Reported as:</w:t>
            </w:r>
          </w:p>
        </w:tc>
        <w:tc>
          <w:tcPr>
            <w:tcW w:w="1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92"/>
        </w:trPr>
        <w:tc>
          <w:tcPr>
            <w:tcW w:w="3800" w:type="dxa"/>
            <w:vAlign w:val="bottom"/>
          </w:tcPr>
          <w:p>
            <w:pPr>
              <w:spacing w:after="0"/>
              <w:rPr>
                <w:sz w:val="20"/>
                <w:szCs w:val="20"/>
                <w:color w:val="auto"/>
              </w:rPr>
            </w:pPr>
            <w:r>
              <w:rPr>
                <w:rFonts w:ascii="Arial" w:cs="Arial" w:eastAsia="Arial" w:hAnsi="Arial"/>
                <w:sz w:val="15"/>
                <w:szCs w:val="15"/>
                <w:color w:val="auto"/>
              </w:rPr>
              <w:t>Current trade receivables</w:t>
            </w:r>
          </w:p>
        </w:tc>
        <w:tc>
          <w:tcPr>
            <w:tcW w:w="182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57,539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58,977</w:t>
            </w:r>
          </w:p>
        </w:tc>
        <w:tc>
          <w:tcPr>
            <w:tcW w:w="60" w:type="dxa"/>
            <w:vAlign w:val="bottom"/>
          </w:tcPr>
          <w:p>
            <w:pPr>
              <w:spacing w:after="0"/>
              <w:rPr>
                <w:sz w:val="16"/>
                <w:szCs w:val="16"/>
                <w:color w:val="auto"/>
              </w:rPr>
            </w:pPr>
          </w:p>
        </w:tc>
      </w:tr>
      <w:tr>
        <w:trPr>
          <w:trHeight w:val="194"/>
        </w:trPr>
        <w:tc>
          <w:tcPr>
            <w:tcW w:w="3800" w:type="dxa"/>
            <w:vAlign w:val="bottom"/>
            <w:shd w:val="clear" w:color="auto" w:fill="CFF0FC"/>
          </w:tcPr>
          <w:p>
            <w:pPr>
              <w:spacing w:after="0"/>
              <w:rPr>
                <w:sz w:val="20"/>
                <w:szCs w:val="20"/>
                <w:color w:val="auto"/>
              </w:rPr>
            </w:pPr>
            <w:r>
              <w:rPr>
                <w:rFonts w:ascii="Arial" w:cs="Arial" w:eastAsia="Arial" w:hAnsi="Arial"/>
                <w:sz w:val="15"/>
                <w:szCs w:val="15"/>
                <w:color w:val="auto"/>
              </w:rPr>
              <w:t>Current unearned interest income</w:t>
            </w:r>
          </w:p>
        </w:tc>
        <w:tc>
          <w:tcPr>
            <w:tcW w:w="1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(2,937)</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(3,942)</w:t>
            </w:r>
          </w:p>
        </w:tc>
      </w:tr>
      <w:tr>
        <w:trPr>
          <w:trHeight w:val="192"/>
        </w:trPr>
        <w:tc>
          <w:tcPr>
            <w:tcW w:w="3800" w:type="dxa"/>
            <w:vAlign w:val="bottom"/>
          </w:tcPr>
          <w:p>
            <w:pPr>
              <w:spacing w:after="0"/>
              <w:rPr>
                <w:sz w:val="20"/>
                <w:szCs w:val="20"/>
                <w:color w:val="auto"/>
              </w:rPr>
            </w:pPr>
            <w:r>
              <w:rPr>
                <w:rFonts w:ascii="Arial" w:cs="Arial" w:eastAsia="Arial" w:hAnsi="Arial"/>
                <w:sz w:val="15"/>
                <w:szCs w:val="15"/>
                <w:color w:val="auto"/>
              </w:rPr>
              <w:t>Long-term trade receivables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24,343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35,656</w:t>
            </w:r>
          </w:p>
        </w:tc>
        <w:tc>
          <w:tcPr>
            <w:tcW w:w="60" w:type="dxa"/>
            <w:vAlign w:val="bottom"/>
          </w:tcPr>
          <w:p>
            <w:pPr>
              <w:spacing w:after="0"/>
              <w:rPr>
                <w:sz w:val="16"/>
                <w:szCs w:val="16"/>
                <w:color w:val="auto"/>
              </w:rPr>
            </w:pPr>
          </w:p>
        </w:tc>
      </w:tr>
      <w:tr>
        <w:trPr>
          <w:trHeight w:val="193"/>
        </w:trPr>
        <w:tc>
          <w:tcPr>
            <w:tcW w:w="3800" w:type="dxa"/>
            <w:vAlign w:val="bottom"/>
            <w:shd w:val="clear" w:color="auto" w:fill="CFF0FC"/>
          </w:tcPr>
          <w:p>
            <w:pPr>
              <w:spacing w:after="0"/>
              <w:rPr>
                <w:sz w:val="20"/>
                <w:szCs w:val="20"/>
                <w:color w:val="auto"/>
              </w:rPr>
            </w:pPr>
            <w:r>
              <w:rPr>
                <w:rFonts w:ascii="Arial" w:cs="Arial" w:eastAsia="Arial" w:hAnsi="Arial"/>
                <w:sz w:val="15"/>
                <w:szCs w:val="15"/>
                <w:color w:val="auto"/>
              </w:rPr>
              <w:t>Long-term unearned interest income</w:t>
            </w:r>
          </w:p>
        </w:tc>
        <w:tc>
          <w:tcPr>
            <w:tcW w:w="1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(1,246)</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(1,681)</w:t>
            </w:r>
          </w:p>
        </w:tc>
      </w:tr>
      <w:tr>
        <w:trPr>
          <w:trHeight w:val="184"/>
        </w:trPr>
        <w:tc>
          <w:tcPr>
            <w:tcW w:w="3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77,699</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89,010</w:t>
            </w:r>
          </w:p>
        </w:tc>
        <w:tc>
          <w:tcPr>
            <w:tcW w:w="60" w:type="dxa"/>
            <w:vAlign w:val="bottom"/>
          </w:tcPr>
          <w:p>
            <w:pPr>
              <w:spacing w:after="0"/>
              <w:rPr>
                <w:sz w:val="16"/>
                <w:szCs w:val="16"/>
                <w:color w:val="auto"/>
              </w:rPr>
            </w:pPr>
          </w:p>
        </w:tc>
      </w:tr>
      <w:tr>
        <w:trPr>
          <w:trHeight w:val="20"/>
        </w:trPr>
        <w:tc>
          <w:tcPr>
            <w:tcW w:w="3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Current subscription contracts are reported as part of accounts receivable. The following are the contractual commitments, net of allowance for doubtful accounts, to be received by the Company over the next 5 years: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5"/>
              </w:rPr>
              <w:t>June 30,</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2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line="128"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0"/>
              <w:spacing w:after="0" w:line="128" w:lineRule="exact"/>
              <w:rPr>
                <w:sz w:val="20"/>
                <w:szCs w:val="20"/>
                <w:color w:val="auto"/>
              </w:rPr>
            </w:pPr>
            <w:r>
              <w:rPr>
                <w:rFonts w:ascii="Arial" w:cs="Arial" w:eastAsia="Arial" w:hAnsi="Arial"/>
                <w:sz w:val="12"/>
                <w:szCs w:val="12"/>
                <w:b w:val="1"/>
                <w:bCs w:val="1"/>
                <w:color w:val="auto"/>
              </w:rPr>
              <w:t>2023</w:t>
            </w:r>
          </w:p>
        </w:tc>
        <w:tc>
          <w:tcPr>
            <w:tcW w:w="20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8"/>
              <w:spacing w:after="0" w:line="128"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4"/>
              <w:spacing w:after="0" w:line="128" w:lineRule="exact"/>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5"/>
                <w:szCs w:val="15"/>
                <w:color w:val="auto"/>
              </w:rPr>
              <w:t>Current financing receivables, net of allowance of $5,502</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31,459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31,459</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spacing w:after="0"/>
              <w:rPr>
                <w:sz w:val="20"/>
                <w:szCs w:val="20"/>
                <w:color w:val="auto"/>
              </w:rPr>
            </w:pPr>
            <w:r>
              <w:rPr>
                <w:rFonts w:ascii="Arial" w:cs="Arial" w:eastAsia="Arial" w:hAnsi="Arial"/>
                <w:sz w:val="15"/>
                <w:szCs w:val="15"/>
                <w:color w:val="auto"/>
                <w:w w:val="98"/>
              </w:rPr>
              <w:t>Long-term financing receivables, net of allowance of $4,216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24,343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18,898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9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55,802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31,459</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18,898</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5,317</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$14,277 and $10,494 as of June 30, 2020 and December 31, 2019, respectively.</w:t>
      </w:r>
    </w:p>
    <w:p>
      <w:pPr>
        <w:spacing w:after="0" w:line="160"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07"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1"/>
        </w:trPr>
        <w:tc>
          <w:tcPr>
            <w:tcW w:w="6280" w:type="dxa"/>
            <w:vAlign w:val="bottom"/>
            <w:gridSpan w:val="2"/>
          </w:tcPr>
          <w:p>
            <w:pPr>
              <w:spacing w:after="0"/>
              <w:rPr>
                <w:sz w:val="20"/>
                <w:szCs w:val="20"/>
                <w:color w:val="auto"/>
              </w:rPr>
            </w:pPr>
            <w:r>
              <w:rPr>
                <w:rFonts w:ascii="Arial" w:cs="Arial" w:eastAsia="Arial" w:hAnsi="Arial"/>
                <w:sz w:val="15"/>
                <w:szCs w:val="15"/>
                <w:color w:val="auto"/>
              </w:rPr>
              <w:t>The allowance for doubtful accounts consisted of the following activity:</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8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2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January 1, 2019</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960" w:type="dxa"/>
            <w:vAlign w:val="bottom"/>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(3,905)</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9,991</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Balance as of December 31, 2019</w:t>
            </w:r>
          </w:p>
        </w:tc>
        <w:tc>
          <w:tcPr>
            <w:tcW w:w="4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10,494</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9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84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1,547</w:t>
            </w:r>
          </w:p>
        </w:tc>
        <w:tc>
          <w:tcPr>
            <w:tcW w:w="2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March 31, 2020</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10,889</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4960" w:type="dxa"/>
            <w:vAlign w:val="bottom"/>
          </w:tcPr>
          <w:p>
            <w:pPr>
              <w:ind w:left="220"/>
              <w:spacing w:after="0"/>
              <w:rPr>
                <w:sz w:val="20"/>
                <w:szCs w:val="20"/>
                <w:color w:val="auto"/>
              </w:rPr>
            </w:pPr>
            <w:r>
              <w:rPr>
                <w:rFonts w:ascii="Arial" w:cs="Arial" w:eastAsia="Arial" w:hAnsi="Arial"/>
                <w:sz w:val="15"/>
                <w:szCs w:val="15"/>
                <w:color w:val="auto"/>
              </w:rPr>
              <w:t>Write-offs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Provision</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3,869</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gridSpan w:val="2"/>
          </w:tcPr>
          <w:p>
            <w:pPr>
              <w:ind w:left="1320"/>
              <w:spacing w:after="0"/>
              <w:rPr>
                <w:sz w:val="20"/>
                <w:szCs w:val="20"/>
                <w:color w:val="auto"/>
              </w:rPr>
            </w:pPr>
            <w:r>
              <w:rPr>
                <w:rFonts w:ascii="Arial" w:cs="Arial" w:eastAsia="Arial" w:hAnsi="Arial"/>
                <w:sz w:val="15"/>
                <w:szCs w:val="15"/>
                <w:color w:val="auto"/>
              </w:rPr>
              <w:t>Balance as of June 30, 2020</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14,277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6. SELECT BALANCE SHEET AND STATEMENT OF OPERATIONS INFORMATION</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2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2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Inventory</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280" w:type="dxa"/>
            <w:vAlign w:val="bottom"/>
            <w:gridSpan w:val="2"/>
          </w:tcPr>
          <w:p>
            <w:pPr>
              <w:spacing w:after="0"/>
              <w:rPr>
                <w:sz w:val="20"/>
                <w:szCs w:val="20"/>
                <w:color w:val="auto"/>
              </w:rPr>
            </w:pPr>
            <w:r>
              <w:rPr>
                <w:rFonts w:ascii="Arial" w:cs="Arial" w:eastAsia="Arial" w:hAnsi="Arial"/>
                <w:sz w:val="15"/>
                <w:szCs w:val="15"/>
                <w:color w:val="auto"/>
              </w:rPr>
              <w:t>Inventory consists of the following:</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2"/>
                <w:szCs w:val="12"/>
                <w:b w:val="1"/>
                <w:bCs w:val="1"/>
                <w:color w:val="auto"/>
                <w:w w:val="87"/>
              </w:rPr>
              <w:t>June 30,</w:t>
            </w:r>
          </w:p>
        </w:tc>
        <w:tc>
          <w:tcPr>
            <w:tcW w:w="14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96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Raw materials</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901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877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80" w:type="dxa"/>
            <w:vAlign w:val="bottom"/>
            <w:gridSpan w:val="2"/>
          </w:tcPr>
          <w:p>
            <w:pPr>
              <w:ind w:left="1320"/>
              <w:spacing w:after="0"/>
              <w:rPr>
                <w:sz w:val="20"/>
                <w:szCs w:val="20"/>
                <w:color w:val="auto"/>
              </w:rPr>
            </w:pPr>
            <w:r>
              <w:rPr>
                <w:rFonts w:ascii="Arial" w:cs="Arial" w:eastAsia="Arial" w:hAnsi="Arial"/>
                <w:sz w:val="15"/>
                <w:szCs w:val="15"/>
                <w:color w:val="auto"/>
              </w:rPr>
              <w:t>Work-in-progress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2,028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Finished goods</w:t>
            </w:r>
          </w:p>
        </w:tc>
        <w:tc>
          <w:tcPr>
            <w:tcW w:w="4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16,101</w:t>
            </w:r>
          </w:p>
        </w:tc>
        <w:tc>
          <w:tcPr>
            <w:tcW w:w="1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15,900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4960" w:type="dxa"/>
            <w:vAlign w:val="bottom"/>
          </w:tcPr>
          <w:p>
            <w:pPr>
              <w:ind w:left="100"/>
              <w:spacing w:after="0"/>
              <w:rPr>
                <w:sz w:val="20"/>
                <w:szCs w:val="20"/>
                <w:color w:val="auto"/>
              </w:rPr>
            </w:pPr>
            <w:r>
              <w:rPr>
                <w:rFonts w:ascii="Arial" w:cs="Arial" w:eastAsia="Arial" w:hAnsi="Arial"/>
                <w:sz w:val="15"/>
                <w:szCs w:val="15"/>
                <w:color w:val="auto"/>
              </w:rPr>
              <w:t>Total inventory</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19,030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18,844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line="324" w:lineRule="auto"/>
        <w:rPr>
          <w:sz w:val="20"/>
          <w:szCs w:val="20"/>
          <w:color w:val="auto"/>
        </w:rPr>
      </w:pPr>
      <w:r>
        <w:rPr>
          <w:rFonts w:ascii="Arial" w:cs="Arial" w:eastAsia="Arial" w:hAnsi="Arial"/>
          <w:sz w:val="13"/>
          <w:szCs w:val="13"/>
          <w:color w:val="auto"/>
        </w:rPr>
        <w:t>Additions to inventory are primarily comprised of newly produced units and applicators, refurbishment cost from demonstration units and used equipment which were reacquired during the six months from upgraded sales. The Company expensed $3,603 and $7,203 in cost of goods sold in the three and six months ended June 30, 2020, respectively ($6,072 and $11,313 in the three and six months ended June 30, 2019, respectively). The balance of cost of goods sold represents the sale of applicators, parts and warranties.</w:t>
      </w:r>
    </w:p>
    <w:p>
      <w:pPr>
        <w:spacing w:after="0" w:line="121" w:lineRule="exact"/>
        <w:rPr>
          <w:sz w:val="20"/>
          <w:szCs w:val="20"/>
          <w:color w:val="auto"/>
        </w:rPr>
      </w:pPr>
    </w:p>
    <w:p>
      <w:pPr>
        <w:jc w:val="both"/>
        <w:ind w:right="100"/>
        <w:spacing w:after="0" w:line="324" w:lineRule="auto"/>
        <w:rPr>
          <w:sz w:val="20"/>
          <w:szCs w:val="20"/>
          <w:color w:val="auto"/>
        </w:rPr>
      </w:pPr>
      <w:r>
        <w:rPr>
          <w:rFonts w:ascii="Arial" w:cs="Arial" w:eastAsia="Arial" w:hAnsi="Arial"/>
          <w:sz w:val="13"/>
          <w:szCs w:val="13"/>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June 30, 2020, a provision for obsolescence of $2,091 ($1,439 as of December 31, 2019) was taken against inventory.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net consist of the following:</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Useful Lives</w:t>
            </w:r>
          </w:p>
        </w:tc>
        <w:tc>
          <w:tcPr>
            <w:tcW w:w="16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9"/>
              </w:rPr>
              <w:t>June 30,</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December 31,</w:t>
            </w:r>
          </w:p>
        </w:tc>
      </w:tr>
      <w:tr>
        <w:trPr>
          <w:trHeight w:val="145"/>
        </w:trPr>
        <w:tc>
          <w:tcPr>
            <w:tcW w:w="4120" w:type="dxa"/>
            <w:vAlign w:val="bottom"/>
          </w:tcPr>
          <w:p>
            <w:pPr>
              <w:spacing w:after="0"/>
              <w:rPr>
                <w:sz w:val="12"/>
                <w:szCs w:val="12"/>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(in years)</w:t>
            </w:r>
          </w:p>
        </w:tc>
        <w:tc>
          <w:tcPr>
            <w:tcW w:w="160" w:type="dxa"/>
            <w:vAlign w:val="bottom"/>
          </w:tcPr>
          <w:p>
            <w:pPr>
              <w:spacing w:after="0"/>
              <w:rPr>
                <w:sz w:val="12"/>
                <w:szCs w:val="12"/>
                <w:color w:val="auto"/>
              </w:rPr>
            </w:pPr>
          </w:p>
        </w:tc>
        <w:tc>
          <w:tcPr>
            <w:tcW w:w="740" w:type="dxa"/>
            <w:vAlign w:val="bottom"/>
          </w:tcPr>
          <w:p>
            <w:pPr>
              <w:jc w:val="right"/>
              <w:ind w:right="26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2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r>
      <w:tr>
        <w:trPr>
          <w:trHeight w:val="184"/>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Lab equipment tooling and molds</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5"/>
                <w:szCs w:val="15"/>
                <w:color w:val="auto"/>
              </w:rPr>
              <w:t>4-10</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7,986</w:t>
            </w: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7,872</w:t>
            </w:r>
          </w:p>
        </w:tc>
        <w:tc>
          <w:tcPr>
            <w:tcW w:w="60" w:type="dxa"/>
            <w:vAlign w:val="bottom"/>
            <w:tcBorders>
              <w:top w:val="single" w:sz="8" w:color="CFF0FC"/>
            </w:tcBorders>
            <w:shd w:val="clear" w:color="auto" w:fill="CFF0FC"/>
          </w:tcPr>
          <w:p>
            <w:pPr>
              <w:spacing w:after="0"/>
              <w:rPr>
                <w:sz w:val="16"/>
                <w:szCs w:val="16"/>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1460" w:type="dxa"/>
            <w:vAlign w:val="bottom"/>
          </w:tcPr>
          <w:p>
            <w:pPr>
              <w:jc w:val="center"/>
              <w:spacing w:after="0"/>
              <w:rPr>
                <w:sz w:val="20"/>
                <w:szCs w:val="20"/>
                <w:color w:val="auto"/>
              </w:rPr>
            </w:pPr>
            <w:r>
              <w:rPr>
                <w:rFonts w:ascii="Arial" w:cs="Arial" w:eastAsia="Arial" w:hAnsi="Arial"/>
                <w:sz w:val="15"/>
                <w:szCs w:val="15"/>
                <w:color w:val="auto"/>
              </w:rPr>
              <w:t>6-10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1,710</w:t>
            </w:r>
          </w:p>
        </w:tc>
        <w:tc>
          <w:tcPr>
            <w:tcW w:w="6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Leasehold improvements</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5"/>
                <w:szCs w:val="15"/>
                <w:color w:val="auto"/>
                <w:w w:val="88"/>
              </w:rPr>
              <w:t>up to 10</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1,950</w:t>
            </w:r>
          </w:p>
        </w:tc>
        <w:tc>
          <w:tcPr>
            <w:tcW w:w="60" w:type="dxa"/>
            <w:vAlign w:val="bottom"/>
            <w:shd w:val="clear" w:color="auto" w:fill="CFF0FC"/>
          </w:tcPr>
          <w:p>
            <w:pPr>
              <w:spacing w:after="0"/>
              <w:rPr>
                <w:sz w:val="16"/>
                <w:szCs w:val="16"/>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color w:val="auto"/>
              </w:rPr>
              <w:t>Computers and software</w:t>
            </w:r>
          </w:p>
        </w:tc>
        <w:tc>
          <w:tcPr>
            <w:tcW w:w="146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1,797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1,811</w:t>
            </w:r>
          </w:p>
        </w:tc>
        <w:tc>
          <w:tcPr>
            <w:tcW w:w="6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Vehicles</w:t>
            </w:r>
          </w:p>
        </w:tc>
        <w:tc>
          <w:tcPr>
            <w:tcW w:w="14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3"/>
              </w:rPr>
              <w:t>5 - 7</w:t>
            </w:r>
          </w:p>
        </w:tc>
        <w:tc>
          <w:tcPr>
            <w:tcW w:w="1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60" w:type="dxa"/>
            <w:vAlign w:val="bottom"/>
            <w:shd w:val="clear" w:color="auto" w:fill="CFF0FC"/>
          </w:tcPr>
          <w:p>
            <w:pPr>
              <w:spacing w:after="0"/>
              <w:rPr>
                <w:sz w:val="16"/>
                <w:szCs w:val="16"/>
                <w:color w:val="auto"/>
              </w:rPr>
            </w:pPr>
          </w:p>
        </w:tc>
      </w:tr>
      <w:tr>
        <w:trPr>
          <w:trHeight w:val="184"/>
        </w:trPr>
        <w:tc>
          <w:tcPr>
            <w:tcW w:w="412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Total property and equipment</w:t>
            </w:r>
          </w:p>
        </w:tc>
        <w:tc>
          <w:tcPr>
            <w:tcW w:w="14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13,359</w:t>
            </w:r>
          </w:p>
        </w:tc>
        <w:tc>
          <w:tcPr>
            <w:tcW w:w="60" w:type="dxa"/>
            <w:vAlign w:val="bottom"/>
            <w:tcBorders>
              <w:bottom w:val="single" w:sz="8" w:color="CFF0FC"/>
            </w:tcBorders>
          </w:tcPr>
          <w:p>
            <w:pPr>
              <w:spacing w:after="0"/>
              <w:rPr>
                <w:sz w:val="15"/>
                <w:szCs w:val="15"/>
                <w:color w:val="auto"/>
              </w:rPr>
            </w:pPr>
          </w:p>
        </w:tc>
      </w:tr>
      <w:tr>
        <w:trPr>
          <w:trHeight w:val="185"/>
        </w:trPr>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Less: Accumulated depreciation</w:t>
            </w: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(9,218)</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(8,711)</w:t>
            </w:r>
          </w:p>
        </w:tc>
      </w:tr>
      <w:tr>
        <w:trPr>
          <w:trHeight w:val="184"/>
        </w:trPr>
        <w:tc>
          <w:tcPr>
            <w:tcW w:w="4120" w:type="dxa"/>
            <w:vAlign w:val="bottom"/>
          </w:tcPr>
          <w:p>
            <w:pPr>
              <w:ind w:left="100"/>
              <w:spacing w:after="0"/>
              <w:rPr>
                <w:sz w:val="20"/>
                <w:szCs w:val="20"/>
                <w:color w:val="auto"/>
              </w:rPr>
            </w:pPr>
            <w:r>
              <w:rPr>
                <w:rFonts w:ascii="Arial" w:cs="Arial" w:eastAsia="Arial" w:hAnsi="Arial"/>
                <w:sz w:val="15"/>
                <w:szCs w:val="15"/>
                <w:color w:val="auto"/>
              </w:rPr>
              <w:t>Total property and equipment, net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3,971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4,648</w:t>
            </w:r>
          </w:p>
        </w:tc>
        <w:tc>
          <w:tcPr>
            <w:tcW w:w="60" w:type="dxa"/>
            <w:vAlign w:val="bottom"/>
          </w:tcPr>
          <w:p>
            <w:pPr>
              <w:spacing w:after="0"/>
              <w:rPr>
                <w:sz w:val="15"/>
                <w:szCs w:val="15"/>
                <w:color w:val="auto"/>
              </w:rPr>
            </w:pP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0" w:right="20"/>
        <w:spacing w:after="0" w:line="278" w:lineRule="auto"/>
        <w:rPr>
          <w:sz w:val="20"/>
          <w:szCs w:val="20"/>
          <w:color w:val="auto"/>
        </w:rPr>
      </w:pPr>
      <w:r>
        <w:rPr>
          <w:rFonts w:ascii="Arial" w:cs="Arial" w:eastAsia="Arial" w:hAnsi="Arial"/>
          <w:sz w:val="15"/>
          <w:szCs w:val="15"/>
          <w:color w:val="auto"/>
        </w:rPr>
        <w:t>Depreciation expense were $400 and $276 for the three months ended June 30, 2020 and 2019, respectively. Depreciation expense were $777 and $468 for the six months ended June 30, 2020 and 2019, respectively.</w:t>
      </w:r>
    </w:p>
    <w:p>
      <w:pPr>
        <w:spacing w:after="0" w:line="200" w:lineRule="exact"/>
        <w:rPr>
          <w:sz w:val="20"/>
          <w:szCs w:val="20"/>
          <w:color w:val="auto"/>
        </w:rPr>
      </w:pP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492" w:right="35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i w:val="1"/>
          <w:iCs w:val="1"/>
          <w:color w:val="auto"/>
        </w:rPr>
        <w:t>Other Current Assets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w:t>
            </w:r>
          </w:p>
        </w:tc>
      </w:tr>
      <w:tr>
        <w:trPr>
          <w:trHeight w:val="145"/>
        </w:trPr>
        <w:tc>
          <w:tcPr>
            <w:tcW w:w="3700" w:type="dxa"/>
            <w:vAlign w:val="bottom"/>
            <w:tcBorders>
              <w:bottom w:val="single" w:sz="8" w:color="CFF0FC"/>
            </w:tcBorders>
          </w:tcPr>
          <w:p>
            <w:pPr>
              <w:spacing w:after="0"/>
              <w:rPr>
                <w:sz w:val="12"/>
                <w:szCs w:val="12"/>
                <w:color w:val="auto"/>
              </w:rPr>
            </w:pPr>
          </w:p>
        </w:tc>
        <w:tc>
          <w:tcPr>
            <w:tcW w:w="17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2"/>
                <w:szCs w:val="12"/>
                <w:color w:val="auto"/>
              </w:rPr>
            </w:pPr>
          </w:p>
        </w:tc>
      </w:tr>
      <w:tr>
        <w:trPr>
          <w:trHeight w:val="184"/>
        </w:trPr>
        <w:tc>
          <w:tcPr>
            <w:tcW w:w="370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Government remittances </w:t>
            </w:r>
            <w:r>
              <w:rPr>
                <w:rFonts w:ascii="Arial" w:cs="Arial" w:eastAsia="Arial" w:hAnsi="Arial"/>
                <w:sz w:val="12"/>
                <w:szCs w:val="12"/>
                <w:color w:val="auto"/>
              </w:rPr>
              <w:t>(1)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1,704</w:t>
            </w:r>
          </w:p>
        </w:tc>
        <w:tc>
          <w:tcPr>
            <w:tcW w:w="60" w:type="dxa"/>
            <w:vAlign w:val="bottom"/>
            <w:shd w:val="clear" w:color="auto" w:fill="CFF0FC"/>
          </w:tcPr>
          <w:p>
            <w:pPr>
              <w:spacing w:after="0"/>
              <w:rPr>
                <w:sz w:val="16"/>
                <w:szCs w:val="16"/>
                <w:color w:val="auto"/>
              </w:rPr>
            </w:pPr>
          </w:p>
        </w:tc>
      </w:tr>
      <w:tr>
        <w:trPr>
          <w:trHeight w:val="192"/>
        </w:trPr>
        <w:tc>
          <w:tcPr>
            <w:tcW w:w="37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Sundry assets and miscellaneous</w:t>
            </w:r>
          </w:p>
        </w:tc>
        <w:tc>
          <w:tcPr>
            <w:tcW w:w="17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2,867</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1,397</w:t>
            </w:r>
          </w:p>
        </w:tc>
        <w:tc>
          <w:tcPr>
            <w:tcW w:w="60" w:type="dxa"/>
            <w:vAlign w:val="bottom"/>
            <w:tcBorders>
              <w:bottom w:val="single" w:sz="8" w:color="CFF0FC"/>
            </w:tcBorders>
          </w:tcPr>
          <w:p>
            <w:pPr>
              <w:spacing w:after="0"/>
              <w:rPr>
                <w:sz w:val="16"/>
                <w:szCs w:val="16"/>
                <w:color w:val="auto"/>
              </w:rPr>
            </w:pPr>
          </w:p>
        </w:tc>
      </w:tr>
      <w:tr>
        <w:trPr>
          <w:trHeight w:val="184"/>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other current assets</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3,101</w:t>
            </w:r>
          </w:p>
        </w:tc>
        <w:tc>
          <w:tcPr>
            <w:tcW w:w="60" w:type="dxa"/>
            <w:vAlign w:val="bottom"/>
            <w:shd w:val="clear" w:color="auto" w:fill="CFF0FC"/>
          </w:tcPr>
          <w:p>
            <w:pPr>
              <w:spacing w:after="0"/>
              <w:rPr>
                <w:sz w:val="16"/>
                <w:szCs w:val="16"/>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left="720" w:hanging="714"/>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Government remittances are receivables from the local tax authorities for refunds of sales taxes and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Accrued Expenses and Other Current Liabilities</w:t>
      </w:r>
    </w:p>
    <w:p>
      <w:pPr>
        <w:spacing w:after="0" w:line="373"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w:t>
            </w:r>
          </w:p>
        </w:tc>
      </w:tr>
      <w:tr>
        <w:trPr>
          <w:trHeight w:val="145"/>
        </w:trPr>
        <w:tc>
          <w:tcPr>
            <w:tcW w:w="430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2019</w:t>
            </w:r>
          </w:p>
        </w:tc>
        <w:tc>
          <w:tcPr>
            <w:tcW w:w="60" w:type="dxa"/>
            <w:vAlign w:val="bottom"/>
            <w:tcBorders>
              <w:bottom w:val="single" w:sz="8" w:color="CFF0FC"/>
            </w:tcBorders>
          </w:tcPr>
          <w:p>
            <w:pPr>
              <w:spacing w:after="0"/>
              <w:rPr>
                <w:sz w:val="12"/>
                <w:szCs w:val="12"/>
                <w:color w:val="auto"/>
              </w:rPr>
            </w:pPr>
          </w:p>
        </w:tc>
      </w:tr>
      <w:tr>
        <w:trPr>
          <w:trHeight w:val="184"/>
        </w:trPr>
        <w:tc>
          <w:tcPr>
            <w:tcW w:w="4300" w:type="dxa"/>
            <w:vAlign w:val="bottom"/>
            <w:shd w:val="clear" w:color="auto" w:fill="CFF0FC"/>
          </w:tcPr>
          <w:p>
            <w:pPr>
              <w:spacing w:after="0"/>
              <w:rPr>
                <w:sz w:val="20"/>
                <w:szCs w:val="20"/>
                <w:color w:val="auto"/>
              </w:rPr>
            </w:pPr>
            <w:r>
              <w:rPr>
                <w:rFonts w:ascii="Arial" w:cs="Arial" w:eastAsia="Arial" w:hAnsi="Arial"/>
                <w:sz w:val="15"/>
                <w:szCs w:val="15"/>
                <w:color w:val="auto"/>
              </w:rPr>
              <w:t>Payroll and related expense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3,117</w:t>
            </w:r>
          </w:p>
        </w:tc>
        <w:tc>
          <w:tcPr>
            <w:tcW w:w="60" w:type="dxa"/>
            <w:vAlign w:val="bottom"/>
            <w:shd w:val="clear" w:color="auto" w:fill="CFF0FC"/>
          </w:tcPr>
          <w:p>
            <w:pPr>
              <w:spacing w:after="0"/>
              <w:rPr>
                <w:sz w:val="16"/>
                <w:szCs w:val="16"/>
                <w:color w:val="auto"/>
              </w:rPr>
            </w:pPr>
          </w:p>
        </w:tc>
      </w:tr>
      <w:tr>
        <w:trPr>
          <w:trHeight w:val="192"/>
        </w:trPr>
        <w:tc>
          <w:tcPr>
            <w:tcW w:w="4300" w:type="dxa"/>
            <w:vAlign w:val="bottom"/>
          </w:tcPr>
          <w:p>
            <w:pPr>
              <w:spacing w:after="0"/>
              <w:rPr>
                <w:sz w:val="20"/>
                <w:szCs w:val="20"/>
                <w:color w:val="auto"/>
              </w:rPr>
            </w:pPr>
            <w:r>
              <w:rPr>
                <w:rFonts w:ascii="Arial" w:cs="Arial" w:eastAsia="Arial" w:hAnsi="Arial"/>
                <w:sz w:val="15"/>
                <w:szCs w:val="15"/>
                <w:color w:val="auto"/>
              </w:rPr>
              <w:t>Accrued expenses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8,355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10,645</w:t>
            </w:r>
          </w:p>
        </w:tc>
        <w:tc>
          <w:tcPr>
            <w:tcW w:w="60" w:type="dxa"/>
            <w:vAlign w:val="bottom"/>
          </w:tcPr>
          <w:p>
            <w:pPr>
              <w:spacing w:after="0"/>
              <w:rPr>
                <w:sz w:val="16"/>
                <w:szCs w:val="16"/>
                <w:color w:val="auto"/>
              </w:rPr>
            </w:pPr>
          </w:p>
        </w:tc>
      </w:tr>
      <w:tr>
        <w:trPr>
          <w:trHeight w:val="194"/>
        </w:trPr>
        <w:tc>
          <w:tcPr>
            <w:tcW w:w="4300" w:type="dxa"/>
            <w:vAlign w:val="bottom"/>
            <w:shd w:val="clear" w:color="auto" w:fill="CFF0FC"/>
          </w:tcPr>
          <w:p>
            <w:pPr>
              <w:spacing w:after="0"/>
              <w:rPr>
                <w:sz w:val="20"/>
                <w:szCs w:val="20"/>
                <w:color w:val="auto"/>
              </w:rPr>
            </w:pPr>
            <w:r>
              <w:rPr>
                <w:rFonts w:ascii="Arial" w:cs="Arial" w:eastAsia="Arial" w:hAnsi="Arial"/>
                <w:sz w:val="15"/>
                <w:szCs w:val="15"/>
                <w:color w:val="auto"/>
              </w:rPr>
              <w:t>Commission accrual</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4,215</w:t>
            </w:r>
          </w:p>
        </w:tc>
        <w:tc>
          <w:tcPr>
            <w:tcW w:w="60" w:type="dxa"/>
            <w:vAlign w:val="bottom"/>
            <w:shd w:val="clear" w:color="auto" w:fill="CFF0FC"/>
          </w:tcPr>
          <w:p>
            <w:pPr>
              <w:spacing w:after="0"/>
              <w:rPr>
                <w:sz w:val="16"/>
                <w:szCs w:val="16"/>
                <w:color w:val="auto"/>
              </w:rPr>
            </w:pPr>
          </w:p>
        </w:tc>
      </w:tr>
      <w:tr>
        <w:trPr>
          <w:trHeight w:val="192"/>
        </w:trPr>
        <w:tc>
          <w:tcPr>
            <w:tcW w:w="43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Sales and consumption taxes</w:t>
            </w:r>
          </w:p>
        </w:tc>
        <w:tc>
          <w:tcPr>
            <w:tcW w:w="1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2,888</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3,143</w:t>
            </w:r>
          </w:p>
        </w:tc>
        <w:tc>
          <w:tcPr>
            <w:tcW w:w="60" w:type="dxa"/>
            <w:vAlign w:val="bottom"/>
            <w:tcBorders>
              <w:bottom w:val="single" w:sz="8" w:color="CFF0FC"/>
            </w:tcBorders>
          </w:tcPr>
          <w:p>
            <w:pPr>
              <w:spacing w:after="0"/>
              <w:rPr>
                <w:sz w:val="16"/>
                <w:szCs w:val="16"/>
                <w:color w:val="auto"/>
              </w:rPr>
            </w:pPr>
          </w:p>
        </w:tc>
      </w:tr>
      <w:tr>
        <w:trPr>
          <w:trHeight w:val="184"/>
        </w:trPr>
        <w:tc>
          <w:tcPr>
            <w:tcW w:w="43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accrued expenses and other current liabilities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15,967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21,120</w:t>
            </w:r>
          </w:p>
        </w:tc>
        <w:tc>
          <w:tcPr>
            <w:tcW w:w="60" w:type="dxa"/>
            <w:vAlign w:val="bottom"/>
            <w:shd w:val="clear" w:color="auto" w:fill="CFF0FC"/>
          </w:tcPr>
          <w:p>
            <w:pPr>
              <w:spacing w:after="0"/>
              <w:rPr>
                <w:sz w:val="16"/>
                <w:szCs w:val="16"/>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Warranty Accrual</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the details of the change in the Company’s warranty accrual: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right"/>
              <w:ind w:right="359"/>
              <w:spacing w:after="0"/>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0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Balance as of the beginning of the year</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center"/>
              <w:ind w:right="134"/>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1,977</w:t>
            </w:r>
          </w:p>
        </w:tc>
        <w:tc>
          <w:tcPr>
            <w:tcW w:w="6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1,336</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gridSpan w:val="2"/>
          </w:tcPr>
          <w:p>
            <w:pPr>
              <w:ind w:left="1320"/>
              <w:spacing w:after="0"/>
              <w:rPr>
                <w:sz w:val="20"/>
                <w:szCs w:val="20"/>
                <w:color w:val="auto"/>
              </w:rPr>
            </w:pPr>
            <w:r>
              <w:rPr>
                <w:rFonts w:ascii="Arial" w:cs="Arial" w:eastAsia="Arial" w:hAnsi="Arial"/>
                <w:sz w:val="15"/>
                <w:szCs w:val="15"/>
                <w:color w:val="auto"/>
              </w:rPr>
              <w:t>Warranties assumed through business combination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273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Warranties issued during the year</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1,038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5"/>
                <w:szCs w:val="15"/>
                <w:color w:val="auto"/>
              </w:rPr>
              <w:t>Warranty costs incurred during the year</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Balance at the end of the year</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6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460" w:type="dxa"/>
            <w:vAlign w:val="bottom"/>
            <w:tcBorders>
              <w:top w:val="single" w:sz="8" w:color="auto"/>
              <w:bottom w:val="single" w:sz="8" w:color="auto"/>
            </w:tcBorders>
            <w:shd w:val="clear" w:color="auto" w:fill="CFF0FC"/>
          </w:tcPr>
          <w:p>
            <w:pPr>
              <w:jc w:val="center"/>
              <w:ind w:right="314"/>
              <w:spacing w:after="0"/>
              <w:rPr>
                <w:sz w:val="20"/>
                <w:szCs w:val="20"/>
                <w:color w:val="auto"/>
              </w:rPr>
            </w:pPr>
            <w:r>
              <w:rPr>
                <w:rFonts w:ascii="Arial" w:cs="Arial" w:eastAsia="Arial" w:hAnsi="Arial"/>
                <w:sz w:val="15"/>
                <w:szCs w:val="15"/>
                <w:color w:val="auto"/>
                <w:w w:val="95"/>
              </w:rPr>
              <w:t>$</w:t>
            </w: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1,659</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440" w:type="dxa"/>
            <w:vAlign w:val="bottom"/>
            <w:tcBorders>
              <w:top w:val="single" w:sz="8" w:color="auto"/>
              <w:bottom w:val="single" w:sz="8" w:color="auto"/>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1,977</w:t>
            </w:r>
          </w:p>
        </w:tc>
        <w:tc>
          <w:tcPr>
            <w:tcW w:w="20" w:type="dxa"/>
            <w:vAlign w:val="bottom"/>
            <w:tcBorders>
              <w:top w:val="single" w:sz="8" w:color="auto"/>
              <w:bottom w:val="single" w:sz="8" w:color="auto"/>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1320"/>
              <w:spacing w:after="0"/>
              <w:rPr>
                <w:sz w:val="20"/>
                <w:szCs w:val="20"/>
                <w:color w:val="auto"/>
              </w:rPr>
            </w:pPr>
            <w:r>
              <w:rPr>
                <w:rFonts w:ascii="Arial" w:cs="Arial" w:eastAsia="Arial" w:hAnsi="Arial"/>
                <w:sz w:val="15"/>
                <w:szCs w:val="15"/>
                <w:color w:val="auto"/>
              </w:rPr>
              <w:t>Current</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w w:val="95"/>
              </w:rPr>
              <w:t>1,160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jc w:val="right"/>
              <w:spacing w:after="0" w:line="167" w:lineRule="exact"/>
              <w:rPr>
                <w:sz w:val="20"/>
                <w:szCs w:val="20"/>
                <w:color w:val="auto"/>
              </w:rPr>
            </w:pPr>
            <w:r>
              <w:rPr>
                <w:rFonts w:ascii="Arial" w:cs="Arial" w:eastAsia="Arial" w:hAnsi="Arial"/>
                <w:sz w:val="15"/>
                <w:szCs w:val="15"/>
                <w:color w:val="auto"/>
                <w:w w:val="95"/>
              </w:rPr>
              <w:t>1,254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Long-term</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499</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723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060" w:type="dxa"/>
            <w:vAlign w:val="bottom"/>
          </w:tcPr>
          <w:p>
            <w:pPr>
              <w:ind w:left="10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134"/>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5"/>
              </w:rPr>
              <w:t>1,659</w:t>
            </w:r>
          </w:p>
        </w:tc>
        <w:tc>
          <w:tcPr>
            <w:tcW w:w="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1,977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Finance Expenses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6"/>
            <w:vMerge w:val="restart"/>
          </w:tcPr>
          <w:p>
            <w:pPr>
              <w:ind w:left="340"/>
              <w:spacing w:after="0"/>
              <w:rPr>
                <w:sz w:val="20"/>
                <w:szCs w:val="20"/>
                <w:color w:val="auto"/>
              </w:rPr>
            </w:pPr>
            <w:r>
              <w:rPr>
                <w:rFonts w:ascii="Arial" w:cs="Arial" w:eastAsia="Arial" w:hAnsi="Arial"/>
                <w:sz w:val="12"/>
                <w:szCs w:val="12"/>
                <w:b w:val="1"/>
                <w:bCs w:val="1"/>
                <w:color w:val="auto"/>
              </w:rPr>
              <w:t>Three Months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vMerge w:val="restart"/>
          </w:tcPr>
          <w:p>
            <w:pPr>
              <w:jc w:val="right"/>
              <w:ind w:right="159"/>
              <w:spacing w:after="0"/>
              <w:rPr>
                <w:sz w:val="20"/>
                <w:szCs w:val="20"/>
                <w:color w:val="auto"/>
              </w:rPr>
            </w:pPr>
            <w:r>
              <w:rPr>
                <w:rFonts w:ascii="Arial" w:cs="Arial" w:eastAsia="Arial" w:hAnsi="Arial"/>
                <w:sz w:val="12"/>
                <w:szCs w:val="12"/>
                <w:b w:val="1"/>
                <w:bCs w:val="1"/>
                <w:color w:val="auto"/>
                <w:w w:val="93"/>
              </w:rPr>
              <w:t>Six Months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ind w:left="340"/>
              <w:spacing w:after="0"/>
              <w:rPr>
                <w:sz w:val="20"/>
                <w:szCs w:val="20"/>
                <w:color w:val="auto"/>
              </w:rPr>
            </w:pPr>
            <w:r>
              <w:rPr>
                <w:rFonts w:ascii="Arial" w:cs="Arial" w:eastAsia="Arial" w:hAnsi="Arial"/>
                <w:sz w:val="12"/>
                <w:szCs w:val="12"/>
                <w:b w:val="1"/>
                <w:bCs w:val="1"/>
                <w:color w:val="auto"/>
              </w:rPr>
              <w:t>Ended 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5"/>
          </w:tcPr>
          <w:p>
            <w:pPr>
              <w:jc w:val="right"/>
              <w:ind w:right="79"/>
              <w:spacing w:after="0"/>
              <w:rPr>
                <w:sz w:val="20"/>
                <w:szCs w:val="20"/>
                <w:color w:val="auto"/>
              </w:rPr>
            </w:pPr>
            <w:r>
              <w:rPr>
                <w:rFonts w:ascii="Arial" w:cs="Arial" w:eastAsia="Arial" w:hAnsi="Arial"/>
                <w:sz w:val="12"/>
                <w:szCs w:val="12"/>
                <w:b w:val="1"/>
                <w:bCs w:val="1"/>
                <w:color w:val="auto"/>
                <w:w w:val="87"/>
              </w:rPr>
              <w:t>Ended June 30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center"/>
              <w:ind w:right="134"/>
              <w:spacing w:after="0" w:line="128" w:lineRule="exact"/>
              <w:rPr>
                <w:sz w:val="20"/>
                <w:szCs w:val="20"/>
                <w:color w:val="auto"/>
              </w:rPr>
            </w:pPr>
            <w:r>
              <w:rPr>
                <w:rFonts w:ascii="Arial" w:cs="Arial" w:eastAsia="Arial" w:hAnsi="Arial"/>
                <w:sz w:val="12"/>
                <w:szCs w:val="12"/>
                <w:b w:val="1"/>
                <w:bCs w:val="1"/>
                <w:color w:val="auto"/>
                <w:w w:val="89"/>
              </w:rPr>
              <w:t>2019</w:t>
            </w:r>
          </w:p>
        </w:tc>
        <w:tc>
          <w:tcPr>
            <w:tcW w:w="16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FF0FC"/>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204"/>
              <w:spacing w:after="0" w:line="128" w:lineRule="exact"/>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2,022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4,328</w:t>
            </w:r>
          </w:p>
        </w:tc>
        <w:tc>
          <w:tcPr>
            <w:tcW w:w="600" w:type="dxa"/>
            <w:vAlign w:val="bottom"/>
            <w:gridSpan w:val="2"/>
            <w:shd w:val="clear" w:color="auto" w:fill="CFF0FC"/>
          </w:tcPr>
          <w:p>
            <w:pPr>
              <w:jc w:val="right"/>
              <w:ind w:right="299"/>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3,577</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Accretion on long-term debt and amortization of fees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130</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87"/>
              </w:rPr>
              <w:t>297</w:t>
            </w:r>
          </w:p>
        </w:tc>
        <w:tc>
          <w:tcPr>
            <w:tcW w:w="16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0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finance expenses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2,152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4,625</w:t>
            </w:r>
          </w:p>
        </w:tc>
        <w:tc>
          <w:tcPr>
            <w:tcW w:w="600" w:type="dxa"/>
            <w:vAlign w:val="bottom"/>
            <w:gridSpan w:val="2"/>
            <w:shd w:val="clear" w:color="auto" w:fill="CFF0FC"/>
          </w:tcPr>
          <w:p>
            <w:pPr>
              <w:jc w:val="right"/>
              <w:ind w:right="299"/>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3,807</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INTANGIBLE ASSETS AND GOODWILL</w:t>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auto"/>
        </w:rPr>
        <w:t>As described in Note 1, in November 2019, the Company completed its business combination with Venus Concept Ltd., which included the addition of goodwill of $24,847 and amortizable intangible assets, represented by the technology ($16,900) and the brand name ($1,200). Goodwill associated with the Merger was primarily attributable to the future revenue growth opportunities associated with additional share in the hair restoration market, as well as the value associated with assembled workforce.</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global pandemic caused by the novel coronavirus (COVID-19) has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341"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11" w:right="339" w:bottom="1440" w:gutter="0" w:footer="0" w:header="0"/>
        </w:sectPr>
      </w:pPr>
    </w:p>
    <w:bookmarkStart w:id="17" w:name="page18"/>
    <w:bookmarkEnd w:id="17"/>
    <w:p>
      <w:pPr>
        <w:spacing w:after="0" w:line="279" w:lineRule="auto"/>
        <w:rPr>
          <w:sz w:val="20"/>
          <w:szCs w:val="20"/>
          <w:color w:val="auto"/>
        </w:rPr>
      </w:pPr>
      <w:r>
        <w:rPr>
          <w:rFonts w:ascii="Arial" w:cs="Arial" w:eastAsia="Arial" w:hAnsi="Arial"/>
          <w:sz w:val="14"/>
          <w:szCs w:val="14"/>
          <w:color w:val="auto"/>
        </w:rPr>
        <w:t>The Company has one reporting unit and the reporting unit’s carrying value was compared to its estimated fair value. As at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the management as at June 30, 2020, no further impairment was considered necessary.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net of accumulated amortization and goodwill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w w:val="97"/>
              </w:rPr>
              <w:t>At June 30, 2020</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ind w:right="88"/>
              <w:spacing w:after="0" w:line="108"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right"/>
              <w:ind w:right="34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740" w:type="dxa"/>
            <w:vAlign w:val="bottom"/>
          </w:tcPr>
          <w:p>
            <w:pPr>
              <w:jc w:val="center"/>
              <w:ind w:right="87"/>
              <w:spacing w:after="0" w:line="108" w:lineRule="exact"/>
              <w:rPr>
                <w:sz w:val="20"/>
                <w:szCs w:val="20"/>
                <w:color w:val="auto"/>
              </w:rPr>
            </w:pPr>
            <w:r>
              <w:rPr>
                <w:rFonts w:ascii="Arial" w:cs="Arial" w:eastAsia="Arial" w:hAnsi="Arial"/>
                <w:sz w:val="12"/>
                <w:szCs w:val="12"/>
                <w:b w:val="1"/>
                <w:bCs w:val="1"/>
                <w:color w:val="auto"/>
                <w:w w:val="92"/>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7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w w:val="92"/>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2"/>
                <w:szCs w:val="12"/>
                <w:b w:val="1"/>
                <w:bCs w:val="1"/>
                <w:color w:val="auto"/>
                <w:w w:val="95"/>
              </w:rPr>
              <w:t>Amortization</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7"/>
              <w:spacing w:after="0"/>
              <w:rPr>
                <w:sz w:val="20"/>
                <w:szCs w:val="20"/>
                <w:color w:val="auto"/>
              </w:rPr>
            </w:pPr>
            <w:r>
              <w:rPr>
                <w:rFonts w:ascii="Arial" w:cs="Arial" w:eastAsia="Arial" w:hAnsi="Arial"/>
                <w:sz w:val="12"/>
                <w:szCs w:val="12"/>
                <w:b w:val="1"/>
                <w:bCs w:val="1"/>
                <w:color w:val="auto"/>
                <w:w w:val="92"/>
              </w:rPr>
              <w:t>Amount</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(196)</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1,204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Brand</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(408)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Technology</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(1,878)</w:t>
            </w: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15,022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Arial" w:cs="Arial" w:eastAsia="Arial" w:hAnsi="Arial"/>
                <w:sz w:val="15"/>
                <w:szCs w:val="15"/>
                <w:color w:val="auto"/>
              </w:rPr>
              <w:t>Supplier agreement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(716)</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vMerge w:val="restart"/>
            <w:shd w:val="clear" w:color="auto" w:fill="CFF0FC"/>
          </w:tcPr>
          <w:p>
            <w:pPr>
              <w:ind w:left="100"/>
              <w:spacing w:after="0"/>
              <w:rPr>
                <w:sz w:val="20"/>
                <w:szCs w:val="20"/>
                <w:color w:val="auto"/>
              </w:rPr>
            </w:pPr>
            <w:r>
              <w:rPr>
                <w:rFonts w:ascii="Arial" w:cs="Arial" w:eastAsia="Arial" w:hAnsi="Arial"/>
                <w:sz w:val="15"/>
                <w:szCs w:val="15"/>
                <w:color w:val="auto"/>
              </w:rPr>
              <w:t>Total intangible assets and goodwill</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(3,198)</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20,602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3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w w:val="99"/>
              </w:rPr>
              <w:t>At December 31, 2019</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ind w:right="88"/>
              <w:spacing w:after="0" w:line="108"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right"/>
              <w:ind w:right="34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740" w:type="dxa"/>
            <w:vAlign w:val="bottom"/>
          </w:tcPr>
          <w:p>
            <w:pPr>
              <w:jc w:val="center"/>
              <w:ind w:right="87"/>
              <w:spacing w:after="0" w:line="108" w:lineRule="exact"/>
              <w:rPr>
                <w:sz w:val="20"/>
                <w:szCs w:val="20"/>
                <w:color w:val="auto"/>
              </w:rPr>
            </w:pPr>
            <w:r>
              <w:rPr>
                <w:rFonts w:ascii="Arial" w:cs="Arial" w:eastAsia="Arial" w:hAnsi="Arial"/>
                <w:sz w:val="12"/>
                <w:szCs w:val="12"/>
                <w:b w:val="1"/>
                <w:bCs w:val="1"/>
                <w:color w:val="auto"/>
                <w:w w:val="92"/>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47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w w:val="92"/>
              </w:rPr>
              <w:t>Amount</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2"/>
                <w:szCs w:val="12"/>
                <w:b w:val="1"/>
                <w:bCs w:val="1"/>
                <w:color w:val="auto"/>
                <w:w w:val="95"/>
              </w:rPr>
              <w:t>Amortization</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7"/>
              <w:spacing w:after="0"/>
              <w:rPr>
                <w:sz w:val="20"/>
                <w:szCs w:val="20"/>
                <w:color w:val="auto"/>
              </w:rPr>
            </w:pPr>
            <w:r>
              <w:rPr>
                <w:rFonts w:ascii="Arial" w:cs="Arial" w:eastAsia="Arial" w:hAnsi="Arial"/>
                <w:sz w:val="12"/>
                <w:szCs w:val="12"/>
                <w:b w:val="1"/>
                <w:bCs w:val="1"/>
                <w:color w:val="auto"/>
                <w:w w:val="92"/>
              </w:rPr>
              <w:t>Amount</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Customer relationships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(149)</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Brand</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(276)</w:t>
            </w: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2,224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Technology</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16,900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(469)</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Supplier agreement</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(568)</w:t>
            </w: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2,432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vMerge w:val="restart"/>
          </w:tcPr>
          <w:p>
            <w:pPr>
              <w:ind w:left="100"/>
              <w:spacing w:after="0"/>
              <w:rPr>
                <w:sz w:val="20"/>
                <w:szCs w:val="20"/>
                <w:color w:val="auto"/>
              </w:rPr>
            </w:pPr>
            <w:r>
              <w:rPr>
                <w:rFonts w:ascii="Arial" w:cs="Arial" w:eastAsia="Arial" w:hAnsi="Arial"/>
                <w:sz w:val="15"/>
                <w:szCs w:val="15"/>
                <w:color w:val="auto"/>
              </w:rPr>
              <w:t>Total intangible assets and goodwill</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47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51,250</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(1,462)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49,788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w w:val="92"/>
              </w:rPr>
              <w:t>Estimated amortization expense for the next five fiscal years and all years thereafter are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0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July 1, 2020 to December 31, 2020</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1,737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2021</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3,473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ind w:left="1320"/>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3,473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CFF0FC"/>
            </w:tcBorders>
          </w:tcPr>
          <w:p>
            <w:pPr>
              <w:spacing w:after="0"/>
              <w:rPr>
                <w:sz w:val="16"/>
                <w:szCs w:val="16"/>
                <w:color w:val="auto"/>
              </w:rPr>
            </w:pPr>
          </w:p>
        </w:tc>
        <w:tc>
          <w:tcPr>
            <w:tcW w:w="7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4,973</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47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20,602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Company and its subsidiaries have various operating lease agreements, which expire on various dates.</w:t>
      </w:r>
    </w:p>
    <w:p>
      <w:pPr>
        <w:spacing w:after="0" w:line="214"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56"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311" w:right="35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Aggregate future minimum lease payments and purchase commitments with manufacturers as of June 30, 2020 are as follows:</w:t>
      </w:r>
    </w:p>
    <w:p>
      <w:pPr>
        <w:spacing w:after="0" w:line="203"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Office</w:t>
            </w:r>
          </w:p>
        </w:tc>
        <w:tc>
          <w:tcPr>
            <w:tcW w:w="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Purchase</w:t>
            </w: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Lease</w:t>
            </w:r>
          </w:p>
        </w:tc>
        <w:tc>
          <w:tcPr>
            <w:tcW w:w="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Commitments</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July 1, 2020 to December 31, 2020</w:t>
            </w: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1,162</w:t>
            </w:r>
          </w:p>
        </w:tc>
        <w:tc>
          <w:tcPr>
            <w:tcW w:w="1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9,124</w:t>
            </w: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2021</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1,881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953</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FF0FC"/>
          </w:tcPr>
          <w:p>
            <w:pPr>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5,921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13,883</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total rent expense for all operating leases for the three months ended June 30, 2020 and 2019 was $451 and $498, respectively. The total rent expense for all operating leases for the six months ended June 30, 2020 and 2019 was $1,021 and $888,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Commitments</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As of June 30, 2020, the Company has non-cancellable purchase orders placed with its contract manufacturers in the amount of $7,962. In addition, as of June 30, 2020, the Company had $1,181 of open purchase orders that can be cancelled with 90 days’ notice, except for a portion equal to 15% of the total amount representing the purchase of “long lead items”.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Purported Shareholder Class Actions</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Between May 23, 2018 and June 11, 2019, four putative shareholder class actions complaints were filed against Restoration Robotics, Inc., certain of its former officers and directors, certain of its venture capital investors, and the underwriters of the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5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The court has not yet issued any decision.</w:t>
      </w:r>
    </w:p>
    <w:p>
      <w:pPr>
        <w:spacing w:after="0" w:line="33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515" w:right="33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and discovery is underway. On May 29, 2020, Lead Plaintiff filed a motion for class certification, which the Company elected not to oppose, and on July 29, 2020, the court certified a class of investors who purchased shares of the Company common stock pursuant or traceable to the Company’s initial public offering.</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or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In addition to the actions described above relating to the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Inc.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Inc.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The Company believes that these lawsuits are without merit and management intends to vigorously defend against these claims. The Company filed a motion to dismiss the complaint on May 26, 2020. On July 2, 2020, plaintiff and the Company filed a stipulation of dismissal with prejudice as to the plaintiff and without prejudice as to the putative class. The Company believes that these lawsuits are without merit and management intends to vigorously defend against these claims.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Venus Concept China Matter</w:t>
      </w:r>
    </w:p>
    <w:p>
      <w:pPr>
        <w:spacing w:after="0" w:line="214"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SAMR, Xuhui MSA and Huangpu MSA, as to whether the product was properly sold as a non-medical device. In January 2019, Venus Concept China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the Company’s total revenues for the years ended December 31, 2018 and 2019, monetary penalties nonetheless could be material.</w:t>
      </w:r>
    </w:p>
    <w:p>
      <w:pPr>
        <w:spacing w:after="0" w:line="359"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11" w:right="319" w:bottom="1440" w:gutter="0" w:footer="0" w:header="0"/>
        </w:sectPr>
      </w:pPr>
    </w:p>
    <w:bookmarkStart w:id="20" w:name="page21"/>
    <w:bookmarkEnd w:id="20"/>
    <w:p>
      <w:pPr>
        <w:ind w:right="20"/>
        <w:spacing w:after="0" w:line="300" w:lineRule="auto"/>
        <w:rPr>
          <w:sz w:val="20"/>
          <w:szCs w:val="20"/>
          <w:color w:val="auto"/>
        </w:rPr>
      </w:pPr>
      <w:r>
        <w:rPr>
          <w:rFonts w:ascii="Arial" w:cs="Arial" w:eastAsia="Arial" w:hAnsi="Arial"/>
          <w:sz w:val="13"/>
          <w:szCs w:val="13"/>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 However, on April 29, 2020, Xuhui MSA informed Venus Concept China that its administrative investigation case has been transferred to Xuhui Branch of Shanghai Municipal Public Security Bureau (“Xuhui PSB”) for further handling. On May 6, 2020, the economic crime investigation department of Xuhui PSB confirmed to Venus Concept China’s local PRC counsel that they would review and decide whether or not to file formally a criminal investigation case against Venus Concept China and any relevant individuals allegedly responsible for any alleged criminal offense(s). On May 29, 2020, Venus Concept China was informed by Xuhui MSA of Xuhui PSB’s decision not to file a criminal investigation case and was shown a written Notice of non-filing of a criminal case issued by Xuhui PSB. On the same day, Xuhui MSA informed Venus Concept China that it would reopen and resume its administrative investigation case against Venus Concept China, which proceedings are currently ongoing.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Company and Venus Concept China are cooperating with the relevant authorities in these matters; however, the Company cannot predict the outcome of these matters.</w:t>
      </w:r>
    </w:p>
    <w:p>
      <w:pPr>
        <w:spacing w:after="0" w:line="225"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Further, the Company may from time to time continue to be involved in various legal proceedings of a character normally incident to the ordinary course of its business, which does not deem to be material to the Company’s business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LONG-TERM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Madryn Credit Agreement</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$70,000. As at June 30, 2020, and as at December 31, 2019, the Subsidiary Obligors had borrowed $60,000 under the term A-1 and A-2 and B tranches of the Madryn Credit Agreement. Term C borrowings of $10,000 were undrawn and are no longer available. Borrowings under the Madryn Credit Agreement are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will become due and payable in full.</w:t>
      </w:r>
    </w:p>
    <w:p>
      <w:pPr>
        <w:spacing w:after="0" w:line="148" w:lineRule="exact"/>
        <w:rPr>
          <w:sz w:val="20"/>
          <w:szCs w:val="20"/>
          <w:color w:val="auto"/>
        </w:rPr>
      </w:pPr>
    </w:p>
    <w:p>
      <w:pPr>
        <w:ind w:right="80"/>
        <w:spacing w:after="0" w:line="324" w:lineRule="auto"/>
        <w:rPr>
          <w:sz w:val="20"/>
          <w:szCs w:val="20"/>
          <w:color w:val="auto"/>
        </w:rPr>
      </w:pPr>
      <w:r>
        <w:rPr>
          <w:rFonts w:ascii="Arial" w:cs="Arial" w:eastAsia="Arial" w:hAnsi="Arial"/>
          <w:sz w:val="13"/>
          <w:szCs w:val="13"/>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a guarantor under the Madryn Credit Agreement, the Company is jointly and severally liable for the obligations (as defined in the Madryn Credit Agreement) thereunder and to secure its obligations, the Company has granted the administrative agent a lien on all of its assets pursuant to the terms of the U.S. Security Agreement. In the event of default under the Madryn Credit Agreement, Madryn may accelerate the obligations and foreclose on the collateral granted by the Company and Venus Concept Ltd. under the U.S. Security Agreement to satisfy the obligations.</w:t>
      </w:r>
    </w:p>
    <w:p>
      <w:pPr>
        <w:spacing w:after="0" w:line="158" w:lineRule="exact"/>
        <w:rPr>
          <w:sz w:val="20"/>
          <w:szCs w:val="20"/>
          <w:color w:val="auto"/>
        </w:rPr>
      </w:pPr>
    </w:p>
    <w:p>
      <w:pPr>
        <w:jc w:val="both"/>
        <w:ind w:right="80"/>
        <w:spacing w:after="0" w:line="265" w:lineRule="auto"/>
        <w:rPr>
          <w:sz w:val="20"/>
          <w:szCs w:val="20"/>
          <w:color w:val="auto"/>
        </w:rPr>
      </w:pPr>
      <w:r>
        <w:rPr>
          <w:rFonts w:ascii="Arial" w:cs="Arial" w:eastAsia="Arial" w:hAnsi="Arial"/>
          <w:sz w:val="15"/>
          <w:szCs w:val="15"/>
          <w:color w:val="auto"/>
        </w:rPr>
        <w:t>Effective August 14, 2018, interest on the Madryn loan is 9.00%, payable quarterly. Previously, interest was payable quarterly, at the Company’s option, as follows: cash interest 9.00% during the interest only period, which was 3 years or 12 principal payments after closing, plus an additional 4.00% rate, paid in kind (“PIK”). The Company has the option of settling the PIK interest in cash or adding the owed interest to the principal amount of the loan.</w:t>
      </w:r>
    </w:p>
    <w:p>
      <w:pPr>
        <w:spacing w:after="0" w:line="156"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Madryn Credit Agreement contains certain covenants that require the Company together with its subsidiaries to achieve certain minimum revenue and liquidity thresholds. The minimum revenue and liquidity covenants require that the Company and its subsidiaries, on a consolidated basis, achieve (i) minimum reported revenue targets for any four consecutive fiscal quarter period of an amount equal to the greater of (A) $100,000 and (B) one hundred and fifty percent (150%) of the aggregate outstanding amount of the loans as of the last day of such four consecutive fiscal quarter period, (ii) minimum levels of cash held in deposit accounts controlled by Madryn to be no less than $2,000 and (iii) minimum levels of cash held in all deposit accounts, plus availability under the CNB Credit Facility (as defined below), to be no less than $5,000.</w:t>
      </w:r>
    </w:p>
    <w:p>
      <w:pPr>
        <w:spacing w:after="0" w:line="144"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311" w:right="359" w:bottom="1440" w:gutter="0" w:footer="0" w:header="0"/>
        </w:sectPr>
      </w:pPr>
    </w:p>
    <w:bookmarkStart w:id="21" w:name="page22"/>
    <w:bookmarkEnd w:id="21"/>
    <w:p>
      <w:pPr>
        <w:jc w:val="both"/>
        <w:ind w:right="140"/>
        <w:spacing w:after="0" w:line="265" w:lineRule="auto"/>
        <w:rPr>
          <w:sz w:val="20"/>
          <w:szCs w:val="20"/>
          <w:color w:val="auto"/>
        </w:rPr>
      </w:pPr>
      <w:r>
        <w:rPr>
          <w:rFonts w:ascii="Arial" w:cs="Arial" w:eastAsia="Arial" w:hAnsi="Arial"/>
          <w:sz w:val="15"/>
          <w:szCs w:val="15"/>
          <w:color w:val="auto"/>
        </w:rPr>
        <w:t>On April 29, 2020, the Company entered into the Twelfth Amendment to the Madryn Credit Agreement that (i) require that interest payments for the period beginning January 1, 2020 and ending on, and including, April 29, 2020 (the “PIK Period”), be paid-in-kind, (ii) increase the interest rate from 9.00% per annum to 12.00% per annum during the PIK Period and (iii) require the Company to provide certain additional financial and other reporting information to the lenders.</w:t>
      </w:r>
    </w:p>
    <w:p>
      <w:pPr>
        <w:spacing w:after="0" w:line="156" w:lineRule="exact"/>
        <w:rPr>
          <w:sz w:val="20"/>
          <w:szCs w:val="20"/>
          <w:color w:val="auto"/>
        </w:rPr>
      </w:pPr>
    </w:p>
    <w:p>
      <w:pPr>
        <w:ind w:right="200"/>
        <w:spacing w:after="0" w:line="259" w:lineRule="auto"/>
        <w:rPr>
          <w:sz w:val="20"/>
          <w:szCs w:val="20"/>
          <w:color w:val="auto"/>
        </w:rPr>
      </w:pPr>
      <w:r>
        <w:rPr>
          <w:rFonts w:ascii="Arial" w:cs="Arial" w:eastAsia="Arial" w:hAnsi="Arial"/>
          <w:sz w:val="15"/>
          <w:szCs w:val="15"/>
          <w:color w:val="auto"/>
        </w:rPr>
        <w:t>On June 30, 2020, the Company entered into the Thirteenth Amendment to the Madryn Credit Agreement that (i) extends the PIK Period through June 30, 2020, (ii) reduces the consolidated minimum revenue threshold requirement (a) for the four consecutive fiscal quarter period ended June 30, 2020, to at least $85,000 and (b) for the four consecutive fiscal quarter period ending September 30, 2020, to at least $75,000, (iii) requires the Company to raise at least $5,000 of cash proceeds from the issuance of equity during the period June 1, 2020 through September 30, 2020 and (iv) obligates the Company to use its best efforts to raise an additional $2,000 of cash proceeds from the issuance of equity during the period June 1, 2020 through September 30, 2020.</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Madryn Credit Agreement also contains various covenants that limit the Company’s ability and the ability of its subsidiaries to engage in specified types of transactions.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Subject to limited exceptions, these covenants limit the Company’s ability, without Madryn’s consent, to, among other things:</w:t>
      </w:r>
    </w:p>
    <w:p>
      <w:pPr>
        <w:spacing w:after="0" w:line="182"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sell, lease, transfer, exclusively license or dispose of the Company’s assets;</w:t>
      </w:r>
    </w:p>
    <w:p>
      <w:pPr>
        <w:spacing w:after="0" w:line="18"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create, incur, assume or permit to exist additional indebtedness or liens, which may limit the Company’s ability to raise additional capital;</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restricted payments, including paying dividends on, repurchasing or making distributions with respect to the Company’s capital stock;</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pay any cash dividend or make any other cash distribution or payment in respect of the Company’s capital stock;</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specified investments (including loans and advances);</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make changes to certain key personnel including the Company’s President and Chief Executive Officer;</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merge, consolidate or liquidate; and</w:t>
      </w:r>
    </w:p>
    <w:p>
      <w:pPr>
        <w:spacing w:after="0" w:line="9" w:lineRule="exact"/>
        <w:rPr>
          <w:rFonts w:ascii="Arial" w:cs="Arial" w:eastAsia="Arial" w:hAnsi="Arial"/>
          <w:sz w:val="15"/>
          <w:szCs w:val="15"/>
          <w:color w:val="auto"/>
        </w:rPr>
      </w:pPr>
    </w:p>
    <w:p>
      <w:pPr>
        <w:ind w:left="1120" w:hanging="558"/>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enter into certain transactions with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2020 and as of December 31, 2019 the Company was in compliance with all required covenants.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Pursuant to the Madryn Credit Agreement, if all or any portion of the loans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scheduled principal payments on the outstanding borrowings as of June 30, 2020 are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As of</w:t>
            </w:r>
          </w:p>
        </w:tc>
      </w:tr>
      <w:tr>
        <w:trPr>
          <w:trHeight w:val="125"/>
        </w:trPr>
        <w:tc>
          <w:tcPr>
            <w:tcW w:w="44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87"/>
              </w:rPr>
              <w:t>June 30,</w:t>
            </w:r>
          </w:p>
        </w:tc>
      </w:tr>
      <w:tr>
        <w:trPr>
          <w:trHeight w:val="145"/>
        </w:trPr>
        <w:tc>
          <w:tcPr>
            <w:tcW w:w="4420" w:type="dxa"/>
            <w:vAlign w:val="bottom"/>
            <w:tcBorders>
              <w:bottom w:val="single" w:sz="8" w:color="CFF0FC"/>
            </w:tcBorders>
          </w:tcPr>
          <w:p>
            <w:pPr>
              <w:spacing w:after="0"/>
              <w:rPr>
                <w:sz w:val="12"/>
                <w:szCs w:val="12"/>
                <w:color w:val="auto"/>
              </w:rPr>
            </w:pPr>
          </w:p>
        </w:tc>
        <w:tc>
          <w:tcPr>
            <w:tcW w:w="20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Borders>
              <w:bottom w:val="single" w:sz="8" w:color="CFF0FC"/>
            </w:tcBorders>
          </w:tcPr>
          <w:p>
            <w:pPr>
              <w:spacing w:after="0"/>
              <w:rPr>
                <w:sz w:val="12"/>
                <w:szCs w:val="12"/>
                <w:color w:val="auto"/>
              </w:rPr>
            </w:pPr>
          </w:p>
        </w:tc>
      </w:tr>
      <w:tr>
        <w:trPr>
          <w:trHeight w:val="18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2020</w:t>
            </w:r>
          </w:p>
        </w:tc>
        <w:tc>
          <w:tcPr>
            <w:tcW w:w="2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r>
      <w:tr>
        <w:trPr>
          <w:trHeight w:val="192"/>
        </w:trPr>
        <w:tc>
          <w:tcPr>
            <w:tcW w:w="4420" w:type="dxa"/>
            <w:vAlign w:val="bottom"/>
          </w:tcPr>
          <w:p>
            <w:pPr>
              <w:spacing w:after="0"/>
              <w:rPr>
                <w:sz w:val="20"/>
                <w:szCs w:val="20"/>
                <w:color w:val="auto"/>
              </w:rPr>
            </w:pPr>
            <w:r>
              <w:rPr>
                <w:rFonts w:ascii="Arial" w:cs="Arial" w:eastAsia="Arial" w:hAnsi="Arial"/>
                <w:sz w:val="15"/>
                <w:szCs w:val="15"/>
                <w:color w:val="auto"/>
              </w:rPr>
              <w:t>2021</w:t>
            </w:r>
          </w:p>
        </w:tc>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r>
      <w:tr>
        <w:trPr>
          <w:trHeight w:val="19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2022</w:t>
            </w:r>
          </w:p>
        </w:tc>
        <w:tc>
          <w:tcPr>
            <w:tcW w:w="2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66,574</w:t>
            </w:r>
          </w:p>
        </w:tc>
        <w:tc>
          <w:tcPr>
            <w:tcW w:w="80" w:type="dxa"/>
            <w:vAlign w:val="bottom"/>
            <w:shd w:val="clear" w:color="auto" w:fill="CFF0FC"/>
          </w:tcPr>
          <w:p>
            <w:pPr>
              <w:spacing w:after="0"/>
              <w:rPr>
                <w:sz w:val="16"/>
                <w:szCs w:val="16"/>
                <w:color w:val="auto"/>
              </w:rPr>
            </w:pPr>
          </w:p>
        </w:tc>
      </w:tr>
      <w:tr>
        <w:trPr>
          <w:trHeight w:val="192"/>
        </w:trPr>
        <w:tc>
          <w:tcPr>
            <w:tcW w:w="4420" w:type="dxa"/>
            <w:vAlign w:val="bottom"/>
          </w:tcPr>
          <w:p>
            <w:pPr>
              <w:ind w:left="100"/>
              <w:spacing w:after="0"/>
              <w:rPr>
                <w:sz w:val="20"/>
                <w:szCs w:val="20"/>
                <w:color w:val="auto"/>
              </w:rPr>
            </w:pPr>
            <w:r>
              <w:rPr>
                <w:rFonts w:ascii="Arial" w:cs="Arial" w:eastAsia="Arial" w:hAnsi="Arial"/>
                <w:sz w:val="15"/>
                <w:szCs w:val="15"/>
                <w:color w:val="auto"/>
              </w:rPr>
              <w:t>Total</w:t>
            </w:r>
          </w:p>
        </w:tc>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66,574</w:t>
            </w:r>
          </w:p>
        </w:tc>
        <w:tc>
          <w:tcPr>
            <w:tcW w:w="80" w:type="dxa"/>
            <w:vAlign w:val="bottom"/>
          </w:tcPr>
          <w:p>
            <w:pPr>
              <w:spacing w:after="0"/>
              <w:rPr>
                <w:sz w:val="16"/>
                <w:szCs w:val="16"/>
                <w:color w:val="auto"/>
              </w:rPr>
            </w:pPr>
          </w:p>
        </w:tc>
      </w:tr>
      <w:tr>
        <w:trPr>
          <w:trHeight w:val="194"/>
        </w:trPr>
        <w:tc>
          <w:tcPr>
            <w:tcW w:w="4420" w:type="dxa"/>
            <w:vAlign w:val="bottom"/>
            <w:shd w:val="clear" w:color="auto" w:fill="CFF0FC"/>
          </w:tcPr>
          <w:p>
            <w:pPr>
              <w:spacing w:after="0"/>
              <w:rPr>
                <w:sz w:val="20"/>
                <w:szCs w:val="20"/>
                <w:color w:val="auto"/>
              </w:rPr>
            </w:pPr>
            <w:r>
              <w:rPr>
                <w:rFonts w:ascii="Arial" w:cs="Arial" w:eastAsia="Arial" w:hAnsi="Arial"/>
                <w:sz w:val="15"/>
                <w:szCs w:val="15"/>
                <w:color w:val="auto"/>
              </w:rPr>
              <w:t>Less: debt discounts and issuance costs</w:t>
            </w:r>
          </w:p>
        </w:tc>
        <w:tc>
          <w:tcPr>
            <w:tcW w:w="2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(1,210)</w:t>
            </w:r>
          </w:p>
        </w:tc>
      </w:tr>
      <w:tr>
        <w:trPr>
          <w:trHeight w:val="192"/>
        </w:trPr>
        <w:tc>
          <w:tcPr>
            <w:tcW w:w="44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Less: current portion</w:t>
            </w:r>
          </w:p>
        </w:tc>
        <w:tc>
          <w:tcPr>
            <w:tcW w:w="20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tcPr>
          <w:p>
            <w:pPr>
              <w:spacing w:after="0"/>
              <w:rPr>
                <w:sz w:val="16"/>
                <w:szCs w:val="16"/>
                <w:color w:val="auto"/>
              </w:rPr>
            </w:pPr>
          </w:p>
        </w:tc>
      </w:tr>
      <w:tr>
        <w:trPr>
          <w:trHeight w:val="207"/>
        </w:trPr>
        <w:tc>
          <w:tcPr>
            <w:tcW w:w="44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Non-current portion</w:t>
            </w:r>
          </w:p>
        </w:tc>
        <w:tc>
          <w:tcPr>
            <w:tcW w:w="23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65,364</w:t>
            </w:r>
          </w:p>
        </w:tc>
        <w:tc>
          <w:tcPr>
            <w:tcW w:w="80" w:type="dxa"/>
            <w:vAlign w:val="bottom"/>
            <w:shd w:val="clear" w:color="auto" w:fill="CFF0FC"/>
          </w:tcPr>
          <w:p>
            <w:pPr>
              <w:spacing w:after="0"/>
              <w:rPr>
                <w:sz w:val="18"/>
                <w:szCs w:val="18"/>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CREDIT FACILITY</w:t>
      </w:r>
    </w:p>
    <w:p>
      <w:pPr>
        <w:spacing w:after="0" w:line="21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Company has an agreement with City National Bank of Florida (“CNB”) pursuant to which CNB agreed to provide a revolving credit facility to certain of the Company’s subsidiaries in the maximum principal amount of $10,000 ($10,000 in 2019, starting from April 2019), to be used to finance working capital requirements (the “Credit Facility”). As of June 30, 2020, the Company had $3,861 outstanding ($7,789 as of December 31, 2019) under the Credit Facility, which bears interest at LIBOR rate plus 3.25%, which amounted to a weighted average of 4.06% (5.72% for the six months ended June 30, 2019).</w:t>
      </w:r>
    </w:p>
    <w:p>
      <w:pPr>
        <w:spacing w:after="0" w:line="363"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92" w:right="339" w:bottom="1440" w:gutter="0" w:footer="0" w:header="0"/>
        </w:sectPr>
      </w:pPr>
    </w:p>
    <w:bookmarkStart w:id="22" w:name="page23"/>
    <w:bookmarkEnd w:id="22"/>
    <w:p>
      <w:pPr>
        <w:ind w:right="100"/>
        <w:spacing w:after="0" w:line="279" w:lineRule="auto"/>
        <w:rPr>
          <w:sz w:val="20"/>
          <w:szCs w:val="20"/>
          <w:color w:val="auto"/>
        </w:rPr>
      </w:pPr>
      <w:r>
        <w:rPr>
          <w:rFonts w:ascii="Arial" w:cs="Arial" w:eastAsia="Arial" w:hAnsi="Arial"/>
          <w:sz w:val="14"/>
          <w:szCs w:val="14"/>
          <w:color w:val="auto"/>
        </w:rPr>
        <w:t>On March 20, 2020, the Company entered into a Second Amended and Restated Loan Agreement as a borrower with CNB, as amended, pursuant to which CNB agreed to make certain loans and other financial accommodations to the Company, and certain of its subsidiaries. In connection with the CNB Credit Facility, the Company also entered into (i) a Second Amended and Restated Guaranty of Payment and Performance with CNB dated as of March 20, 2020, (the “CNB Guaranty”), pursuant to which the Company agreed to guaranty the obligations under the CNB Credit Facility and (ii) a Security Agreement with CNB dated as of March 20, 2020, (the “CNB Security Agreement”), pursuant to which the Company agreed to grant CNB a security interest, in substantially all of its assets, to secure the obligations under the CNB Credit Facility. Borrowings under the CNB Credit Facility are secured by substantially all of the assets of the Company and its subsidiaries and the CNB Guaranty.</w:t>
      </w:r>
    </w:p>
    <w:p>
      <w:pPr>
        <w:spacing w:after="0" w:line="172"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The CNB Credit Facility requires the Company to maintain either a minimum cash balance in deposit accounts or a maximum total liability to tangible net worth ratio and a minimum debt service coverage ratio. As of June 30, 2020 and December 31, 2019, the Company was in compliance with all required covenants. An event of default under this agreement would cause a default under the Madryn Credit Agreement (see Note 9).</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GOVERNMENT ASSISTANCE PROGRAMS</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 Company and one of its subsidiaries, Venus Concept USA Inc.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56"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The Company entered the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Venus Concept PPP Loan contain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58" w:lineRule="exact"/>
        <w:rPr>
          <w:sz w:val="20"/>
          <w:szCs w:val="20"/>
          <w:color w:val="auto"/>
        </w:rPr>
      </w:pPr>
    </w:p>
    <w:p>
      <w:pPr>
        <w:jc w:val="both"/>
        <w:ind w:right="180"/>
        <w:spacing w:after="0" w:line="265" w:lineRule="auto"/>
        <w:rPr>
          <w:sz w:val="20"/>
          <w:szCs w:val="20"/>
          <w:color w:val="auto"/>
        </w:rPr>
      </w:pPr>
      <w:r>
        <w:rPr>
          <w:rFonts w:ascii="Arial" w:cs="Arial" w:eastAsia="Arial" w:hAnsi="Arial"/>
          <w:sz w:val="15"/>
          <w:szCs w:val="15"/>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56" w:lineRule="exact"/>
        <w:rPr>
          <w:sz w:val="20"/>
          <w:szCs w:val="20"/>
          <w:color w:val="auto"/>
        </w:rPr>
      </w:pPr>
    </w:p>
    <w:p>
      <w:pPr>
        <w:ind w:right="20"/>
        <w:spacing w:after="0" w:line="358" w:lineRule="auto"/>
        <w:rPr>
          <w:sz w:val="20"/>
          <w:szCs w:val="20"/>
          <w:color w:val="auto"/>
        </w:rPr>
      </w:pPr>
      <w:r>
        <w:rPr>
          <w:rFonts w:ascii="Arial" w:cs="Arial" w:eastAsia="Arial" w:hAnsi="Arial"/>
          <w:sz w:val="13"/>
          <w:szCs w:val="13"/>
          <w:color w:val="auto"/>
        </w:rPr>
        <w:t>Under certain circumstances, all or a portion of the PPP Loans may be forgiven, however, there can be no assurance that any portion of the PPP Loans will be forgiven and that the Company would not be required to repay the PPP Loans in full. The Company recorded PPP Loans within the long-term liabilities in the condensed consolidated balance sheet.</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Under the Madryn Credit Agreement each PPP Loan is permitted to be incurred by the Company and Venus Concept USA as long as certain conditions remain satisfied, including that all PPP Loans must be forgiven other than any amount which can fit under existing permitted debt baskets in the Madryn Credit Agreement. If the Company and/or Venus Concept USA defaults on the respective PPP Loan or if any of the conditions to the incurrence thereof under the Madryn Credit Agreement are not satisfied (i) events of default will occur under the Madryn Credit Agreement and the CNB Credit Facility and (ii) the Company and Venus Concept USA may be required to immediately repay their respective PPP Loan.</w:t>
      </w:r>
    </w:p>
    <w:p>
      <w:pPr>
        <w:spacing w:after="0" w:line="16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U.S. Small Business Administration (the “SBA”) has decided, in consultation with the Department of the Treasury, that it will review all loans in excess of $2,000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2020, the Company had $4,048 outstanding under the PPP Loans (None as of December 31, 2019).</w:t>
      </w:r>
    </w:p>
    <w:p>
      <w:pPr>
        <w:spacing w:after="0" w:line="191"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On May 6, 2020 the Company’s subsidiary, Venus Concept UK Limited, received funding in the total amount of $61.9 (50.0 GBP) in connection with the loan under the Bounce Back Loan Scheme (“Venus Concept UK Loan”), the program established in the U.K. to help smaller businesses impacted by COVID-19. This loan bears interest at 2.5% per annum and matures in six years from the date of disbursement of funds. Interest and principal payments under the Venus Concept UK Loan will be deferred for a period of twelve months. As of June 30, 2020 the balance of the Venus Concept UK Loan was $61.9 (None as of December 31, 2019).</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11" w:right="339" w:bottom="1440" w:gutter="0" w:footer="0" w:header="0"/>
        </w:sectPr>
      </w:pPr>
    </w:p>
    <w:bookmarkStart w:id="23" w:name="page24"/>
    <w:bookmarkEnd w:id="23"/>
    <w:p>
      <w:pPr>
        <w:spacing w:after="0" w:line="265" w:lineRule="auto"/>
        <w:rPr>
          <w:sz w:val="20"/>
          <w:szCs w:val="20"/>
          <w:color w:val="auto"/>
        </w:rPr>
      </w:pPr>
      <w:r>
        <w:rPr>
          <w:rFonts w:ascii="Arial" w:cs="Arial" w:eastAsia="Arial" w:hAnsi="Arial"/>
          <w:sz w:val="15"/>
          <w:szCs w:val="15"/>
          <w:color w:val="auto"/>
        </w:rPr>
        <w:t>Certain of the Company’s subsidiaries applied for government assistance programs and received government subsidies aggregating $555. The terms of these government assistance programs vary by jurisdiction. The Company recorded government subsidies received as a reduction to the associated wage costs in general and administrative expenses in the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COMMON STOCK RESERVED FOR ISSUANCE</w:t>
      </w:r>
    </w:p>
    <w:p>
      <w:pPr>
        <w:spacing w:after="0" w:line="218" w:lineRule="exact"/>
        <w:rPr>
          <w:sz w:val="20"/>
          <w:szCs w:val="20"/>
          <w:color w:val="auto"/>
        </w:rPr>
      </w:pPr>
    </w:p>
    <w:p>
      <w:pPr>
        <w:ind w:right="260"/>
        <w:spacing w:after="0" w:line="358" w:lineRule="auto"/>
        <w:rPr>
          <w:sz w:val="20"/>
          <w:szCs w:val="20"/>
          <w:color w:val="auto"/>
        </w:rPr>
      </w:pPr>
      <w:r>
        <w:rPr>
          <w:rFonts w:ascii="Arial" w:cs="Arial" w:eastAsia="Arial" w:hAnsi="Arial"/>
          <w:sz w:val="13"/>
          <w:szCs w:val="13"/>
          <w:color w:val="auto"/>
        </w:rPr>
        <w:t>The Company is required to reserve and keep available out of its authorized but unissued shares of common stock a number of shares sufficient to affect the conversion of all outstanding shares of convertible preferred stock, plus exercise of all options granted and available for grant under the incentive plans and warrants to purchase common stock.</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45"/>
        </w:trPr>
        <w:tc>
          <w:tcPr>
            <w:tcW w:w="4340" w:type="dxa"/>
            <w:vAlign w:val="bottom"/>
          </w:tcPr>
          <w:p>
            <w:pPr>
              <w:spacing w:after="0"/>
              <w:rPr>
                <w:sz w:val="12"/>
                <w:szCs w:val="12"/>
                <w:color w:val="auto"/>
              </w:rPr>
            </w:pPr>
          </w:p>
        </w:tc>
        <w:tc>
          <w:tcPr>
            <w:tcW w:w="1840" w:type="dxa"/>
            <w:vAlign w:val="bottom"/>
            <w:gridSpan w:val="2"/>
          </w:tcPr>
          <w:p>
            <w:pPr>
              <w:ind w:left="440"/>
              <w:spacing w:after="0"/>
              <w:rPr>
                <w:sz w:val="20"/>
                <w:szCs w:val="20"/>
                <w:color w:val="auto"/>
              </w:rPr>
            </w:pPr>
            <w:r>
              <w:rPr>
                <w:rFonts w:ascii="Arial" w:cs="Arial" w:eastAsia="Arial" w:hAnsi="Arial"/>
                <w:sz w:val="12"/>
                <w:szCs w:val="12"/>
                <w:b w:val="1"/>
                <w:bCs w:val="1"/>
                <w:color w:val="auto"/>
              </w:rPr>
              <w:t>June 30, 2020</w:t>
            </w:r>
          </w:p>
        </w:tc>
        <w:tc>
          <w:tcPr>
            <w:tcW w:w="1700" w:type="dxa"/>
            <w:vAlign w:val="bottom"/>
            <w:gridSpan w:val="2"/>
          </w:tcPr>
          <w:p>
            <w:pPr>
              <w:ind w:left="320"/>
              <w:spacing w:after="0"/>
              <w:rPr>
                <w:sz w:val="20"/>
                <w:szCs w:val="20"/>
                <w:color w:val="auto"/>
              </w:rPr>
            </w:pPr>
            <w:r>
              <w:rPr>
                <w:rFonts w:ascii="Arial" w:cs="Arial" w:eastAsia="Arial" w:hAnsi="Arial"/>
                <w:sz w:val="12"/>
                <w:szCs w:val="12"/>
                <w:b w:val="1"/>
                <w:bCs w:val="1"/>
                <w:color w:val="auto"/>
              </w:rPr>
              <w:t>December 31, 2019</w:t>
            </w:r>
          </w:p>
        </w:tc>
      </w:tr>
      <w:tr>
        <w:trPr>
          <w:trHeight w:val="184"/>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common stock warrants</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10,665,067</w:t>
            </w:r>
          </w:p>
        </w:tc>
        <w:tc>
          <w:tcPr>
            <w:tcW w:w="220" w:type="dxa"/>
            <w:vAlign w:val="bottom"/>
            <w:tcBorders>
              <w:top w:val="single" w:sz="8" w:color="CFF0FC"/>
            </w:tcBorders>
            <w:shd w:val="clear" w:color="auto" w:fill="CFF0FC"/>
          </w:tcPr>
          <w:p>
            <w:pPr>
              <w:spacing w:after="0"/>
              <w:rPr>
                <w:sz w:val="16"/>
                <w:szCs w:val="16"/>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3,990,067</w:t>
            </w:r>
          </w:p>
        </w:tc>
        <w:tc>
          <w:tcPr>
            <w:tcW w:w="80" w:type="dxa"/>
            <w:vAlign w:val="bottom"/>
            <w:tcBorders>
              <w:top w:val="single" w:sz="8" w:color="CFF0FC"/>
            </w:tcBorders>
            <w:shd w:val="clear" w:color="auto" w:fill="CFF0FC"/>
          </w:tcPr>
          <w:p>
            <w:pPr>
              <w:spacing w:after="0"/>
              <w:rPr>
                <w:sz w:val="16"/>
                <w:szCs w:val="16"/>
                <w:color w:val="auto"/>
              </w:rPr>
            </w:pPr>
          </w:p>
        </w:tc>
      </w:tr>
      <w:tr>
        <w:trPr>
          <w:trHeight w:val="192"/>
        </w:trPr>
        <w:tc>
          <w:tcPr>
            <w:tcW w:w="4340" w:type="dxa"/>
            <w:vAlign w:val="bottom"/>
          </w:tcPr>
          <w:p>
            <w:pPr>
              <w:spacing w:after="0"/>
              <w:rPr>
                <w:sz w:val="20"/>
                <w:szCs w:val="20"/>
                <w:color w:val="auto"/>
              </w:rPr>
            </w:pPr>
            <w:r>
              <w:rPr>
                <w:rFonts w:ascii="Arial" w:cs="Arial" w:eastAsia="Arial" w:hAnsi="Arial"/>
                <w:sz w:val="15"/>
                <w:szCs w:val="15"/>
                <w:color w:val="auto"/>
              </w:rPr>
              <w:t>Outstanding stock options</w:t>
            </w:r>
          </w:p>
        </w:tc>
        <w:tc>
          <w:tcPr>
            <w:tcW w:w="1620" w:type="dxa"/>
            <w:vAlign w:val="bottom"/>
          </w:tcPr>
          <w:p>
            <w:pPr>
              <w:jc w:val="right"/>
              <w:spacing w:after="0"/>
              <w:rPr>
                <w:sz w:val="20"/>
                <w:szCs w:val="20"/>
                <w:color w:val="auto"/>
              </w:rPr>
            </w:pPr>
            <w:r>
              <w:rPr>
                <w:rFonts w:ascii="Arial" w:cs="Arial" w:eastAsia="Arial" w:hAnsi="Arial"/>
                <w:sz w:val="15"/>
                <w:szCs w:val="15"/>
                <w:color w:val="auto"/>
              </w:rPr>
              <w:t>4,787,295</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3,278,439</w:t>
            </w:r>
          </w:p>
        </w:tc>
        <w:tc>
          <w:tcPr>
            <w:tcW w:w="80" w:type="dxa"/>
            <w:vAlign w:val="bottom"/>
          </w:tcPr>
          <w:p>
            <w:pPr>
              <w:spacing w:after="0"/>
              <w:rPr>
                <w:sz w:val="16"/>
                <w:szCs w:val="16"/>
                <w:color w:val="auto"/>
              </w:rPr>
            </w:pPr>
          </w:p>
        </w:tc>
      </w:tr>
      <w:tr>
        <w:trPr>
          <w:trHeight w:val="194"/>
        </w:trPr>
        <w:tc>
          <w:tcPr>
            <w:tcW w:w="4340" w:type="dxa"/>
            <w:vAlign w:val="bottom"/>
            <w:shd w:val="clear" w:color="auto" w:fill="CFF0FC"/>
          </w:tcPr>
          <w:p>
            <w:pPr>
              <w:spacing w:after="0"/>
              <w:rPr>
                <w:sz w:val="20"/>
                <w:szCs w:val="20"/>
                <w:color w:val="auto"/>
              </w:rPr>
            </w:pPr>
            <w:r>
              <w:rPr>
                <w:rFonts w:ascii="Arial" w:cs="Arial" w:eastAsia="Arial" w:hAnsi="Arial"/>
                <w:sz w:val="15"/>
                <w:szCs w:val="15"/>
                <w:color w:val="auto"/>
              </w:rPr>
              <w:t>Shares reserved for future option grants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318,427</w:t>
            </w:r>
          </w:p>
        </w:tc>
        <w:tc>
          <w:tcPr>
            <w:tcW w:w="220" w:type="dxa"/>
            <w:vAlign w:val="bottom"/>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742,828</w:t>
            </w:r>
          </w:p>
        </w:tc>
        <w:tc>
          <w:tcPr>
            <w:tcW w:w="80" w:type="dxa"/>
            <w:vAlign w:val="bottom"/>
            <w:shd w:val="clear" w:color="auto" w:fill="CFF0FC"/>
          </w:tcPr>
          <w:p>
            <w:pPr>
              <w:spacing w:after="0"/>
              <w:rPr>
                <w:sz w:val="16"/>
                <w:szCs w:val="16"/>
                <w:color w:val="auto"/>
              </w:rPr>
            </w:pPr>
          </w:p>
        </w:tc>
      </w:tr>
      <w:tr>
        <w:trPr>
          <w:trHeight w:val="184"/>
        </w:trPr>
        <w:tc>
          <w:tcPr>
            <w:tcW w:w="4340" w:type="dxa"/>
            <w:vAlign w:val="bottom"/>
          </w:tcPr>
          <w:p>
            <w:pPr>
              <w:ind w:left="100"/>
              <w:spacing w:after="0"/>
              <w:rPr>
                <w:sz w:val="20"/>
                <w:szCs w:val="20"/>
                <w:color w:val="auto"/>
              </w:rPr>
            </w:pPr>
            <w:r>
              <w:rPr>
                <w:rFonts w:ascii="Arial" w:cs="Arial" w:eastAsia="Arial" w:hAnsi="Arial"/>
                <w:sz w:val="15"/>
                <w:szCs w:val="15"/>
                <w:color w:val="auto"/>
              </w:rPr>
              <w:t>Total common stock reserved for issuance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15,770,789</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8,011,334</w:t>
            </w:r>
          </w:p>
        </w:tc>
        <w:tc>
          <w:tcPr>
            <w:tcW w:w="80" w:type="dxa"/>
            <w:vAlign w:val="bottom"/>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STOCKHOLDERS EQUITY</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common stock confer upon their holders the following rights:</w:t>
      </w:r>
    </w:p>
    <w:p>
      <w:pPr>
        <w:spacing w:after="0" w:line="214" w:lineRule="exact"/>
        <w:rPr>
          <w:sz w:val="20"/>
          <w:szCs w:val="20"/>
          <w:color w:val="auto"/>
        </w:rPr>
      </w:pPr>
    </w:p>
    <w:p>
      <w:pPr>
        <w:ind w:left="760" w:right="20" w:hanging="380"/>
        <w:spacing w:after="0" w:line="278"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participate and vote in the Company’s stockholder meetings, whether annual or special. Each share will entitle its holder, when attending and participating in the voting in person or via proxy, to one vote;</w:t>
      </w:r>
    </w:p>
    <w:p>
      <w:pPr>
        <w:spacing w:after="0" w:line="145" w:lineRule="exact"/>
        <w:rPr>
          <w:rFonts w:ascii="Arial" w:cs="Arial" w:eastAsia="Arial" w:hAnsi="Arial"/>
          <w:sz w:val="15"/>
          <w:szCs w:val="15"/>
          <w:color w:val="auto"/>
        </w:rPr>
      </w:pPr>
    </w:p>
    <w:p>
      <w:pPr>
        <w:ind w:left="760" w:hanging="380"/>
        <w:spacing w:after="0" w:line="278"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a share in the distribution of dividends, whether in cash or in the form of bonus shares, the distribution of assets or any other distribution pro rata to the par value of the shares held by them; and</w:t>
      </w:r>
    </w:p>
    <w:p>
      <w:pPr>
        <w:spacing w:after="0" w:line="145" w:lineRule="exact"/>
        <w:rPr>
          <w:rFonts w:ascii="Arial" w:cs="Arial" w:eastAsia="Arial" w:hAnsi="Arial"/>
          <w:sz w:val="15"/>
          <w:szCs w:val="15"/>
          <w:color w:val="auto"/>
        </w:rPr>
      </w:pPr>
    </w:p>
    <w:p>
      <w:pPr>
        <w:ind w:left="760" w:hanging="380"/>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right to a share in the distribution of the Company’s excess assets upon liquidation pro rata to the par value of the shares held by them.</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Series A preferred stock</w:t>
      </w:r>
    </w:p>
    <w:p>
      <w:pPr>
        <w:spacing w:after="0" w:line="19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As noted in Note 1 above, in March 2020, the Company issued and sold to certain Investors an aggregate of 660,000 shares of Series A Preferred Stock. The terms of the Series A Preferred Stock are governed by a Certificate of Designation filed by the Company with the Secretary of State of the State of Delaware on March 18, 2020. The following is a summary of the material terms of the Series A Preferred Stock:</w:t>
      </w:r>
    </w:p>
    <w:p>
      <w:pPr>
        <w:spacing w:after="0" w:line="156" w:lineRule="exact"/>
        <w:rPr>
          <w:sz w:val="20"/>
          <w:szCs w:val="20"/>
          <w:color w:val="auto"/>
        </w:rPr>
      </w:pPr>
    </w:p>
    <w:p>
      <w:pPr>
        <w:ind w:left="760" w:right="280" w:hanging="380"/>
        <w:spacing w:after="0" w:line="265"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The Series A Preferred Stock has no voting rights except as required by law and except that the consent of the holders of a majority of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the Series A Preferred Stock will be required to amend the terms of the Series A Preferred Stock or take certain other actions with respect to the Series A Preferred Stock.</w:t>
      </w:r>
    </w:p>
    <w:p>
      <w:pPr>
        <w:spacing w:after="0" w:line="155"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Liquidation. </w:t>
      </w:r>
      <w:r>
        <w:rPr>
          <w:rFonts w:ascii="Arial" w:cs="Arial" w:eastAsia="Arial" w:hAnsi="Arial"/>
          <w:sz w:val="15"/>
          <w:szCs w:val="15"/>
          <w:color w:val="auto"/>
        </w:rPr>
        <w:t>The Series A Preferred Stock does not have a preference upon any liquidation, dissolution or winding-up of the Company.</w:t>
      </w:r>
    </w:p>
    <w:p>
      <w:pPr>
        <w:spacing w:after="0" w:line="190" w:lineRule="exact"/>
        <w:rPr>
          <w:rFonts w:ascii="Arial" w:cs="Arial" w:eastAsia="Arial" w:hAnsi="Arial"/>
          <w:sz w:val="15"/>
          <w:szCs w:val="15"/>
          <w:color w:val="auto"/>
        </w:rPr>
      </w:pPr>
    </w:p>
    <w:p>
      <w:pPr>
        <w:ind w:left="760" w:hanging="380"/>
        <w:spacing w:after="0" w:line="25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Conversion</w:t>
      </w:r>
      <w:r>
        <w:rPr>
          <w:rFonts w:ascii="Arial" w:cs="Arial" w:eastAsia="Arial" w:hAnsi="Arial"/>
          <w:sz w:val="15"/>
          <w:szCs w:val="15"/>
          <w:color w:val="auto"/>
        </w:rPr>
        <w:t>. The Series A Preferred Stock is automatically convertible into shares of common stock, based on an initial conversion ratio of 1:10, as adjusted in</w:t>
      </w:r>
      <w:r>
        <w:rPr>
          <w:rFonts w:ascii="Arial" w:cs="Arial" w:eastAsia="Arial" w:hAnsi="Arial"/>
          <w:sz w:val="15"/>
          <w:szCs w:val="15"/>
          <w:i w:val="1"/>
          <w:iCs w:val="1"/>
          <w:color w:val="auto"/>
        </w:rPr>
        <w:t xml:space="preserve"> </w:t>
      </w:r>
      <w:r>
        <w:rPr>
          <w:rFonts w:ascii="Arial" w:cs="Arial" w:eastAsia="Arial" w:hAnsi="Arial"/>
          <w:sz w:val="15"/>
          <w:szCs w:val="15"/>
          <w:color w:val="auto"/>
        </w:rPr>
        <w:t>accordance with the Certificate of Designation, upon receipt of the approval of the Company’s stockholders. The Company is not permitted to issue any shares of common stock upon conversion of the Series A Preferred Stock to the extent that the issuance of such shares of common stock would exceed 19.99% of the Company’s outstanding shares of common stock as of the date of the initial issuance of the Series A Preferred Stock, unless the Company obtains shareholder approval to issue more than such 19.99% (the “Conversion Cap”). The Conversion Cap will be appropriately adjusted for any reorganization, recapitalization, non-cash dividend, stock split, reverse stock split or other similar transaction.</w:t>
      </w:r>
    </w:p>
    <w:p>
      <w:pPr>
        <w:spacing w:after="0" w:line="163"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Dividends. </w:t>
      </w:r>
      <w:r>
        <w:rPr>
          <w:rFonts w:ascii="Arial" w:cs="Arial" w:eastAsia="Arial" w:hAnsi="Arial"/>
          <w:sz w:val="15"/>
          <w:szCs w:val="15"/>
          <w:color w:val="auto"/>
        </w:rPr>
        <w:t>No dividends will be paid on the outstanding shares of the Series A Preferred Stock.</w:t>
      </w:r>
    </w:p>
    <w:p>
      <w:pPr>
        <w:spacing w:after="0" w:line="190" w:lineRule="exact"/>
        <w:rPr>
          <w:rFonts w:ascii="Arial" w:cs="Arial" w:eastAsia="Arial" w:hAnsi="Arial"/>
          <w:sz w:val="15"/>
          <w:szCs w:val="15"/>
          <w:color w:val="auto"/>
        </w:rPr>
      </w:pPr>
    </w:p>
    <w:p>
      <w:pPr>
        <w:ind w:left="760" w:hanging="380"/>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Redemption</w:t>
      </w:r>
      <w:r>
        <w:rPr>
          <w:rFonts w:ascii="Arial" w:cs="Arial" w:eastAsia="Arial" w:hAnsi="Arial"/>
          <w:sz w:val="15"/>
          <w:szCs w:val="15"/>
          <w:color w:val="auto"/>
        </w:rPr>
        <w:t>. The Series A Preferred Stock is not redeemable at the election of the Company or at the election of the holder.</w:t>
      </w:r>
    </w:p>
    <w:p>
      <w:pPr>
        <w:spacing w:after="0" w:line="373"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492" w:right="339" w:bottom="1440" w:gutter="0" w:footer="0" w:header="0"/>
        </w:sectPr>
      </w:pPr>
    </w:p>
    <w:bookmarkStart w:id="24" w:name="page25"/>
    <w:bookmarkEnd w:id="24"/>
    <w:p>
      <w:pPr>
        <w:ind w:left="760" w:hanging="380"/>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Maturity. </w:t>
      </w:r>
      <w:r>
        <w:rPr>
          <w:rFonts w:ascii="Arial" w:cs="Arial" w:eastAsia="Arial" w:hAnsi="Arial"/>
          <w:sz w:val="15"/>
          <w:szCs w:val="15"/>
          <w:color w:val="auto"/>
        </w:rPr>
        <w:t>The Series A Preferred Stock shall be perpetual unless converted.</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Upon issuance, the effective conversion price of the Series A Preferred Stock of $1.93 per share were lower than the market price of the Company’s common stock on the date of issuance of the Series A Preferred Stock of $2.47 per share, as a result, the Company recorded the beneficial conversion feature of $3,564 in APIC. Because the Series A Preferred Stock is perpetual, it is carried at the amount recorded at inception. Subsequently, upon conversion of the Series A Preferred Stock, the beneficial conversion feature was accounted for as deemed dividend as disclosed below.</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Company evaluated the Series A Preferred Stock for liability or equity classification in accordance with the provisions of ASC 480, Distinguishing Liabilities from Equity, and determined that equity treatment was appropriate because the Series A Preferred Stock did not meet the definition of the liability instruments defined thereunder for convertible instruments. Specifically, the Series A Preferred Stock is not mandatorily redeemable and does not embody an obligation to buy back the shares outside of the Company’s control in a manner that could require the transfer of assets. Additionally, the Company determined that the Series A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49"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Since Series A Preferred Stock was sold as a unit with warrants, the proceeds received were allocated to each instrument on a relative fair value basis as it is described below. All outstanding shares of Series A Preferred Stock were converted into shares of common stock on June 16, 2020,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Private Placement Warrants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As noted in Note 1 above, in March 2020, the Company issued and sold to the Investors in the 2020 Private Placement warrants to purchase up to 6,675,000 shares of common stock with an exercise price of $3.50 per share, along with the shares of common stock and preferred stock the Investors purchased.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172" w:lineRule="exact"/>
        <w:rPr>
          <w:sz w:val="20"/>
          <w:szCs w:val="20"/>
          <w:color w:val="auto"/>
        </w:rPr>
      </w:pPr>
    </w:p>
    <w:p>
      <w:pPr>
        <w:jc w:val="both"/>
        <w:ind w:right="180"/>
        <w:spacing w:after="0" w:line="265" w:lineRule="auto"/>
        <w:rPr>
          <w:sz w:val="20"/>
          <w:szCs w:val="20"/>
          <w:color w:val="auto"/>
        </w:rPr>
      </w:pPr>
      <w:r>
        <w:rPr>
          <w:rFonts w:ascii="Arial" w:cs="Arial" w:eastAsia="Arial" w:hAnsi="Arial"/>
          <w:sz w:val="15"/>
          <w:szCs w:val="15"/>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Conversion of Series A Preferred Stock shares</w:t>
      </w:r>
    </w:p>
    <w:p>
      <w:pPr>
        <w:spacing w:after="0" w:line="191"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On June 16, 2020, upon the approval of the Company’s stockholders, 660,000 shares of Series A Preferred Stock were converted into 6,600,000 shares of the Company’s common stock. As a result of the conversion, in accordance with ASC 470-20-40-1, the beneficial conversion feature of $3,564 was recorded as a deemed dividend in APIC, that has been presented as a component of the net loss attributable to common stockholders in the Company’s condensed consolidated statement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2010 Share Option Plan</w:t>
      </w:r>
    </w:p>
    <w:p>
      <w:pPr>
        <w:spacing w:after="0" w:line="214"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Company’s Board, which designates the options and dates of grant. Options granted vest over a period determined by the Board, originally had a contractual life of seven years, which was extended by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June 30, 2020, the number of shares of the Company’s common stock reserved for issuance and available for grant under the 2010 Share Option Plan was 44,450 (44,450 as at December 31, 2019).</w:t>
      </w:r>
    </w:p>
    <w:p>
      <w:pPr>
        <w:spacing w:after="0" w:line="330"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900"/>
          </w:cols>
          <w:pgMar w:left="680" w:top="311"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i w:val="1"/>
          <w:iCs w:val="1"/>
          <w:color w:val="auto"/>
        </w:rPr>
        <w:t>2019 Incentive Award Plan</w:t>
      </w:r>
    </w:p>
    <w:p>
      <w:pPr>
        <w:spacing w:after="0" w:line="214"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The 2019 Incentive Award Plan was originally established under the name Restoration Robotics, Inc., as the 2017 Incentive Award Plan. It was adopted by the Company’s Board on September 12, 2017 and approved by the Company’s stockholders on September 14, 2017. The 2017 Incentive Award Plan was amended, restated, and renamed as set forth above, and was approved by the Company’s stockholders on October 4, 2019.</w:t>
      </w:r>
    </w:p>
    <w:p>
      <w:pPr>
        <w:spacing w:after="0" w:line="156"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Under the 2019 Plan, 450,000 shares of common stock were initially reserved for issuance pursuant to a variety of stock-based compensation awards, including stock options, stock appreciation rights, or SARs, performance stock awards, performance stock unit awards, restricted stock awards, restricted stock unit awards and other stock-based awards, plus the number of shares remaining available for future awards under the 2019 Plan as of the date of the Merger. As of June 30, 2020, there were 273,977 of shares of common stock available under the 2019 Plan (698,378 as at December 31, 2019).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recognized stock-based compensation for its employees and non-employees in the accompanying condensed consolidated statements of operations as follows:</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3"/>
          </w:tcPr>
          <w:p>
            <w:pPr>
              <w:jc w:val="right"/>
              <w:ind w:right="259"/>
              <w:spacing w:after="0"/>
              <w:rPr>
                <w:sz w:val="20"/>
                <w:szCs w:val="20"/>
                <w:color w:val="auto"/>
              </w:rPr>
            </w:pPr>
            <w:r>
              <w:rPr>
                <w:rFonts w:ascii="Arial" w:cs="Arial" w:eastAsia="Arial" w:hAnsi="Arial"/>
                <w:sz w:val="12"/>
                <w:szCs w:val="12"/>
                <w:b w:val="1"/>
                <w:bCs w:val="1"/>
                <w:color w:val="auto"/>
                <w:w w:val="96"/>
              </w:rPr>
              <w:t>Three Months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Six Months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34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2"/>
                <w:szCs w:val="12"/>
                <w:b w:val="1"/>
                <w:bCs w:val="1"/>
                <w:color w:val="auto"/>
                <w:w w:val="92"/>
              </w:rPr>
              <w:t>Ended June 30</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4"/>
              </w:rPr>
              <w:t>Ended June 30</w:t>
            </w: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344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07"/>
              <w:spacing w:after="0" w:line="128" w:lineRule="exact"/>
              <w:rPr>
                <w:sz w:val="20"/>
                <w:szCs w:val="20"/>
                <w:color w:val="auto"/>
              </w:rPr>
            </w:pPr>
            <w:r>
              <w:rPr>
                <w:rFonts w:ascii="Arial" w:cs="Arial" w:eastAsia="Arial" w:hAnsi="Arial"/>
                <w:sz w:val="12"/>
                <w:szCs w:val="12"/>
                <w:b w:val="1"/>
                <w:bCs w:val="1"/>
                <w:color w:val="auto"/>
                <w:w w:val="89"/>
              </w:rPr>
              <w:t>2019</w:t>
            </w:r>
          </w:p>
        </w:tc>
        <w:tc>
          <w:tcPr>
            <w:tcW w:w="60" w:type="dxa"/>
            <w:vAlign w:val="bottom"/>
            <w:tcBorders>
              <w:bottom w:val="single" w:sz="8" w:color="CFF0FC"/>
            </w:tcBorders>
          </w:tcPr>
          <w:p>
            <w:pPr>
              <w:spacing w:after="0"/>
              <w:rPr>
                <w:sz w:val="11"/>
                <w:szCs w:val="11"/>
                <w:color w:val="auto"/>
              </w:rPr>
            </w:pPr>
          </w:p>
        </w:tc>
      </w:tr>
      <w:tr>
        <w:trPr>
          <w:trHeight w:val="184"/>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Cost of sales</w:t>
            </w:r>
          </w:p>
        </w:tc>
        <w:tc>
          <w:tcPr>
            <w:tcW w:w="620" w:type="dxa"/>
            <w:vAlign w:val="bottom"/>
            <w:shd w:val="clear" w:color="auto" w:fill="CFF0FC"/>
          </w:tcPr>
          <w:p>
            <w:pPr>
              <w:jc w:val="right"/>
              <w:ind w:right="507"/>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780" w:type="dxa"/>
            <w:vAlign w:val="bottom"/>
            <w:gridSpan w:val="2"/>
            <w:shd w:val="clear" w:color="auto" w:fill="CFF0FC"/>
          </w:tcPr>
          <w:p>
            <w:pPr>
              <w:jc w:val="right"/>
              <w:ind w:right="459"/>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ind w:right="46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r>
      <w:tr>
        <w:trPr>
          <w:trHeight w:val="192"/>
        </w:trPr>
        <w:tc>
          <w:tcPr>
            <w:tcW w:w="3440" w:type="dxa"/>
            <w:vAlign w:val="bottom"/>
          </w:tcPr>
          <w:p>
            <w:pPr>
              <w:spacing w:after="0"/>
              <w:rPr>
                <w:sz w:val="20"/>
                <w:szCs w:val="20"/>
                <w:color w:val="auto"/>
              </w:rPr>
            </w:pPr>
            <w:r>
              <w:rPr>
                <w:rFonts w:ascii="Arial" w:cs="Arial" w:eastAsia="Arial" w:hAnsi="Arial"/>
                <w:sz w:val="15"/>
                <w:szCs w:val="15"/>
                <w:color w:val="auto"/>
              </w:rPr>
              <w:t>Selling and marketing</w:t>
            </w:r>
          </w:p>
        </w:tc>
        <w:tc>
          <w:tcPr>
            <w:tcW w:w="6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222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710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414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833</w:t>
            </w:r>
          </w:p>
        </w:tc>
        <w:tc>
          <w:tcPr>
            <w:tcW w:w="60" w:type="dxa"/>
            <w:vAlign w:val="bottom"/>
          </w:tcPr>
          <w:p>
            <w:pPr>
              <w:spacing w:after="0"/>
              <w:rPr>
                <w:sz w:val="16"/>
                <w:szCs w:val="16"/>
                <w:color w:val="auto"/>
              </w:rPr>
            </w:pPr>
          </w:p>
        </w:tc>
      </w:tr>
      <w:tr>
        <w:trPr>
          <w:trHeight w:val="194"/>
        </w:trPr>
        <w:tc>
          <w:tcPr>
            <w:tcW w:w="344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6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504</w:t>
            </w:r>
          </w:p>
        </w:tc>
        <w:tc>
          <w:tcPr>
            <w:tcW w:w="60" w:type="dxa"/>
            <w:vAlign w:val="bottom"/>
            <w:shd w:val="clear" w:color="auto" w:fill="CFF0FC"/>
          </w:tcPr>
          <w:p>
            <w:pPr>
              <w:spacing w:after="0"/>
              <w:rPr>
                <w:sz w:val="16"/>
                <w:szCs w:val="16"/>
                <w:color w:val="auto"/>
              </w:rPr>
            </w:pPr>
          </w:p>
        </w:tc>
      </w:tr>
      <w:tr>
        <w:trPr>
          <w:trHeight w:val="192"/>
        </w:trPr>
        <w:tc>
          <w:tcPr>
            <w:tcW w:w="34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Research and development</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8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2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60" w:type="dxa"/>
            <w:vAlign w:val="bottom"/>
            <w:tcBorders>
              <w:bottom w:val="single" w:sz="8" w:color="CFF0FC"/>
            </w:tcBorders>
          </w:tcPr>
          <w:p>
            <w:pPr>
              <w:spacing w:after="0"/>
              <w:rPr>
                <w:sz w:val="16"/>
                <w:szCs w:val="16"/>
                <w:color w:val="auto"/>
              </w:rPr>
            </w:pPr>
          </w:p>
        </w:tc>
      </w:tr>
      <w:tr>
        <w:trPr>
          <w:trHeight w:val="184"/>
        </w:trPr>
        <w:tc>
          <w:tcPr>
            <w:tcW w:w="34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stock-based compensation</w:t>
            </w:r>
          </w:p>
        </w:tc>
        <w:tc>
          <w:tcPr>
            <w:tcW w:w="620" w:type="dxa"/>
            <w:vAlign w:val="bottom"/>
            <w:shd w:val="clear" w:color="auto" w:fill="CFF0FC"/>
          </w:tcPr>
          <w:p>
            <w:pPr>
              <w:jc w:val="right"/>
              <w:ind w:right="507"/>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w:t>
            </w:r>
          </w:p>
        </w:tc>
        <w:tc>
          <w:tcPr>
            <w:tcW w:w="780" w:type="dxa"/>
            <w:vAlign w:val="bottom"/>
            <w:gridSpan w:val="2"/>
            <w:shd w:val="clear" w:color="auto" w:fill="CFF0FC"/>
          </w:tcPr>
          <w:p>
            <w:pPr>
              <w:jc w:val="right"/>
              <w:ind w:right="459"/>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1,044</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6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1,056</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1,419</w:t>
            </w:r>
          </w:p>
        </w:tc>
        <w:tc>
          <w:tcPr>
            <w:tcW w:w="60" w:type="dxa"/>
            <w:vAlign w:val="bottom"/>
            <w:shd w:val="clear" w:color="auto" w:fill="CFF0FC"/>
          </w:tcPr>
          <w:p>
            <w:pPr>
              <w:spacing w:after="0"/>
              <w:rPr>
                <w:sz w:val="16"/>
                <w:szCs w:val="16"/>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each option is estimated at the date of grant using the Black-Scholes option pricing formula with the following assumptions: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1420" w:type="dxa"/>
            <w:vAlign w:val="bottom"/>
            <w:gridSpan w:val="3"/>
          </w:tcPr>
          <w:p>
            <w:pPr>
              <w:ind w:left="640"/>
              <w:spacing w:after="0"/>
              <w:rPr>
                <w:sz w:val="20"/>
                <w:szCs w:val="20"/>
                <w:color w:val="auto"/>
              </w:rPr>
            </w:pPr>
            <w:r>
              <w:rPr>
                <w:rFonts w:ascii="Arial" w:cs="Arial" w:eastAsia="Arial" w:hAnsi="Arial"/>
                <w:sz w:val="12"/>
                <w:szCs w:val="12"/>
                <w:b w:val="1"/>
                <w:bCs w:val="1"/>
                <w:color w:val="auto"/>
                <w:w w:val="96"/>
              </w:rPr>
              <w:t>Three Months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left="651"/>
              <w:spacing w:after="0"/>
              <w:rPr>
                <w:sz w:val="20"/>
                <w:szCs w:val="20"/>
                <w:color w:val="auto"/>
              </w:rPr>
            </w:pPr>
            <w:r>
              <w:rPr>
                <w:rFonts w:ascii="Arial" w:cs="Arial" w:eastAsia="Arial" w:hAnsi="Arial"/>
                <w:sz w:val="12"/>
                <w:szCs w:val="12"/>
                <w:b w:val="1"/>
                <w:bCs w:val="1"/>
                <w:color w:val="auto"/>
                <w:w w:val="93"/>
              </w:rPr>
              <w:t>Six Months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5"/>
        </w:trPr>
        <w:tc>
          <w:tcPr>
            <w:tcW w:w="3380" w:type="dxa"/>
            <w:vAlign w:val="bottom"/>
          </w:tcPr>
          <w:p>
            <w:pPr>
              <w:spacing w:after="0"/>
              <w:rPr>
                <w:sz w:val="12"/>
                <w:szCs w:val="12"/>
                <w:color w:val="auto"/>
              </w:rPr>
            </w:pPr>
          </w:p>
        </w:tc>
        <w:tc>
          <w:tcPr>
            <w:tcW w:w="142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w w:val="92"/>
              </w:rPr>
              <w:t>Ended June 30</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2"/>
                <w:szCs w:val="12"/>
                <w:b w:val="1"/>
                <w:bCs w:val="1"/>
                <w:color w:val="auto"/>
                <w:w w:val="89"/>
              </w:rPr>
              <w:t>Ended June 30</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8"/>
        </w:trPr>
        <w:tc>
          <w:tcPr>
            <w:tcW w:w="3380" w:type="dxa"/>
            <w:vAlign w:val="bottom"/>
            <w:tcBorders>
              <w:bottom w:val="single" w:sz="8" w:color="CFF0FC"/>
            </w:tcBorders>
          </w:tcPr>
          <w:p>
            <w:pPr>
              <w:spacing w:after="0"/>
              <w:rPr>
                <w:sz w:val="11"/>
                <w:szCs w:val="11"/>
                <w:color w:val="auto"/>
              </w:rPr>
            </w:pPr>
          </w:p>
        </w:tc>
        <w:tc>
          <w:tcPr>
            <w:tcW w:w="880" w:type="dxa"/>
            <w:vAlign w:val="bottom"/>
            <w:tcBorders>
              <w:bottom w:val="single" w:sz="8" w:color="auto"/>
            </w:tcBorders>
          </w:tcPr>
          <w:p>
            <w:pPr>
              <w:jc w:val="right"/>
              <w:ind w:right="251"/>
              <w:spacing w:after="0" w:line="128"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7"/>
              <w:spacing w:after="0" w:line="128" w:lineRule="exact"/>
              <w:rPr>
                <w:sz w:val="20"/>
                <w:szCs w:val="20"/>
                <w:color w:val="auto"/>
              </w:rPr>
            </w:pPr>
            <w:r>
              <w:rPr>
                <w:rFonts w:ascii="Arial" w:cs="Arial" w:eastAsia="Arial" w:hAnsi="Arial"/>
                <w:sz w:val="12"/>
                <w:szCs w:val="12"/>
                <w:b w:val="1"/>
                <w:bCs w:val="1"/>
                <w:color w:val="auto"/>
                <w:w w:val="97"/>
              </w:rPr>
              <w:t>2019</w:t>
            </w:r>
          </w:p>
        </w:tc>
        <w:tc>
          <w:tcPr>
            <w:tcW w:w="260" w:type="dxa"/>
            <w:vAlign w:val="bottom"/>
            <w:tcBorders>
              <w:bottom w:val="single" w:sz="8" w:color="CFF0FC"/>
            </w:tcBorders>
          </w:tcPr>
          <w:p>
            <w:pPr>
              <w:spacing w:after="0"/>
              <w:rPr>
                <w:sz w:val="11"/>
                <w:szCs w:val="11"/>
                <w:color w:val="auto"/>
              </w:rPr>
            </w:pPr>
          </w:p>
        </w:tc>
        <w:tc>
          <w:tcPr>
            <w:tcW w:w="1100" w:type="dxa"/>
            <w:vAlign w:val="bottom"/>
            <w:tcBorders>
              <w:bottom w:val="single" w:sz="8" w:color="auto"/>
            </w:tcBorders>
          </w:tcPr>
          <w:p>
            <w:pPr>
              <w:jc w:val="right"/>
              <w:ind w:right="371"/>
              <w:spacing w:after="0" w:line="12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47"/>
              <w:spacing w:after="0" w:line="128"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FF0FC"/>
            </w:tcBorders>
          </w:tcPr>
          <w:p>
            <w:pPr>
              <w:spacing w:after="0"/>
              <w:rPr>
                <w:sz w:val="11"/>
                <w:szCs w:val="11"/>
                <w:color w:val="auto"/>
              </w:rPr>
            </w:pPr>
          </w:p>
        </w:tc>
      </w:tr>
      <w:tr>
        <w:trPr>
          <w:trHeight w:val="184"/>
        </w:trPr>
        <w:tc>
          <w:tcPr>
            <w:tcW w:w="338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term (in years)</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5.00-6.54</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4.00-5.00</w:t>
            </w:r>
          </w:p>
        </w:tc>
        <w:tc>
          <w:tcPr>
            <w:tcW w:w="180" w:type="dxa"/>
            <w:vAlign w:val="bottom"/>
            <w:shd w:val="clear" w:color="auto" w:fill="CFF0FC"/>
          </w:tcPr>
          <w:p>
            <w:pPr>
              <w:spacing w:after="0"/>
              <w:rPr>
                <w:sz w:val="16"/>
                <w:szCs w:val="16"/>
                <w:color w:val="auto"/>
              </w:rPr>
            </w:pPr>
          </w:p>
        </w:tc>
      </w:tr>
      <w:tr>
        <w:trPr>
          <w:trHeight w:val="192"/>
        </w:trPr>
        <w:tc>
          <w:tcPr>
            <w:tcW w:w="338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0.65%</w:t>
            </w: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0.57-1.50%</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1.4-2.53%</w:t>
            </w:r>
          </w:p>
        </w:tc>
      </w:tr>
      <w:tr>
        <w:trPr>
          <w:trHeight w:val="194"/>
        </w:trPr>
        <w:tc>
          <w:tcPr>
            <w:tcW w:w="338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volatility</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43.26%</w:t>
            </w:r>
          </w:p>
        </w:tc>
        <w:tc>
          <w:tcPr>
            <w:tcW w:w="2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50.00%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42.61%</w:t>
            </w:r>
          </w:p>
        </w:tc>
        <w:tc>
          <w:tcPr>
            <w:tcW w:w="3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49.00%</w:t>
            </w:r>
          </w:p>
        </w:tc>
      </w:tr>
      <w:tr>
        <w:trPr>
          <w:trHeight w:val="192"/>
        </w:trPr>
        <w:tc>
          <w:tcPr>
            <w:tcW w:w="3380" w:type="dxa"/>
            <w:vAlign w:val="bottom"/>
          </w:tcPr>
          <w:p>
            <w:pPr>
              <w:ind w:left="20"/>
              <w:spacing w:after="0"/>
              <w:rPr>
                <w:sz w:val="20"/>
                <w:szCs w:val="20"/>
                <w:color w:val="auto"/>
              </w:rPr>
            </w:pPr>
            <w:r>
              <w:rPr>
                <w:rFonts w:ascii="Arial" w:cs="Arial" w:eastAsia="Arial" w:hAnsi="Arial"/>
                <w:sz w:val="15"/>
                <w:szCs w:val="15"/>
                <w:color w:val="auto"/>
              </w:rPr>
              <w:t>Expected dividend rate</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100" w:type="dxa"/>
            <w:vAlign w:val="bottom"/>
          </w:tcPr>
          <w:p>
            <w:pPr>
              <w:jc w:val="right"/>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180" w:type="dxa"/>
            <w:vAlign w:val="bottom"/>
          </w:tcPr>
          <w:p>
            <w:pPr>
              <w:spacing w:after="0"/>
              <w:rPr>
                <w:sz w:val="16"/>
                <w:szCs w:val="16"/>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management’s best estimate for the options to be exercised by option holders.</w:t>
      </w:r>
    </w:p>
    <w:p>
      <w:pPr>
        <w:spacing w:after="0" w:line="214" w:lineRule="exact"/>
        <w:rPr>
          <w:sz w:val="20"/>
          <w:szCs w:val="20"/>
          <w:color w:val="auto"/>
        </w:rPr>
      </w:pPr>
    </w:p>
    <w:p>
      <w:pPr>
        <w:ind w:right="140"/>
        <w:spacing w:after="0" w:line="358" w:lineRule="auto"/>
        <w:rPr>
          <w:sz w:val="20"/>
          <w:szCs w:val="20"/>
          <w:color w:val="auto"/>
        </w:rPr>
      </w:pPr>
      <w:r>
        <w:rPr>
          <w:rFonts w:ascii="Arial" w:cs="Arial" w:eastAsia="Arial" w:hAnsi="Arial"/>
          <w:sz w:val="13"/>
          <w:szCs w:val="13"/>
          <w:i w:val="1"/>
          <w:iCs w:val="1"/>
          <w:color w:val="auto"/>
        </w:rPr>
        <w:t>Volatility</w:t>
      </w:r>
      <w:r>
        <w:rPr>
          <w:rFonts w:ascii="Arial" w:cs="Arial" w:eastAsia="Arial" w:hAnsi="Arial"/>
          <w:sz w:val="13"/>
          <w:szCs w:val="13"/>
          <w:color w:val="auto"/>
        </w:rPr>
        <w:t>—Since the Company does not have a trading history for its common stock, the expected volatility was derived from the historical stock volatilities of comparable peer</w:t>
      </w:r>
      <w:r>
        <w:rPr>
          <w:rFonts w:ascii="Arial" w:cs="Arial" w:eastAsia="Arial" w:hAnsi="Arial"/>
          <w:sz w:val="13"/>
          <w:szCs w:val="13"/>
          <w:i w:val="1"/>
          <w:iCs w:val="1"/>
          <w:color w:val="auto"/>
        </w:rPr>
        <w:t xml:space="preserve"> </w:t>
      </w:r>
      <w:r>
        <w:rPr>
          <w:rFonts w:ascii="Arial" w:cs="Arial" w:eastAsia="Arial" w:hAnsi="Arial"/>
          <w:sz w:val="13"/>
          <w:szCs w:val="13"/>
          <w:color w:val="auto"/>
        </w:rPr>
        <w:t>public companies within its industry that are considered to be comparable to the Company’s business over a period equivalent to the expected term of the stock-based awards.</w:t>
      </w:r>
    </w:p>
    <w:p>
      <w:pPr>
        <w:spacing w:after="0" w:line="122"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curve in effect at the date of grant for zero-coupon U.S. Treasury notes with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equal to the stock-based awards’ expected term.</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Rate</w:t>
      </w:r>
      <w:r>
        <w:rPr>
          <w:rFonts w:ascii="Arial" w:cs="Arial" w:eastAsia="Arial" w:hAnsi="Arial"/>
          <w:sz w:val="14"/>
          <w:szCs w:val="14"/>
          <w:color w:val="auto"/>
        </w:rPr>
        <w:t>—The expected dividend is zero as the Company has not paid nor does it anticipate paying any dividends on its common stock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 Prior to the Merger, Venus Concept Ltd. used the price per share in its latest sale of securities as an estimate of the fair value of its ordinary shares.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After the closing of the Merger, the fair value of the Company’s common stock is used to estimate the fair value of the stock-based awards at grant date.</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40"/>
          </w:cols>
          <w:pgMar w:left="680" w:top="311" w:right="379" w:bottom="1440" w:gutter="0" w:footer="0" w:header="0"/>
        </w:sectPr>
      </w:pPr>
    </w:p>
    <w:bookmarkStart w:id="26" w:name="page27"/>
    <w:bookmarkEnd w:id="26"/>
    <w:p>
      <w:pPr>
        <w:ind w:left="360"/>
        <w:spacing w:after="0"/>
        <w:rPr>
          <w:sz w:val="20"/>
          <w:szCs w:val="20"/>
          <w:color w:val="auto"/>
        </w:rPr>
      </w:pPr>
      <w:r>
        <w:rPr>
          <w:rFonts w:ascii="Arial" w:cs="Arial" w:eastAsia="Arial" w:hAnsi="Arial"/>
          <w:sz w:val="15"/>
          <w:szCs w:val="15"/>
          <w:color w:val="auto"/>
        </w:rPr>
        <w:t>The following table summarizes stock option activity under the Company’s stock option plans: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Weighted-</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88"/>
              </w:rPr>
              <w:t>Average</w:t>
            </w: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80"/>
              <w:spacing w:after="0" w:line="125" w:lineRule="exact"/>
              <w:rPr>
                <w:sz w:val="20"/>
                <w:szCs w:val="20"/>
                <w:color w:val="auto"/>
              </w:rPr>
            </w:pPr>
            <w:r>
              <w:rPr>
                <w:rFonts w:ascii="Arial" w:cs="Arial" w:eastAsia="Arial" w:hAnsi="Arial"/>
                <w:sz w:val="12"/>
                <w:szCs w:val="12"/>
                <w:b w:val="1"/>
                <w:bCs w:val="1"/>
                <w:color w:val="auto"/>
                <w:w w:val="89"/>
              </w:rPr>
              <w:t>Exercise</w:t>
            </w:r>
          </w:p>
        </w:tc>
        <w:tc>
          <w:tcPr>
            <w:tcW w:w="9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Average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80"/>
              <w:spacing w:after="0" w:line="125" w:lineRule="exact"/>
              <w:rPr>
                <w:sz w:val="20"/>
                <w:szCs w:val="20"/>
                <w:color w:val="auto"/>
              </w:rPr>
            </w:pPr>
            <w:r>
              <w:rPr>
                <w:rFonts w:ascii="Arial" w:cs="Arial" w:eastAsia="Arial" w:hAnsi="Arial"/>
                <w:sz w:val="12"/>
                <w:szCs w:val="12"/>
                <w:b w:val="1"/>
                <w:bCs w:val="1"/>
                <w:color w:val="auto"/>
                <w:w w:val="93"/>
              </w:rPr>
              <w:t>Price per</w:t>
            </w:r>
          </w:p>
        </w:tc>
        <w:tc>
          <w:tcPr>
            <w:tcW w:w="9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Remaining</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92"/>
              </w:rPr>
              <w:t>Share,</w:t>
            </w:r>
          </w:p>
        </w:tc>
        <w:tc>
          <w:tcPr>
            <w:tcW w:w="9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5"/>
              </w:rPr>
              <w:t>Contractual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Intrinsic</w:t>
            </w:r>
          </w:p>
        </w:tc>
        <w:tc>
          <w:tcPr>
            <w:tcW w:w="0" w:type="dxa"/>
            <w:vAlign w:val="bottom"/>
          </w:tcPr>
          <w:p>
            <w:pPr>
              <w:spacing w:after="0"/>
              <w:rPr>
                <w:sz w:val="1"/>
                <w:szCs w:val="1"/>
                <w:color w:val="auto"/>
              </w:rPr>
            </w:pPr>
          </w:p>
        </w:tc>
      </w:tr>
      <w:tr>
        <w:trPr>
          <w:trHeight w:val="145"/>
        </w:trPr>
        <w:tc>
          <w:tcPr>
            <w:tcW w:w="336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89"/>
              </w:rPr>
              <w:t>$</w:t>
            </w:r>
          </w:p>
        </w:tc>
        <w:tc>
          <w:tcPr>
            <w:tcW w:w="2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Term</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87"/>
              </w:rPr>
              <w:t>Value</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FF0FC"/>
          </w:tcPr>
          <w:p>
            <w:pPr>
              <w:spacing w:after="0"/>
              <w:rPr>
                <w:sz w:val="20"/>
                <w:szCs w:val="20"/>
                <w:color w:val="auto"/>
              </w:rPr>
            </w:pPr>
            <w:r>
              <w:rPr>
                <w:rFonts w:ascii="Arial" w:cs="Arial" w:eastAsia="Arial" w:hAnsi="Arial"/>
                <w:sz w:val="15"/>
                <w:szCs w:val="15"/>
                <w:color w:val="auto"/>
              </w:rPr>
              <w:t>Outstanding – January 1, 2020</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3,278,439</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Arial" w:cs="Arial" w:eastAsia="Arial" w:hAnsi="Arial"/>
                <w:sz w:val="15"/>
                <w:szCs w:val="15"/>
                <w:color w:val="auto"/>
              </w:rPr>
              <w:t>Options granted</w:t>
            </w:r>
          </w:p>
        </w:tc>
        <w:tc>
          <w:tcPr>
            <w:tcW w:w="980" w:type="dxa"/>
            <w:vAlign w:val="bottom"/>
          </w:tcPr>
          <w:p>
            <w:pPr>
              <w:jc w:val="right"/>
              <w:spacing w:after="0"/>
              <w:rPr>
                <w:sz w:val="20"/>
                <w:szCs w:val="20"/>
                <w:color w:val="auto"/>
              </w:rPr>
            </w:pPr>
            <w:r>
              <w:rPr>
                <w:rFonts w:ascii="Arial" w:cs="Arial" w:eastAsia="Arial" w:hAnsi="Arial"/>
                <w:sz w:val="15"/>
                <w:szCs w:val="15"/>
                <w:color w:val="auto"/>
              </w:rPr>
              <w:t>1,705,000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Options 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(22,777)</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4.34</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Arial" w:cs="Arial" w:eastAsia="Arial" w:hAnsi="Arial"/>
                <w:sz w:val="15"/>
                <w:szCs w:val="15"/>
                <w:color w:val="auto"/>
              </w:rPr>
              <w:t>Options forfeited/cancelled</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(173,367)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23.00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Outstanding – June 30, 2020</w:t>
            </w: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60" w:type="dxa"/>
            <w:vAlign w:val="bottom"/>
            <w:vMerge w:val="continue"/>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4,787,295</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Exercisable – June 30, 2020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60" w:type="dxa"/>
            <w:vAlign w:val="bottom"/>
            <w:vMerge w:val="continue"/>
          </w:tcPr>
          <w:p>
            <w:pPr>
              <w:spacing w:after="0"/>
              <w:rPr>
                <w:sz w:val="16"/>
                <w:szCs w:val="16"/>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5"/>
                <w:szCs w:val="15"/>
                <w:color w:val="auto"/>
              </w:rPr>
              <w:t>2,808,235</w:t>
            </w:r>
          </w:p>
        </w:tc>
        <w:tc>
          <w:tcPr>
            <w:tcW w:w="120" w:type="dxa"/>
            <w:vAlign w:val="bottom"/>
          </w:tcPr>
          <w:p>
            <w:pPr>
              <w:spacing w:after="0"/>
              <w:rPr>
                <w:sz w:val="16"/>
                <w:szCs w:val="16"/>
                <w:color w:val="auto"/>
              </w:rPr>
            </w:pPr>
          </w:p>
        </w:tc>
        <w:tc>
          <w:tcPr>
            <w:tcW w:w="220" w:type="dxa"/>
            <w:vAlign w:val="bottom"/>
            <w:gridSpan w:val="2"/>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5"/>
                <w:szCs w:val="15"/>
                <w:color w:val="auto"/>
              </w:rPr>
              <w:t>3.75</w:t>
            </w:r>
          </w:p>
        </w:tc>
        <w:tc>
          <w:tcPr>
            <w:tcW w:w="200" w:type="dxa"/>
            <w:vAlign w:val="bottom"/>
          </w:tcPr>
          <w:p>
            <w:pPr>
              <w:spacing w:after="0"/>
              <w:rPr>
                <w:sz w:val="16"/>
                <w:szCs w:val="16"/>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5"/>
                <w:szCs w:val="15"/>
                <w:color w:val="auto"/>
              </w:rPr>
              <w:t>4.12</w:t>
            </w:r>
          </w:p>
        </w:tc>
        <w:tc>
          <w:tcPr>
            <w:tcW w:w="360" w:type="dxa"/>
            <w:vAlign w:val="bottom"/>
            <w:gridSpan w:val="2"/>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5"/>
                <w:szCs w:val="15"/>
                <w:color w:val="auto"/>
              </w:rPr>
              <w:t>2,637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Expected to vest – after June 30, 2020</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60" w:type="dxa"/>
            <w:vAlign w:val="bottom"/>
            <w:vMerge w:val="continue"/>
            <w:shd w:val="clear" w:color="auto" w:fill="CFF0FC"/>
          </w:tcPr>
          <w:p>
            <w:pPr>
              <w:spacing w:after="0"/>
              <w:rPr>
                <w:sz w:val="14"/>
                <w:szCs w:val="14"/>
                <w:color w:val="auto"/>
              </w:rPr>
            </w:pPr>
          </w:p>
        </w:tc>
        <w:tc>
          <w:tcPr>
            <w:tcW w:w="9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1,979,060</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5.16</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9.44</w:t>
            </w:r>
          </w:p>
        </w:tc>
        <w:tc>
          <w:tcPr>
            <w:tcW w:w="360" w:type="dxa"/>
            <w:vAlign w:val="bottom"/>
            <w:gridSpan w:val="2"/>
            <w:shd w:val="clear" w:color="auto" w:fill="CFF0FC"/>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tables summarize information about share options outstanding and exercisable at June 30, 2020:</w:t>
      </w:r>
    </w:p>
    <w:p>
      <w:pPr>
        <w:spacing w:after="0" w:line="193" w:lineRule="exact"/>
        <w:rPr>
          <w:sz w:val="20"/>
          <w:szCs w:val="20"/>
          <w:color w:val="auto"/>
        </w:rPr>
      </w:pPr>
    </w:p>
    <w:tbl>
      <w:tblPr>
        <w:tblLayout w:type="fixed"/>
        <w:tblInd w:w="1460" w:type="dxa"/>
        <w:tblCellMar>
          <w:top w:w="0" w:type="dxa"/>
          <w:left w:w="0" w:type="dxa"/>
          <w:bottom w:w="0" w:type="dxa"/>
          <w:right w:w="0" w:type="dxa"/>
        </w:tblCellMar>
      </w:tblPr>
      <w:tr>
        <w:trPr>
          <w:trHeight w:val="145"/>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Options Outstanding</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w w:val="95"/>
              </w:rPr>
              <w:t>Options Exercisable</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Weighted</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2"/>
              </w:rPr>
              <w:t>Weighted</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10"/>
                <w:szCs w:val="10"/>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2"/>
              </w:rPr>
              <w:t>Weighted</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0"/>
              </w:rPr>
              <w:t>remaining</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4"/>
              </w:rPr>
              <w:t>remaining</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2"/>
              </w:rPr>
              <w:t>contractual</w:t>
            </w:r>
          </w:p>
        </w:tc>
        <w:tc>
          <w:tcPr>
            <w:tcW w:w="160" w:type="dxa"/>
            <w:vAlign w:val="bottom"/>
          </w:tcPr>
          <w:p>
            <w:pPr>
              <w:spacing w:after="0"/>
              <w:rPr>
                <w:sz w:val="10"/>
                <w:szCs w:val="10"/>
                <w:color w:val="auto"/>
              </w:rPr>
            </w:pPr>
          </w:p>
        </w:tc>
        <w:tc>
          <w:tcPr>
            <w:tcW w:w="96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92"/>
              </w:rPr>
              <w:t>average</w:t>
            </w:r>
          </w:p>
        </w:tc>
        <w:tc>
          <w:tcPr>
            <w:tcW w:w="94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Options</w:t>
            </w:r>
          </w:p>
        </w:tc>
        <w:tc>
          <w:tcPr>
            <w:tcW w:w="160" w:type="dxa"/>
            <w:vAlign w:val="bottom"/>
          </w:tcPr>
          <w:p>
            <w:pPr>
              <w:spacing w:after="0"/>
              <w:rPr>
                <w:sz w:val="10"/>
                <w:szCs w:val="10"/>
                <w:color w:val="auto"/>
              </w:rPr>
            </w:pPr>
          </w:p>
        </w:tc>
        <w:tc>
          <w:tcPr>
            <w:tcW w:w="108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2"/>
              </w:rPr>
              <w:t>contractual</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5"/>
        </w:trPr>
        <w:tc>
          <w:tcPr>
            <w:tcW w:w="1700" w:type="dxa"/>
            <w:vAlign w:val="bottom"/>
            <w:vMerge w:val="restart"/>
          </w:tcPr>
          <w:p>
            <w:pPr>
              <w:spacing w:after="0"/>
              <w:rPr>
                <w:sz w:val="20"/>
                <w:szCs w:val="20"/>
                <w:color w:val="auto"/>
              </w:rPr>
            </w:pPr>
            <w:r>
              <w:rPr>
                <w:rFonts w:ascii="Arial" w:cs="Arial" w:eastAsia="Arial" w:hAnsi="Arial"/>
                <w:sz w:val="12"/>
                <w:szCs w:val="12"/>
                <w:b w:val="1"/>
                <w:bCs w:val="1"/>
                <w:color w:val="auto"/>
              </w:rPr>
              <w:t>Exercise Price Range</w:t>
            </w:r>
          </w:p>
        </w:tc>
        <w:tc>
          <w:tcPr>
            <w:tcW w:w="100" w:type="dxa"/>
            <w:vAlign w:val="bottom"/>
            <w:vMerge w:val="restart"/>
          </w:tcPr>
          <w:p>
            <w:pPr>
              <w:spacing w:after="0"/>
              <w:rPr>
                <w:sz w:val="10"/>
                <w:szCs w:val="10"/>
                <w:color w:val="auto"/>
              </w:rPr>
            </w:pPr>
          </w:p>
        </w:tc>
        <w:tc>
          <w:tcPr>
            <w:tcW w:w="92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0"/>
                <w:szCs w:val="10"/>
                <w:color w:val="auto"/>
              </w:rPr>
            </w:pPr>
          </w:p>
        </w:tc>
        <w:tc>
          <w:tcPr>
            <w:tcW w:w="10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2"/>
              </w:rPr>
              <w:t>term</w:t>
            </w:r>
          </w:p>
        </w:tc>
        <w:tc>
          <w:tcPr>
            <w:tcW w:w="160" w:type="dxa"/>
            <w:vAlign w:val="bottom"/>
          </w:tcPr>
          <w:p>
            <w:pPr>
              <w:spacing w:after="0"/>
              <w:rPr>
                <w:sz w:val="10"/>
                <w:szCs w:val="10"/>
                <w:color w:val="auto"/>
              </w:rPr>
            </w:pPr>
          </w:p>
        </w:tc>
        <w:tc>
          <w:tcPr>
            <w:tcW w:w="96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84"/>
              </w:rPr>
              <w:t>Exercise</w:t>
            </w: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2"/>
              </w:rPr>
              <w:t>term</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45"/>
        </w:trPr>
        <w:tc>
          <w:tcPr>
            <w:tcW w:w="1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(years)</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exercisable</w:t>
            </w: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(years)</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w w:val="88"/>
              </w:rPr>
              <w:t>Price</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00" w:type="dxa"/>
            <w:vAlign w:val="bottom"/>
            <w:shd w:val="clear" w:color="auto" w:fill="CFF0FC"/>
          </w:tcPr>
          <w:p>
            <w:pPr>
              <w:spacing w:after="0"/>
              <w:rPr>
                <w:sz w:val="20"/>
                <w:szCs w:val="20"/>
                <w:color w:val="auto"/>
              </w:rPr>
            </w:pPr>
            <w:r>
              <w:rPr>
                <w:rFonts w:ascii="Arial" w:cs="Arial" w:eastAsia="Arial" w:hAnsi="Arial"/>
                <w:sz w:val="15"/>
                <w:szCs w:val="15"/>
                <w:color w:val="auto"/>
              </w:rPr>
              <w:t>$0.15 - $3.64</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3,157,535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5.63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1,948,175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3.07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20"/>
                <w:szCs w:val="20"/>
                <w:color w:val="auto"/>
              </w:rPr>
            </w:pPr>
            <w:r>
              <w:rPr>
                <w:rFonts w:ascii="Arial" w:cs="Arial" w:eastAsia="Arial" w:hAnsi="Arial"/>
                <w:sz w:val="15"/>
                <w:szCs w:val="15"/>
                <w:color w:val="auto"/>
              </w:rPr>
              <w:t>$4.26 - $7.95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1,570,155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7.67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6.75</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821,337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6.50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20"/>
                <w:szCs w:val="20"/>
                <w:color w:val="auto"/>
              </w:rPr>
            </w:pPr>
            <w:r>
              <w:rPr>
                <w:rFonts w:ascii="Arial" w:cs="Arial" w:eastAsia="Arial" w:hAnsi="Arial"/>
                <w:sz w:val="15"/>
                <w:szCs w:val="15"/>
                <w:color w:val="auto"/>
              </w:rPr>
              <w:t>$12.45 - $26.10</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36,082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18.48</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16,439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7.50</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20"/>
                <w:szCs w:val="20"/>
                <w:color w:val="auto"/>
              </w:rPr>
            </w:pPr>
            <w:r>
              <w:rPr>
                <w:rFonts w:ascii="Arial" w:cs="Arial" w:eastAsia="Arial" w:hAnsi="Arial"/>
                <w:sz w:val="15"/>
                <w:szCs w:val="15"/>
                <w:color w:val="auto"/>
              </w:rPr>
              <w:t>$27.00 - $33.00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14,612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4.06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28.02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14,556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FF0FC"/>
          </w:tcPr>
          <w:p>
            <w:pPr>
              <w:spacing w:after="0"/>
              <w:rPr>
                <w:sz w:val="20"/>
                <w:szCs w:val="20"/>
                <w:color w:val="auto"/>
              </w:rPr>
            </w:pPr>
            <w:r>
              <w:rPr>
                <w:rFonts w:ascii="Arial" w:cs="Arial" w:eastAsia="Arial" w:hAnsi="Arial"/>
                <w:sz w:val="15"/>
                <w:szCs w:val="15"/>
                <w:color w:val="auto"/>
              </w:rPr>
              <w:t>$36.00 - $94.65</w:t>
            </w:r>
          </w:p>
        </w:tc>
        <w:tc>
          <w:tcPr>
            <w:tcW w:w="10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8,911</w:t>
            </w:r>
          </w:p>
        </w:tc>
        <w:tc>
          <w:tcPr>
            <w:tcW w:w="18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7.23</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46.29</w:t>
            </w:r>
          </w:p>
        </w:tc>
        <w:tc>
          <w:tcPr>
            <w:tcW w:w="16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7,728</w:t>
            </w:r>
          </w:p>
        </w:tc>
        <w:tc>
          <w:tcPr>
            <w:tcW w:w="16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7.13</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44.87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4,787,295</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6.32</w:t>
            </w:r>
          </w:p>
        </w:tc>
        <w:tc>
          <w:tcPr>
            <w:tcW w:w="18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4.33</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2,808,235</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4.12</w:t>
            </w:r>
          </w:p>
        </w:tc>
        <w:tc>
          <w:tcPr>
            <w:tcW w:w="16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60" w:right="120"/>
        <w:spacing w:after="0" w:line="324" w:lineRule="auto"/>
        <w:rPr>
          <w:sz w:val="20"/>
          <w:szCs w:val="20"/>
          <w:color w:val="auto"/>
        </w:rPr>
      </w:pPr>
      <w:r>
        <w:rPr>
          <w:rFonts w:ascii="Arial" w:cs="Arial" w:eastAsia="Arial" w:hAnsi="Arial"/>
          <w:sz w:val="13"/>
          <w:szCs w:val="13"/>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$46 and $nil for the three months ended June 30, 2020 and 2019, respectively. The total intrinsic value of options exercised were $46 and $31 for the six months ended June 30, 2020 and 2019, respectively.</w:t>
      </w:r>
    </w:p>
    <w:p>
      <w:pPr>
        <w:spacing w:after="0" w:line="121" w:lineRule="exact"/>
        <w:rPr>
          <w:sz w:val="20"/>
          <w:szCs w:val="20"/>
          <w:color w:val="auto"/>
        </w:rPr>
      </w:pPr>
    </w:p>
    <w:p>
      <w:pPr>
        <w:ind w:left="360" w:right="400"/>
        <w:spacing w:after="0" w:line="315" w:lineRule="auto"/>
        <w:rPr>
          <w:sz w:val="20"/>
          <w:szCs w:val="20"/>
          <w:color w:val="auto"/>
        </w:rPr>
      </w:pPr>
      <w:r>
        <w:rPr>
          <w:rFonts w:ascii="Arial" w:cs="Arial" w:eastAsia="Arial" w:hAnsi="Arial"/>
          <w:sz w:val="14"/>
          <w:szCs w:val="14"/>
          <w:color w:val="auto"/>
        </w:rPr>
        <w:t>The weighted-average grant date fair value of options granted was $4.26 and $5.52 per share for the three months ended June 30, 2020 and 2019, respectively. The weighted-average grant date fair value of options granted was $4.355 and $5.52 per share for the six months ended June 30, 2020 and 2019, respectively.</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14. INCOME TAXES</w:t>
      </w:r>
    </w:p>
    <w:p>
      <w:pPr>
        <w:spacing w:after="0" w:line="195" w:lineRule="exact"/>
        <w:rPr>
          <w:sz w:val="20"/>
          <w:szCs w:val="20"/>
          <w:color w:val="auto"/>
        </w:rPr>
      </w:pPr>
    </w:p>
    <w:p>
      <w:pPr>
        <w:ind w:left="360" w:right="180"/>
        <w:spacing w:after="0" w:line="278" w:lineRule="auto"/>
        <w:rPr>
          <w:sz w:val="20"/>
          <w:szCs w:val="20"/>
          <w:color w:val="auto"/>
        </w:rPr>
      </w:pPr>
      <w:r>
        <w:rPr>
          <w:rFonts w:ascii="Arial" w:cs="Arial" w:eastAsia="Arial" w:hAnsi="Arial"/>
          <w:sz w:val="15"/>
          <w:szCs w:val="15"/>
          <w:color w:val="auto"/>
        </w:rPr>
        <w:t>The Company generated a loss and incurred $633 of tax benefit and $44 of tax benefit for the three and six months ended June 30, 2020, respectively. A reconciliation of income tax benefit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12"/>
                <w:szCs w:val="12"/>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Ended June 30</w:t>
            </w:r>
          </w:p>
        </w:tc>
        <w:tc>
          <w:tcPr>
            <w:tcW w:w="160" w:type="dxa"/>
            <w:vAlign w:val="bottom"/>
          </w:tcPr>
          <w:p>
            <w:pPr>
              <w:spacing w:after="0"/>
              <w:rPr>
                <w:sz w:val="12"/>
                <w:szCs w:val="12"/>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Ended June 30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422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8"/>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CFF0FC"/>
            </w:tcBorders>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Loss before income taxes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(10,398)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(5,417)</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(60,512)</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(9,636)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00" w:type="dxa"/>
            <w:vAlign w:val="bottom"/>
            <w:gridSpan w:val="2"/>
          </w:tcPr>
          <w:p>
            <w:pPr>
              <w:ind w:left="1680"/>
              <w:spacing w:after="0"/>
              <w:rPr>
                <w:sz w:val="20"/>
                <w:szCs w:val="20"/>
                <w:color w:val="auto"/>
              </w:rPr>
            </w:pPr>
            <w:r>
              <w:rPr>
                <w:rFonts w:ascii="Arial" w:cs="Arial" w:eastAsia="Arial" w:hAnsi="Arial"/>
                <w:sz w:val="15"/>
                <w:szCs w:val="15"/>
                <w:color w:val="auto"/>
                <w:w w:val="96"/>
              </w:rPr>
              <w:t>Theoretical tax benefit at the statutory rate (24.1% in 2020, 24.7%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00" w:type="dxa"/>
            <w:vAlign w:val="bottom"/>
            <w:gridSpan w:val="2"/>
          </w:tcPr>
          <w:p>
            <w:pPr>
              <w:ind w:left="1680"/>
              <w:spacing w:after="0"/>
              <w:rPr>
                <w:sz w:val="20"/>
                <w:szCs w:val="20"/>
                <w:color w:val="auto"/>
              </w:rPr>
            </w:pPr>
            <w:r>
              <w:rPr>
                <w:rFonts w:ascii="Arial" w:cs="Arial" w:eastAsia="Arial" w:hAnsi="Arial"/>
                <w:sz w:val="15"/>
                <w:szCs w:val="15"/>
                <w:color w:val="auto"/>
              </w:rPr>
              <w:t>in 2019)</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(2,507)</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(1,141)</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(14,584)</w:t>
            </w:r>
          </w:p>
        </w:tc>
        <w:tc>
          <w:tcPr>
            <w:tcW w:w="2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(2,184)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Differences in jurisdictional tax rates</w:t>
            </w:r>
          </w:p>
        </w:tc>
        <w:tc>
          <w:tcPr>
            <w:tcW w:w="18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(48)</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(220)</w:t>
            </w:r>
          </w:p>
        </w:tc>
        <w:tc>
          <w:tcPr>
            <w:tcW w:w="2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(221)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00" w:type="dxa"/>
            <w:vAlign w:val="bottom"/>
            <w:gridSpan w:val="2"/>
          </w:tcPr>
          <w:p>
            <w:pPr>
              <w:ind w:left="1680"/>
              <w:spacing w:after="0"/>
              <w:rPr>
                <w:sz w:val="20"/>
                <w:szCs w:val="20"/>
                <w:color w:val="auto"/>
              </w:rPr>
            </w:pPr>
            <w:r>
              <w:rPr>
                <w:rFonts w:ascii="Arial" w:cs="Arial" w:eastAsia="Arial" w:hAnsi="Arial"/>
                <w:sz w:val="15"/>
                <w:szCs w:val="15"/>
                <w:color w:val="auto"/>
              </w:rPr>
              <w:t>Losses utilization</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Valuation allowance</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1,936</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1,480</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7,298</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2,546</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Non-deductible expenses</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(115)</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(335)</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7,462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2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 income tax (benefit) expense</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80" w:type="dxa"/>
            <w:vAlign w:val="bottom"/>
          </w:tcPr>
          <w:p>
            <w:pPr>
              <w:spacing w:after="0"/>
              <w:rPr>
                <w:sz w:val="16"/>
                <w:szCs w:val="16"/>
                <w:color w:val="auto"/>
              </w:rPr>
            </w:pPr>
          </w:p>
        </w:tc>
        <w:tc>
          <w:tcPr>
            <w:tcW w:w="42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(633)</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947</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680"/>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gridSpan w:val="2"/>
            <w:vMerge w:val="continue"/>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(9,765)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(5,478)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(60,468)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(10,583)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9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27" w:name="page28"/>
    <w:bookmarkEnd w:id="27"/>
    <w:p>
      <w:pPr>
        <w:ind w:right="60"/>
        <w:spacing w:after="0" w:line="265" w:lineRule="auto"/>
        <w:rPr>
          <w:sz w:val="20"/>
          <w:szCs w:val="20"/>
          <w:color w:val="auto"/>
        </w:rPr>
      </w:pPr>
      <w:r>
        <w:rPr>
          <w:rFonts w:ascii="Arial" w:cs="Arial" w:eastAsia="Arial" w:hAnsi="Arial"/>
          <w:sz w:val="15"/>
          <w:szCs w:val="15"/>
          <w:color w:val="auto"/>
        </w:rPr>
        <w:t>Income tax expense is recognized based on the actual income received or loss incurred during the three and six months ended June 30, 2020. Due to the uncertainties as a result of COVID-19, management was unable to determine an annualized effective tax rate and calculate the income tax expense in accordance with such method. The effective tax rate differs from the statutory tax rate due to the recognition of previously unrecognized carried forward tax losses.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SEGMENT AND GEOGRAPHIC INFORMATION</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Revenue by geographic location, which is based on the product shipped to location, is summarized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12"/>
                <w:szCs w:val="12"/>
                <w:color w:val="auto"/>
              </w:rPr>
            </w:pPr>
          </w:p>
        </w:tc>
        <w:tc>
          <w:tcPr>
            <w:tcW w:w="1060" w:type="dxa"/>
            <w:vAlign w:val="bottom"/>
            <w:gridSpan w:val="3"/>
          </w:tcPr>
          <w:p>
            <w:pPr>
              <w:jc w:val="center"/>
              <w:ind w:left="312"/>
              <w:spacing w:after="0"/>
              <w:rPr>
                <w:sz w:val="20"/>
                <w:szCs w:val="20"/>
                <w:color w:val="auto"/>
              </w:rPr>
            </w:pPr>
            <w:r>
              <w:rPr>
                <w:rFonts w:ascii="Arial" w:cs="Arial" w:eastAsia="Arial" w:hAnsi="Arial"/>
                <w:sz w:val="12"/>
                <w:szCs w:val="12"/>
                <w:b w:val="1"/>
                <w:bCs w:val="1"/>
                <w:color w:val="auto"/>
                <w:w w:val="93"/>
              </w:rPr>
              <w:t>Six Months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ind w:left="340"/>
              <w:spacing w:after="0"/>
              <w:rPr>
                <w:sz w:val="20"/>
                <w:szCs w:val="20"/>
                <w:color w:val="auto"/>
              </w:rPr>
            </w:pPr>
            <w:r>
              <w:rPr>
                <w:rFonts w:ascii="Arial" w:cs="Arial" w:eastAsia="Arial" w:hAnsi="Arial"/>
                <w:sz w:val="12"/>
                <w:szCs w:val="12"/>
                <w:b w:val="1"/>
                <w:bCs w:val="1"/>
                <w:color w:val="auto"/>
              </w:rPr>
              <w:t>Ended June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Ended June 30</w:t>
            </w:r>
          </w:p>
        </w:tc>
        <w:tc>
          <w:tcPr>
            <w:tcW w:w="0" w:type="dxa"/>
            <w:vAlign w:val="bottom"/>
          </w:tcPr>
          <w:p>
            <w:pPr>
              <w:spacing w:after="0"/>
              <w:rPr>
                <w:sz w:val="1"/>
                <w:szCs w:val="1"/>
                <w:color w:val="auto"/>
              </w:rPr>
            </w:pPr>
          </w:p>
        </w:tc>
      </w:tr>
      <w:tr>
        <w:trPr>
          <w:trHeight w:val="128"/>
        </w:trPr>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8"/>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2"/>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United States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8,915</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11,682</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14,555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International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8,081</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16,136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16,949</w:t>
            </w:r>
          </w:p>
        </w:tc>
        <w:tc>
          <w:tcPr>
            <w:tcW w:w="16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31,177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6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16,996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27,818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31,504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52,398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2020, long-lived assets in the amount of $21,879 were located in the United States and $2,695 were located in foreign locations.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Revenue by type is a key indicator for providing management with an understanding of the Company’s financial performance, which is organized into four different categories:</w:t>
      </w:r>
    </w:p>
    <w:p>
      <w:pPr>
        <w:spacing w:after="0" w:line="202" w:lineRule="exact"/>
        <w:rPr>
          <w:sz w:val="20"/>
          <w:szCs w:val="20"/>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Lease revenue - includes all system sales with typical lease terms of 36 months.</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System revenue – includes all systems sales with payment terms within 12 months.</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Product revenue – includes skincare, hair and other consumables payable upon receipt.</w:t>
      </w:r>
    </w:p>
    <w:p>
      <w:pPr>
        <w:spacing w:after="0" w:line="190" w:lineRule="exact"/>
        <w:rPr>
          <w:rFonts w:ascii="Arial" w:cs="Arial" w:eastAsia="Arial" w:hAnsi="Arial"/>
          <w:sz w:val="15"/>
          <w:szCs w:val="15"/>
          <w:color w:val="auto"/>
        </w:rPr>
      </w:pPr>
    </w:p>
    <w:p>
      <w:pPr>
        <w:ind w:left="660" w:hanging="654"/>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Service revenue - includes NeoGraft® technician services, ad agency services and extended warranty sales.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revenue by type:</w:t>
      </w:r>
    </w:p>
    <w:tbl>
      <w:tblPr>
        <w:tblLayout w:type="fixed"/>
        <w:tblInd w:w="1320" w:type="dxa"/>
        <w:tblCellMar>
          <w:top w:w="0" w:type="dxa"/>
          <w:left w:w="0" w:type="dxa"/>
          <w:bottom w:w="0" w:type="dxa"/>
          <w:right w:w="0" w:type="dxa"/>
        </w:tblCellMar>
      </w:tblPr>
      <w:tr>
        <w:trPr>
          <w:trHeight w:val="136"/>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5"/>
          </w:tcPr>
          <w:p>
            <w:pPr>
              <w:ind w:left="340"/>
              <w:spacing w:after="0" w:line="137" w:lineRule="exact"/>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11"/>
                <w:szCs w:val="11"/>
                <w:color w:val="auto"/>
              </w:rPr>
            </w:pPr>
          </w:p>
        </w:tc>
        <w:tc>
          <w:tcPr>
            <w:tcW w:w="1060" w:type="dxa"/>
            <w:vAlign w:val="bottom"/>
            <w:gridSpan w:val="3"/>
          </w:tcPr>
          <w:p>
            <w:pPr>
              <w:jc w:val="center"/>
              <w:ind w:left="310"/>
              <w:spacing w:after="0" w:line="137" w:lineRule="exact"/>
              <w:rPr>
                <w:sz w:val="20"/>
                <w:szCs w:val="20"/>
                <w:color w:val="auto"/>
              </w:rPr>
            </w:pPr>
            <w:r>
              <w:rPr>
                <w:rFonts w:ascii="Arial" w:cs="Arial" w:eastAsia="Arial" w:hAnsi="Arial"/>
                <w:sz w:val="12"/>
                <w:szCs w:val="12"/>
                <w:b w:val="1"/>
                <w:bCs w:val="1"/>
                <w:color w:val="auto"/>
                <w:w w:val="93"/>
              </w:rPr>
              <w:t>Six Months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ind w:left="340"/>
              <w:spacing w:after="0"/>
              <w:rPr>
                <w:sz w:val="20"/>
                <w:szCs w:val="20"/>
                <w:color w:val="auto"/>
              </w:rPr>
            </w:pPr>
            <w:r>
              <w:rPr>
                <w:rFonts w:ascii="Arial" w:cs="Arial" w:eastAsia="Arial" w:hAnsi="Arial"/>
                <w:sz w:val="12"/>
                <w:szCs w:val="12"/>
                <w:b w:val="1"/>
                <w:bCs w:val="1"/>
                <w:color w:val="auto"/>
              </w:rPr>
              <w:t>Ended June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Ended June 30</w:t>
            </w:r>
          </w:p>
        </w:tc>
      </w:tr>
      <w:tr>
        <w:trPr>
          <w:trHeight w:val="128"/>
        </w:trPr>
        <w:tc>
          <w:tcPr>
            <w:tcW w:w="40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0"/>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7"/>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0"/>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7"/>
              <w:spacing w:after="0" w:line="128"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FF0FC"/>
            </w:tcBorders>
          </w:tcPr>
          <w:p>
            <w:pPr>
              <w:spacing w:after="0"/>
              <w:rPr>
                <w:sz w:val="11"/>
                <w:szCs w:val="11"/>
                <w:color w:val="auto"/>
              </w:rPr>
            </w:pPr>
          </w:p>
        </w:tc>
      </w:tr>
      <w:tr>
        <w:trPr>
          <w:trHeight w:val="18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Lease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7,465</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16,643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14,278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32,385</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System revenue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6,757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7,769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10,255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14,084</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Product revenue</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1,622</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2,950</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Service revenue</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1,784</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2,467</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2,979</w:t>
            </w:r>
          </w:p>
        </w:tc>
        <w:tc>
          <w:tcPr>
            <w:tcW w:w="80" w:type="dxa"/>
            <w:vAlign w:val="bottom"/>
            <w:tcBorders>
              <w:bottom w:val="single" w:sz="8" w:color="CFF0FC"/>
            </w:tcBorders>
          </w:tcPr>
          <w:p>
            <w:pPr>
              <w:spacing w:after="0"/>
              <w:rPr>
                <w:sz w:val="16"/>
                <w:szCs w:val="16"/>
                <w:color w:val="auto"/>
              </w:rPr>
            </w:pPr>
          </w:p>
        </w:tc>
      </w:tr>
      <w:tr>
        <w:trPr>
          <w:trHeight w:val="184"/>
        </w:trPr>
        <w:tc>
          <w:tcPr>
            <w:tcW w:w="40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16,996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27,818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31,504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52,398</w:t>
            </w:r>
          </w:p>
        </w:tc>
        <w:tc>
          <w:tcPr>
            <w:tcW w:w="80" w:type="dxa"/>
            <w:vAlign w:val="bottom"/>
            <w:shd w:val="clear" w:color="auto" w:fill="CFF0FC"/>
          </w:tcPr>
          <w:p>
            <w:pPr>
              <w:spacing w:after="0"/>
              <w:rPr>
                <w:sz w:val="16"/>
                <w:szCs w:val="16"/>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RELATED PARTY TRANSACTIONS</w:t>
      </w:r>
    </w:p>
    <w:p>
      <w:pPr>
        <w:spacing w:after="0" w:line="19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All amounts were recorded at the exchange amount, which is the amount established and agreed to by the related parties. The following are transactions between the Company and its related parties: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Non-Interest Demand Loan to PT Neoasia Medical</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On July 1, 2016, a senior manager of the Company transferred 100.0% of his shares in Inphronics Limited to the Company, making it a wholly-owned subsidiary. At such time, an unsecured non-interest-bearing working capital loan to PT Neoasia Medical, a subsidiary of Inphronics Limited, that was previously provided by the senior manager of the Company was outstanding. As of June 30, 2020 and December 31, 2019, the outstanding amount of the loan was Indonesian rupiah (“IDR”) 6.9 billion, which is equivalent to $457 and $498, respectively. This loan is reported as part of accrued expenses and other current liabilities.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80"/>
          </w:cols>
          <w:pgMar w:left="680" w:top="311"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i w:val="1"/>
          <w:iCs w:val="1"/>
          <w:color w:val="auto"/>
        </w:rPr>
        <w:t>Distribution Agreements</w:t>
      </w:r>
    </w:p>
    <w:p>
      <w:pPr>
        <w:spacing w:after="0" w:line="191"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On January 1, 2018, the Company entered into a new Distribution Agreement with Technicalbiomed Co., Ltd. (“TBC”), pursuant to which TBC will continue to distribute the Company’s products in Thailand. A senior manager of the Company is a 30.0% shareholder of TBC. For the three months ended June 30, 2020 and 2019, TBD did not purchase any products from the Company under this distribution agreement. For the six months ended June 30, 2020 and 2019, TBC purchased products in the amount of $49 and $100, respectively, under this distribution agreement. These sales are included in products and services revenue.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Intellectual Property Transfer Agreement</w:t>
      </w:r>
    </w:p>
    <w:p>
      <w:pPr>
        <w:spacing w:after="0" w:line="191"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In August 2013, the Company entered into a license agreement for the rights to an invention for fractional radio frequency treatment of the skin with the developers of the technology. Pursuant to the license agreement, the developers, amongst which one is a senior executive of the Company, granted to the Company an exclusive worldwide, perpetual, irrevocable license to develop and commercialize their inventions and any product into which it is integrated. As consideration for such license, the Company agreed to pay the developers 7.0% of the gross income received by the Company from sales of the Venus Viva system and the related consumables and $1.50 per Venus Versa system, up to an aggregate amount of $3,000. No royalties were paid in the three and six months ended June 30, 2020 and 2019, respectively. The Company reported the amounts under research and development expenses in the condensed consolidated financial statements. No amounts were outstanding as at June 30, 2020 and December 31, 2019.</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 of Common Stock to Lincoln Park Under the Equity Purchase Agreement</w:t>
      </w:r>
    </w:p>
    <w:p>
      <w:pPr>
        <w:spacing w:after="0" w:line="191"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Between July 1, 2020 and July 2, 2020, the Company issued and sold a total of 500,000 shares of its common stock to Lincoln Park pursuant to the Equity Purchase Agreement, generating aggregate proceeds of $1,957.</w:t>
      </w:r>
    </w:p>
    <w:p>
      <w:pPr>
        <w:spacing w:after="0" w:line="200" w:lineRule="exact"/>
        <w:rPr>
          <w:sz w:val="20"/>
          <w:szCs w:val="20"/>
          <w:color w:val="auto"/>
        </w:rPr>
      </w:pP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70485</wp:posOffset>
            </wp:positionV>
            <wp:extent cx="716851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860"/>
          </w:cols>
          <w:pgMar w:left="680" w:top="492" w:right="35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and with our audited consolidated financial statements and notes thereto in our Annual Report filed on Form 10-K for the year ended December 31, 2019 (“Form 10-K”), and our Form 10-Q for the quarter ended March 31, 2020, filed with the Securities and Exchange Commission (the “SEC”) and other filings we have made with the SEC. This discussion contains forward-looking statements that reflect our plans, estimates and beliefs and involve numerous risks and uncertainties, including but not limited to those described in Part II, Item 1A “Risk Factors” of this Quarterly Report on Form 10-Q, Part II Item 1A“Risk Factors” in our Form 10-Q for the quarter ended March 31, 2020, and Part I, Item IA “Risk Factors” of our Form 10-K. Actual results may differ materially from those contained in any forward-looking statements. You should carefully read Part II, Item 1A, “Risk Factors” herein, Part II Item 1A“Risk Factors” in our Form 10-Q for the quarter ended March 31, 2020, and Part I, Item IA, “Risk Factors” of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jc w:val="both"/>
        <w:ind w:right="460"/>
        <w:spacing w:after="0" w:line="313" w:lineRule="auto"/>
        <w:rPr>
          <w:sz w:val="20"/>
          <w:szCs w:val="20"/>
          <w:color w:val="auto"/>
        </w:rPr>
      </w:pPr>
      <w:r>
        <w:rPr>
          <w:rFonts w:ascii="Arial" w:cs="Arial" w:eastAsia="Arial" w:hAnsi="Arial"/>
          <w:sz w:val="13"/>
          <w:szCs w:val="13"/>
          <w:color w:val="auto"/>
        </w:rPr>
        <w:t>We are an innovative global medical technology company that develops, commercializes, and delivers minimally invasive and non-invasive medical aesthetic and hair restoration technologies and related services. Our systems have been designed on a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six months ended June 30, 2020 and 2019, respectively, a substantial majority of our systems delivered in North America were in non-traditional markets.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In November 2019, we completed our business combination with Venus Concept Ltd. and the business of Venus Concept Ltd. became the primary business of the company.</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 xml:space="preserve">We have had recurring net operating losses and negative cash flows from operations. As of June 30, 2020 and December 31, 2019, we had an accumulated deficit of $135.5 million and $75.7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June 30, 2020 and December 31, 2019, we had cash and cash equivalents of $14.0 million and $15.7 million, respectively. On March 19, 2020 we issued and sold securities in a private placement for gross proceeds of approximately $22.3 million. See “—2020 Private Placement” below. 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During the quarter ended June 30, 2020, we raised net cash proceeds of $3.0 million under the Equity Purchase Agreement as described below. See </w:t>
      </w:r>
      <w:r>
        <w:rPr>
          <w:rFonts w:ascii="Arial" w:cs="Arial" w:eastAsia="Arial" w:hAnsi="Arial"/>
          <w:sz w:val="13"/>
          <w:szCs w:val="13"/>
          <w:i w:val="1"/>
          <w:iCs w:val="1"/>
          <w:color w:val="auto"/>
        </w:rPr>
        <w:t>“—Equity Purchase Agreement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with Lincoln Park” </w:t>
      </w:r>
      <w:r>
        <w:rPr>
          <w:rFonts w:ascii="Arial" w:cs="Arial" w:eastAsia="Arial" w:hAnsi="Arial"/>
          <w:sz w:val="13"/>
          <w:szCs w:val="13"/>
          <w:color w:val="auto"/>
        </w:rPr>
        <w:t>below. The COVID-19 pandemic has had a significant negative impact on our business, and we expect the pandemic to continue to have a negative impact in the</w:t>
      </w:r>
      <w:r>
        <w:rPr>
          <w:rFonts w:ascii="Arial" w:cs="Arial" w:eastAsia="Arial" w:hAnsi="Arial"/>
          <w:sz w:val="13"/>
          <w:szCs w:val="13"/>
          <w:i w:val="1"/>
          <w:iCs w:val="1"/>
          <w:color w:val="auto"/>
        </w:rPr>
        <w:t xml:space="preserve"> </w:t>
      </w:r>
      <w:r>
        <w:rPr>
          <w:rFonts w:ascii="Arial" w:cs="Arial" w:eastAsia="Arial" w:hAnsi="Arial"/>
          <w:sz w:val="13"/>
          <w:szCs w:val="13"/>
          <w:color w:val="auto"/>
        </w:rPr>
        <w:t>foreseeable future, the extent of which is uncertain and largely subject to whether the severity of the pandemic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See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Private Placement</w:t>
      </w:r>
    </w:p>
    <w:p>
      <w:pPr>
        <w:spacing w:after="0" w:line="191" w:lineRule="exact"/>
        <w:rPr>
          <w:sz w:val="20"/>
          <w:szCs w:val="20"/>
          <w:color w:val="auto"/>
        </w:rPr>
      </w:pPr>
    </w:p>
    <w:p>
      <w:pPr>
        <w:ind w:right="220"/>
        <w:spacing w:after="0" w:line="296" w:lineRule="auto"/>
        <w:rPr>
          <w:sz w:val="20"/>
          <w:szCs w:val="20"/>
          <w:color w:val="auto"/>
        </w:rPr>
      </w:pPr>
      <w:r>
        <w:rPr>
          <w:rFonts w:ascii="Arial" w:cs="Arial" w:eastAsia="Arial" w:hAnsi="Arial"/>
          <w:sz w:val="13"/>
          <w:szCs w:val="13"/>
          <w:color w:val="auto"/>
        </w:rPr>
        <w:t>On March 18, 2020, we entered into a securities purchase agreement with certain investors pursuant to which we agreed to sell and they agreed to purchase an aggregate of approximately 2.3 million shares of our common stock, 0.7 million shares of Series A Preferred Stock, which is convertible into 6.6 million shares of our common stock and the 2020 Private Placement Warrants to purchase up to an aggregate of approximately 6.7 million shares of our common stock at an exercise price of $3.50 per share, which we refer to as the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2020 Private Placement. The 2020 Private Placement Warrants have a five-year term and are exercisable beginning 181 days after their issue date. The aggregate net purchase price for the securities sold in the 2020 Private Placement was approximately $20.3 million. The transaction was completed on March 19, 2020. All outstanding shares of Series A Preferred Stock automatically converted into shares 6.6 million shares of our common stock on June 16, 2020 upon receipt of stockholder approval at our annual meeting of stockholders held on June 16, 2020.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Equity Purchase Agreement with Lincoln Park</w:t>
      </w:r>
    </w:p>
    <w:p>
      <w:pPr>
        <w:spacing w:after="0" w:line="19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Concurrently with entering into the Equity Purchase Agreement, we also entered into a registration rights agreement with Lincoln Park, pursuant to which we agreed to provide Lincoln Park with certain registration rights related to the shares issued under the Equity Purchase Agreement (the “Registration Rights Agreement”). See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As of June 30, 2020, we issued and sold to Lincoln Park 1.0 million shares of our common stock, 0.2 million of these shares were issued to Lincoln Park as a commitment fee in connection with entering into the Equity Purchase Agreement (the “Commitment Shares”). The total value of the Commitment Shares of $0.6 million together with the issuance costs of $0.1 million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The net proceeds from shares issuance as of June 30, 2020 were $3.0 million. In July 2020 we sold additional 0.5 million shares of our common stock to Lincoln Park for $1.9 million. The Equity Purchase Agreement will enhance our balance sheet and financial condition to support our future growth initiatives.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We derive revenue from the sale of products and services. Product revenue includes revenue from the following:</w:t>
      </w:r>
    </w:p>
    <w:p>
      <w:pPr>
        <w:spacing w:after="0" w:line="191" w:lineRule="exact"/>
        <w:rPr>
          <w:sz w:val="20"/>
          <w:szCs w:val="20"/>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sale of systems, which includes the main console and is inclusive of control software and applicators (referred to as system revenue);</w:t>
      </w:r>
    </w:p>
    <w:p>
      <w:pPr>
        <w:spacing w:after="0" w:line="18"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marketing supplies and kits;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consumables and disposables;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replacement applicators/handpieces; and</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Venus Concept skincare and hair products.</w:t>
      </w:r>
    </w:p>
    <w:p>
      <w:pPr>
        <w:spacing w:after="0" w:line="182"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Service revenue includes revenue derived from our VeroGrafters</w:t>
      </w:r>
      <w:r>
        <w:rPr>
          <w:rFonts w:ascii="Arial" w:cs="Arial" w:eastAsia="Arial" w:hAnsi="Arial"/>
          <w:sz w:val="15"/>
          <w:szCs w:val="15"/>
          <w:color w:val="3C4043"/>
        </w:rPr>
        <w:t>™</w:t>
      </w:r>
      <w:r>
        <w:rPr>
          <w:rFonts w:ascii="Arial" w:cs="Arial" w:eastAsia="Arial" w:hAnsi="Arial"/>
          <w:sz w:val="15"/>
          <w:szCs w:val="15"/>
          <w:color w:val="auto"/>
        </w:rPr>
        <w:t xml:space="preserve"> technician services, our 2two5 internal advertising agency, and our extended warranty service contracts provided to our existing customers.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Systems are sold through our subscription model, or through traditional sales contracts directly and through distributors.</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generate recurring monthly revenue under our subscription-based business model and from traditional system sales. Venus Concept Ltd. commenced a subscription-based model in North America in 2011 and, for the six months ended June 30, 2020, and 2019, approximately 58% and 70% of system revenues were derived from our subscription model, respectively. We have launched our subscription model in targeted international markets in which we operate directly. We currently do not offer the ARTAS® iX System for hair restoration under the subscription model.</w:t>
      </w:r>
    </w:p>
    <w:p>
      <w:pPr>
        <w:spacing w:after="0" w:line="158"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Our subscription model includes an up-front fee and a monthly payment schedule, typically over a period of 36 months, with approximately 40% of total contract payments collected in the first year. To ensure that each monthly product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to new agreements for the newest available or alternative Venus Concept’s technology throughout the subscription period. This structure can provide greater flexibility than traditional equipment leases secured through financing companies. We work closely with our customers and physicians to provide business recommendations that improve the quality of service outcomes, build patient traffic and improve financial returns for the customer’s business.</w:t>
      </w:r>
    </w:p>
    <w:p>
      <w:pPr>
        <w:spacing w:after="0" w:line="14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We have developed and commercialized twelve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as well as other indications, that are cleared for marketing in overseas markets but not in the United States, including treatment of certain soft tissue injuries, temporary increase of skin tightening, temporary body contouring, and vaginal treatments in the Israeli and other markets. We believe our ARTAS® and NeoGraft® systems are complementary and give us a hair restoration product offering that can serve a broad segment of the market.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1" w:name="page32"/>
    <w:bookmarkEnd w:id="31"/>
    <w:p>
      <w:pPr>
        <w:ind w:right="80"/>
        <w:spacing w:after="0" w:line="285" w:lineRule="auto"/>
        <w:rPr>
          <w:sz w:val="20"/>
          <w:szCs w:val="20"/>
          <w:color w:val="auto"/>
        </w:rPr>
      </w:pPr>
      <w:r>
        <w:rPr>
          <w:rFonts w:ascii="Arial" w:cs="Arial" w:eastAsia="Arial" w:hAnsi="Arial"/>
          <w:sz w:val="14"/>
          <w:szCs w:val="14"/>
          <w:color w:val="auto"/>
        </w:rPr>
        <w:t>In the United States, we have obtained 510(k) clearance from FDA for our Venus Freeze and Freeze Plus systems, Venus Viva, Venus Viva MD, Venus Legacy, Venus Versa, Venus Velocity, Venus Heal, Venus Bliss, Venus Epileve and ARTAS® systems. The Venus Glow and NeoGraft® systems are listed as class I devices under FDA classification system. Outside the United States,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w:t>
      </w:r>
    </w:p>
    <w:p>
      <w:pPr>
        <w:spacing w:after="0" w:line="144" w:lineRule="exact"/>
        <w:rPr>
          <w:sz w:val="20"/>
          <w:szCs w:val="20"/>
          <w:color w:val="auto"/>
        </w:rPr>
      </w:pPr>
    </w:p>
    <w:p>
      <w:pPr>
        <w:ind w:right="640"/>
        <w:spacing w:after="0" w:line="358" w:lineRule="auto"/>
        <w:rPr>
          <w:sz w:val="20"/>
          <w:szCs w:val="20"/>
          <w:color w:val="auto"/>
        </w:rPr>
      </w:pPr>
      <w:r>
        <w:rPr>
          <w:rFonts w:ascii="Arial" w:cs="Arial" w:eastAsia="Arial" w:hAnsi="Arial"/>
          <w:sz w:val="13"/>
          <w:szCs w:val="13"/>
          <w:color w:val="auto"/>
        </w:rPr>
        <w:t>As of June 30, 2020, we operated directly in 26 international markets through our 23 direct offices in the United States, Canada, United Kingdom, Japan, South Korea, Mexico, Argentina, Colombia, Spain, France, Germany, Australia, China, Hong Kong, Singapore, Indonesia, Vietnam, India, Israel, Italy, Russia, Kazakhstan and South Africa.</w:t>
      </w:r>
    </w:p>
    <w:p>
      <w:pPr>
        <w:spacing w:after="0" w:line="99"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Our revenues for the three months ended June 30, 2020 and June 30, 2019 were $17.0 million and $27.8 million, respectively. We had a net loss attributable to Venus Concept of $13.2 million and $5.9 million in the three months ended June 30, 2020 and June 30, 2019, respectively. We had an Adjusted EBITDA loss of $2.7 million and $2.5 million for the three months ended June 30, 2020 and June 30, 2019, respectively.</w:t>
      </w:r>
    </w:p>
    <w:p>
      <w:pPr>
        <w:spacing w:after="0" w:line="156"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Our revenues for the six months ended June 30, 2020 and June 30, 2019 were $31.5 million and $52.4 million, respectively. We had a net loss attributable to Venus Concept of $63.3 million and $11.2 million in the six months ended June 30, 2020 and June 30, 2019, respectively. We had an Adjusted EBITDA loss of $16.4 million and $3.7 million for the six months ended June 30, 2020 and June 30, 2019,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Non-GAAP Financial Measures</w:t>
      </w:r>
    </w:p>
    <w:p>
      <w:pPr>
        <w:spacing w:after="0" w:line="191"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35"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reconciliation of net loss to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ind w:left="340"/>
              <w:spacing w:after="0"/>
              <w:rPr>
                <w:sz w:val="20"/>
                <w:szCs w:val="20"/>
                <w:color w:val="auto"/>
              </w:rPr>
            </w:pPr>
            <w:r>
              <w:rPr>
                <w:rFonts w:ascii="Arial" w:cs="Arial" w:eastAsia="Arial" w:hAnsi="Arial"/>
                <w:sz w:val="12"/>
                <w:szCs w:val="12"/>
                <w:b w:val="1"/>
                <w:bCs w:val="1"/>
                <w:color w:val="auto"/>
              </w:rPr>
              <w:t>Three Months</w:t>
            </w:r>
          </w:p>
        </w:tc>
        <w:tc>
          <w:tcPr>
            <w:tcW w:w="160" w:type="dxa"/>
            <w:vAlign w:val="bottom"/>
          </w:tcPr>
          <w:p>
            <w:pPr>
              <w:spacing w:after="0"/>
              <w:rPr>
                <w:sz w:val="12"/>
                <w:szCs w:val="12"/>
                <w:color w:val="auto"/>
              </w:rPr>
            </w:pPr>
          </w:p>
        </w:tc>
        <w:tc>
          <w:tcPr>
            <w:tcW w:w="1100" w:type="dxa"/>
            <w:vAlign w:val="bottom"/>
            <w:gridSpan w:val="3"/>
          </w:tcPr>
          <w:p>
            <w:pPr>
              <w:jc w:val="center"/>
              <w:ind w:left="269"/>
              <w:spacing w:after="0"/>
              <w:rPr>
                <w:sz w:val="20"/>
                <w:szCs w:val="20"/>
                <w:color w:val="auto"/>
              </w:rPr>
            </w:pPr>
            <w:r>
              <w:rPr>
                <w:rFonts w:ascii="Arial" w:cs="Arial" w:eastAsia="Arial" w:hAnsi="Arial"/>
                <w:sz w:val="12"/>
                <w:szCs w:val="12"/>
                <w:b w:val="1"/>
                <w:bCs w:val="1"/>
                <w:color w:val="auto"/>
                <w:w w:val="93"/>
              </w:rPr>
              <w:t>Six Months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ind w:left="340"/>
              <w:spacing w:after="0"/>
              <w:rPr>
                <w:sz w:val="20"/>
                <w:szCs w:val="20"/>
                <w:color w:val="auto"/>
              </w:rPr>
            </w:pPr>
            <w:r>
              <w:rPr>
                <w:rFonts w:ascii="Arial" w:cs="Arial" w:eastAsia="Arial" w:hAnsi="Arial"/>
                <w:sz w:val="12"/>
                <w:szCs w:val="12"/>
                <w:b w:val="1"/>
                <w:bCs w:val="1"/>
                <w:color w:val="auto"/>
              </w:rPr>
              <w:t>Ended June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Ended June 30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00" w:type="dxa"/>
            <w:vAlign w:val="bottom"/>
            <w:gridSpan w:val="2"/>
            <w:vMerge w:val="restart"/>
          </w:tcPr>
          <w:p>
            <w:pPr>
              <w:ind w:left="1680"/>
              <w:spacing w:after="0"/>
              <w:rPr>
                <w:sz w:val="20"/>
                <w:szCs w:val="20"/>
                <w:color w:val="auto"/>
              </w:rPr>
            </w:pPr>
            <w:r>
              <w:rPr>
                <w:rFonts w:ascii="Arial" w:cs="Arial" w:eastAsia="Arial" w:hAnsi="Arial"/>
                <w:sz w:val="12"/>
                <w:szCs w:val="12"/>
                <w:b w:val="1"/>
                <w:bCs w:val="1"/>
                <w:color w:val="auto"/>
              </w:rPr>
              <w:t>Reconciliation of net loss to adjusted EBITDA</w:t>
            </w:r>
          </w:p>
        </w:tc>
        <w:tc>
          <w:tcPr>
            <w:tcW w:w="9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9"/>
              <w:spacing w:after="0" w:line="12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6"/>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9"/>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ind w:left="340"/>
              <w:spacing w:after="0" w:line="128" w:lineRule="exact"/>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left="289"/>
              <w:spacing w:after="0" w:line="128" w:lineRule="exact"/>
              <w:rPr>
                <w:sz w:val="20"/>
                <w:szCs w:val="20"/>
                <w:color w:val="auto"/>
              </w:rPr>
            </w:pPr>
            <w:r>
              <w:rPr>
                <w:rFonts w:ascii="Arial" w:cs="Arial" w:eastAsia="Arial" w:hAnsi="Arial"/>
                <w:sz w:val="12"/>
                <w:szCs w:val="12"/>
                <w:b w:val="1"/>
                <w:bCs w:val="1"/>
                <w:color w:val="auto"/>
                <w:w w:val="89"/>
              </w:rPr>
              <w:t>(in thousands)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(9,765)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(5,478)</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(60,468)</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(10,583)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gridSpan w:val="2"/>
          </w:tcPr>
          <w:p>
            <w:pPr>
              <w:ind w:left="1680"/>
              <w:spacing w:after="0"/>
              <w:rPr>
                <w:sz w:val="20"/>
                <w:szCs w:val="20"/>
                <w:color w:val="auto"/>
              </w:rPr>
            </w:pPr>
            <w:r>
              <w:rPr>
                <w:rFonts w:ascii="Arial" w:cs="Arial" w:eastAsia="Arial" w:hAnsi="Arial"/>
                <w:sz w:val="15"/>
                <w:szCs w:val="15"/>
                <w:color w:val="auto"/>
              </w:rPr>
              <w:t>Foreign exchange loss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(1,166)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(684)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3,113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Finance expenses</w:t>
            </w: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2,152</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4,625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3,807</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gridSpan w:val="2"/>
          </w:tcPr>
          <w:p>
            <w:pPr>
              <w:ind w:left="1680"/>
              <w:spacing w:after="0"/>
              <w:rPr>
                <w:sz w:val="20"/>
                <w:szCs w:val="20"/>
                <w:color w:val="auto"/>
              </w:rPr>
            </w:pPr>
            <w:r>
              <w:rPr>
                <w:rFonts w:ascii="Arial" w:cs="Arial" w:eastAsia="Arial" w:hAnsi="Arial"/>
                <w:sz w:val="15"/>
                <w:szCs w:val="15"/>
                <w:color w:val="auto"/>
              </w:rPr>
              <w:t>Income tax expense (benefit)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(633)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(44)</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947</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Depreciation and amortization</w:t>
            </w: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1,269</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735</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gridSpan w:val="2"/>
          </w:tcPr>
          <w:p>
            <w:pPr>
              <w:ind w:left="1680"/>
              <w:spacing w:after="0"/>
              <w:rPr>
                <w:sz w:val="20"/>
                <w:szCs w:val="20"/>
                <w:color w:val="auto"/>
              </w:rPr>
            </w:pPr>
            <w:r>
              <w:rPr>
                <w:rFonts w:ascii="Arial" w:cs="Arial" w:eastAsia="Arial" w:hAnsi="Arial"/>
                <w:sz w:val="15"/>
                <w:szCs w:val="15"/>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1,419</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Goodwill impairment charge</w:t>
            </w: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 xml:space="preserve">Other adjustments </w:t>
            </w:r>
            <w:r>
              <w:rPr>
                <w:rFonts w:ascii="Arial" w:cs="Arial" w:eastAsia="Arial" w:hAnsi="Arial"/>
                <w:sz w:val="10"/>
                <w:szCs w:val="10"/>
                <w:color w:val="auto"/>
              </w:rPr>
              <w:t>(1)</w:t>
            </w:r>
          </w:p>
        </w:tc>
        <w:tc>
          <w:tcPr>
            <w:tcW w:w="9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4,756</w:t>
            </w:r>
          </w:p>
        </w:tc>
        <w:tc>
          <w:tcPr>
            <w:tcW w:w="1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2,650</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2,650</w:t>
            </w:r>
          </w:p>
        </w:tc>
        <w:tc>
          <w:tcPr>
            <w:tcW w:w="80" w:type="dxa"/>
            <w:vAlign w:val="bottom"/>
            <w:tcBorders>
              <w:bottom w:val="single" w:sz="8" w:color="CFF0FC"/>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(2,629)</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(16,360)</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(1,012)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5"/>
                <w:szCs w:val="15"/>
                <w:color w:val="auto"/>
              </w:rPr>
              <w:t>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1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32" w:name="page33"/>
    <w:bookmarkEnd w:id="32"/>
    <w:p>
      <w:pPr>
        <w:ind w:left="9" w:right="220" w:hanging="9"/>
        <w:spacing w:after="0" w:line="293" w:lineRule="auto"/>
        <w:tabs>
          <w:tab w:leader="none" w:pos="191" w:val="left"/>
        </w:tabs>
        <w:numPr>
          <w:ilvl w:val="0"/>
          <w:numId w:val="10"/>
        </w:numPr>
        <w:rPr>
          <w:rFonts w:ascii="Arial" w:cs="Arial" w:eastAsia="Arial" w:hAnsi="Arial"/>
          <w:sz w:val="12"/>
          <w:szCs w:val="12"/>
          <w:color w:val="auto"/>
        </w:rPr>
      </w:pPr>
      <w:r>
        <w:rPr>
          <w:rFonts w:ascii="Arial" w:cs="Arial" w:eastAsia="Arial" w:hAnsi="Arial"/>
          <w:sz w:val="14"/>
          <w:szCs w:val="14"/>
          <w:color w:val="auto"/>
        </w:rPr>
        <w:t>For the three and six months ended June 30, 2020, the other adjustments are mainly represented by severance and retention payments ($0.8 million and $1.5 million, respectively), additional bad debt provision due to COVID-19 ($3.0 million and $3.5 million, respectively) as well as a loss on sale of subsidiary in Bulgaria ($0.4 million and $0.4 million, respectively). For the three and six months ended June 30, 2019, the other adjustments are mainly represented by professional fees related to the Merger.</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Key Factors Impacting Our Results of Operations</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color w:val="auto"/>
        </w:rPr>
        <w:t>Our results of operations are impacted by several factors, but we consider the following to be particularly significant to our business:</w:t>
      </w:r>
    </w:p>
    <w:p>
      <w:pPr>
        <w:spacing w:after="0" w:line="187" w:lineRule="exact"/>
        <w:rPr>
          <w:sz w:val="20"/>
          <w:szCs w:val="20"/>
          <w:color w:val="auto"/>
        </w:rPr>
      </w:pPr>
    </w:p>
    <w:p>
      <w:pPr>
        <w:ind w:left="9" w:right="340"/>
        <w:spacing w:after="0" w:line="284" w:lineRule="auto"/>
        <w:rPr>
          <w:sz w:val="20"/>
          <w:szCs w:val="20"/>
          <w:color w:val="auto"/>
        </w:rPr>
      </w:pPr>
      <w:r>
        <w:rPr>
          <w:rFonts w:ascii="Arial" w:cs="Arial" w:eastAsia="Arial" w:hAnsi="Arial"/>
          <w:sz w:val="15"/>
          <w:szCs w:val="15"/>
          <w:b w:val="1"/>
          <w:bCs w:val="1"/>
          <w:color w:val="auto"/>
        </w:rPr>
        <w:t xml:space="preserve">Number of systems delivered. </w:t>
      </w:r>
      <w:r>
        <w:rPr>
          <w:rFonts w:ascii="Arial" w:cs="Arial" w:eastAsia="Arial" w:hAnsi="Arial"/>
          <w:sz w:val="15"/>
          <w:szCs w:val="15"/>
          <w:color w:val="auto"/>
        </w:rPr>
        <w:t>The majority of our revenue is generated from the delivery of systems, both under traditional sale contracts and under subscription agreements.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table set forth the number of systems we have delivered in the geographic regions indicated:</w:t>
      </w:r>
    </w:p>
    <w:p>
      <w:pPr>
        <w:spacing w:after="0" w:line="130" w:lineRule="exact"/>
        <w:rPr>
          <w:sz w:val="20"/>
          <w:szCs w:val="20"/>
          <w:color w:val="auto"/>
        </w:rPr>
      </w:pPr>
    </w:p>
    <w:tbl>
      <w:tblPr>
        <w:tblLayout w:type="fixed"/>
        <w:tblInd w:w="1689"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Three Months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Six Months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29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Ended June 30</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Ended June 30</w:t>
            </w: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294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ind w:right="19"/>
              <w:spacing w:after="0" w:line="128"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48"/>
              <w:spacing w:after="0" w:line="128"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FF0FC"/>
            </w:tcBorders>
          </w:tcPr>
          <w:p>
            <w:pPr>
              <w:spacing w:after="0"/>
              <w:rPr>
                <w:sz w:val="11"/>
                <w:szCs w:val="11"/>
                <w:color w:val="auto"/>
              </w:rPr>
            </w:pPr>
          </w:p>
        </w:tc>
      </w:tr>
      <w:tr>
        <w:trPr>
          <w:trHeight w:val="184"/>
        </w:trPr>
        <w:tc>
          <w:tcPr>
            <w:tcW w:w="36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United States</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FF0FC"/>
          </w:tcPr>
          <w:p>
            <w:pPr>
              <w:spacing w:after="0"/>
              <w:rPr>
                <w:sz w:val="16"/>
                <w:szCs w:val="16"/>
                <w:color w:val="auto"/>
              </w:rPr>
            </w:pPr>
          </w:p>
        </w:tc>
      </w:tr>
      <w:tr>
        <w:trPr>
          <w:trHeight w:val="192"/>
        </w:trPr>
        <w:tc>
          <w:tcPr>
            <w:tcW w:w="29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International</w:t>
            </w: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c>
          <w:tcPr>
            <w:tcW w:w="18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w:t>
            </w:r>
          </w:p>
        </w:tc>
        <w:tc>
          <w:tcPr>
            <w:tcW w:w="18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w:t>
            </w:r>
          </w:p>
        </w:tc>
        <w:tc>
          <w:tcPr>
            <w:tcW w:w="1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w:t>
            </w:r>
          </w:p>
        </w:tc>
        <w:tc>
          <w:tcPr>
            <w:tcW w:w="80" w:type="dxa"/>
            <w:vAlign w:val="bottom"/>
            <w:tcBorders>
              <w:bottom w:val="single" w:sz="8" w:color="CFF0FC"/>
            </w:tcBorders>
          </w:tcPr>
          <w:p>
            <w:pPr>
              <w:spacing w:after="0"/>
              <w:rPr>
                <w:sz w:val="16"/>
                <w:szCs w:val="16"/>
                <w:color w:val="auto"/>
              </w:rPr>
            </w:pPr>
          </w:p>
        </w:tc>
      </w:tr>
      <w:tr>
        <w:trPr>
          <w:trHeight w:val="184"/>
        </w:trPr>
        <w:tc>
          <w:tcPr>
            <w:tcW w:w="36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Total systems delivered</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649</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1,191</w:t>
            </w:r>
          </w:p>
        </w:tc>
        <w:tc>
          <w:tcPr>
            <w:tcW w:w="80" w:type="dxa"/>
            <w:vAlign w:val="bottom"/>
            <w:shd w:val="clear" w:color="auto" w:fill="CFF0FC"/>
          </w:tcPr>
          <w:p>
            <w:pPr>
              <w:spacing w:after="0"/>
              <w:rPr>
                <w:sz w:val="16"/>
                <w:szCs w:val="16"/>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67" w:lineRule="exact"/>
        <w:rPr>
          <w:sz w:val="20"/>
          <w:szCs w:val="20"/>
          <w:color w:val="auto"/>
        </w:rPr>
      </w:pPr>
    </w:p>
    <w:p>
      <w:pPr>
        <w:ind w:left="9" w:right="140"/>
        <w:spacing w:after="0" w:line="259" w:lineRule="auto"/>
        <w:rPr>
          <w:sz w:val="20"/>
          <w:szCs w:val="20"/>
          <w:color w:val="auto"/>
        </w:rPr>
      </w:pPr>
      <w:r>
        <w:rPr>
          <w:rFonts w:ascii="Arial" w:cs="Arial" w:eastAsia="Arial" w:hAnsi="Arial"/>
          <w:sz w:val="15"/>
          <w:szCs w:val="15"/>
          <w:b w:val="1"/>
          <w:bCs w:val="1"/>
          <w:color w:val="auto"/>
        </w:rPr>
        <w:t xml:space="preserve">Mix between traditional sales, subscription model sales and distributor sales. </w:t>
      </w:r>
      <w:r>
        <w:rPr>
          <w:rFonts w:ascii="Arial" w:cs="Arial" w:eastAsia="Arial" w:hAnsi="Arial"/>
          <w:sz w:val="15"/>
          <w:szCs w:val="15"/>
          <w:color w:val="auto"/>
        </w:rPr>
        <w:t>We deliver systems through (1) traditional direct system sales contracts to customers, (2) our</w:t>
      </w:r>
      <w:r>
        <w:rPr>
          <w:rFonts w:ascii="Arial" w:cs="Arial" w:eastAsia="Arial" w:hAnsi="Arial"/>
          <w:sz w:val="15"/>
          <w:szCs w:val="15"/>
          <w:b w:val="1"/>
          <w:bCs w:val="1"/>
          <w:color w:val="auto"/>
        </w:rPr>
        <w:t xml:space="preserve"> </w:t>
      </w:r>
      <w:r>
        <w:rPr>
          <w:rFonts w:ascii="Arial" w:cs="Arial" w:eastAsia="Arial" w:hAnsi="Arial"/>
          <w:sz w:val="15"/>
          <w:szCs w:val="15"/>
          <w:color w:val="auto"/>
        </w:rPr>
        <w:t>subscription model, and (3) system sales through distributor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contracts and subscription contracts have similar gross margins, cash collections on subscription contracts generally occur over a three-year period, with approximately 40% collected in the first year and the balance collected evenly over the remaining two years of the subscription agreement.</w:t>
      </w:r>
    </w:p>
    <w:p>
      <w:pPr>
        <w:spacing w:after="0" w:line="155" w:lineRule="exact"/>
        <w:rPr>
          <w:sz w:val="20"/>
          <w:szCs w:val="20"/>
          <w:color w:val="auto"/>
        </w:rPr>
      </w:pPr>
    </w:p>
    <w:p>
      <w:pPr>
        <w:ind w:left="9"/>
        <w:spacing w:after="0" w:line="280" w:lineRule="auto"/>
        <w:rPr>
          <w:sz w:val="20"/>
          <w:szCs w:val="20"/>
          <w:color w:val="auto"/>
        </w:rPr>
      </w:pPr>
      <w:r>
        <w:rPr>
          <w:rFonts w:ascii="Arial" w:cs="Arial" w:eastAsia="Arial" w:hAnsi="Arial"/>
          <w:sz w:val="14"/>
          <w:szCs w:val="14"/>
          <w:b w:val="1"/>
          <w:bCs w:val="1"/>
          <w:color w:val="auto"/>
        </w:rPr>
        <w:t xml:space="preserve">Investment in Sales, Marketing and Operations. </w:t>
      </w:r>
      <w:r>
        <w:rPr>
          <w:rFonts w:ascii="Arial" w:cs="Arial" w:eastAsia="Arial" w:hAnsi="Arial"/>
          <w:sz w:val="14"/>
          <w:szCs w:val="14"/>
          <w:color w:val="auto"/>
        </w:rPr>
        <w:t>In recent years we made a strategic decision to penetrate the global market by investing in sales and marketing expenses across all</w:t>
      </w:r>
      <w:r>
        <w:rPr>
          <w:rFonts w:ascii="Arial" w:cs="Arial" w:eastAsia="Arial" w:hAnsi="Arial"/>
          <w:sz w:val="14"/>
          <w:szCs w:val="14"/>
          <w:b w:val="1"/>
          <w:bCs w:val="1"/>
          <w:color w:val="auto"/>
        </w:rPr>
        <w:t xml:space="preserve"> </w:t>
      </w:r>
      <w:r>
        <w:rPr>
          <w:rFonts w:ascii="Arial" w:cs="Arial" w:eastAsia="Arial" w:hAnsi="Arial"/>
          <w:sz w:val="14"/>
          <w:szCs w:val="14"/>
          <w:color w:val="auto"/>
        </w:rPr>
        <w:t>geographic segments. This includes reducing our reliance on distributor arrangements, opening more direct offices and hiring experienced sales, marketing and operational staff. While we will generate incremental product sales in these new markets, these revenues and the related margins may not fully offset the startup investments in the initial years. In the six months ended June 30, 2020 and June 30, 2019, respectively, we did not open any direct sales offices, and are currently reevaluating our profitability and overall business model in select countries that have yet to produce sustainable results. As of June 30, 2020, we sold our share (51%) in our Bulgarian subsidiary, Venus Concept Central Eastern Europe Ltd., to a third party for the cash consideration of 0.5 million Euro which is equivalent to $0.5 million. The disposal resulted in loss of $0.4 million.</w:t>
      </w:r>
    </w:p>
    <w:p>
      <w:pPr>
        <w:spacing w:after="0" w:line="145" w:lineRule="exact"/>
        <w:rPr>
          <w:sz w:val="20"/>
          <w:szCs w:val="20"/>
          <w:color w:val="auto"/>
        </w:rPr>
      </w:pPr>
    </w:p>
    <w:p>
      <w:pPr>
        <w:ind w:left="9" w:right="40"/>
        <w:spacing w:after="0" w:line="260" w:lineRule="auto"/>
        <w:rPr>
          <w:sz w:val="20"/>
          <w:szCs w:val="20"/>
          <w:color w:val="auto"/>
        </w:rPr>
      </w:pPr>
      <w:r>
        <w:rPr>
          <w:rFonts w:ascii="Arial" w:cs="Arial" w:eastAsia="Arial" w:hAnsi="Arial"/>
          <w:sz w:val="15"/>
          <w:szCs w:val="15"/>
          <w:b w:val="1"/>
          <w:bCs w:val="1"/>
          <w:color w:val="auto"/>
        </w:rPr>
        <w:t xml:space="preserve">Bad Debt Expense. </w:t>
      </w:r>
      <w:r>
        <w:rPr>
          <w:rFonts w:ascii="Arial" w:cs="Arial" w:eastAsia="Arial" w:hAnsi="Arial"/>
          <w:sz w:val="15"/>
          <w:szCs w:val="15"/>
          <w:color w:val="auto"/>
        </w:rPr>
        <w:t>We maintain an allowance for doubtful accounts for estimated losses that may primarily arise from subscription customers that are unable to make the remaining</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payments under their subscription contracts. Due to COVID-19, in the first half of 2020, we have experienced significant reductions in the collection of accounts receivable from our subscription customers across the markets we operate. As a result, in addition to our regular allowance for doubtful accounts, we recorded a COVID-19 related bad debt charge of $0.5 million and $3.0 million in the first and the second quarters of 2020, respectively. The cumulative COVID-19 bad debt charge of $3.5 million represents 3.6% of the gross outstanding accounts receivable as of June 30, 2020, respectively.</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Outlook</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COVID-19</w:t>
      </w:r>
    </w:p>
    <w:p>
      <w:pPr>
        <w:spacing w:after="0" w:line="191" w:lineRule="exact"/>
        <w:rPr>
          <w:sz w:val="20"/>
          <w:szCs w:val="20"/>
          <w:color w:val="auto"/>
        </w:rPr>
      </w:pPr>
    </w:p>
    <w:p>
      <w:pPr>
        <w:ind w:left="9" w:right="320"/>
        <w:spacing w:after="0" w:line="278" w:lineRule="auto"/>
        <w:rPr>
          <w:sz w:val="20"/>
          <w:szCs w:val="20"/>
          <w:color w:val="auto"/>
        </w:rPr>
      </w:pPr>
      <w:r>
        <w:rPr>
          <w:rFonts w:ascii="Arial" w:cs="Arial" w:eastAsia="Arial" w:hAnsi="Arial"/>
          <w:sz w:val="15"/>
          <w:szCs w:val="15"/>
          <w:color w:val="auto"/>
        </w:rPr>
        <w:t>The global pandemic caused by the novel coronavirus (COVID-19) has significantly negatively affected all aspects of our business during the first half of 2020, including our sales, supply chain, manufacturing and accounts receivable collections.</w:t>
      </w:r>
    </w:p>
    <w:p>
      <w:pPr>
        <w:spacing w:after="0" w:line="146"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9"/>
          </w:cols>
          <w:pgMar w:left="311" w:top="311" w:right="359" w:bottom="1440" w:gutter="0" w:footer="0" w:header="0"/>
        </w:sectPr>
      </w:pPr>
    </w:p>
    <w:bookmarkStart w:id="33" w:name="page34"/>
    <w:bookmarkEnd w:id="33"/>
    <w:p>
      <w:pPr>
        <w:ind w:right="380"/>
        <w:spacing w:after="0" w:line="279" w:lineRule="auto"/>
        <w:rPr>
          <w:sz w:val="20"/>
          <w:szCs w:val="20"/>
          <w:color w:val="auto"/>
        </w:rPr>
      </w:pPr>
      <w:r>
        <w:rPr>
          <w:rFonts w:ascii="Arial" w:cs="Arial" w:eastAsia="Arial" w:hAnsi="Arial"/>
          <w:sz w:val="14"/>
          <w:szCs w:val="14"/>
          <w:b w:val="1"/>
          <w:bCs w:val="1"/>
          <w:color w:val="auto"/>
        </w:rPr>
        <w:t xml:space="preserve">Employee and customers’ health and safety measures. </w:t>
      </w:r>
      <w:r>
        <w:rPr>
          <w:rFonts w:ascii="Arial" w:cs="Arial" w:eastAsia="Arial" w:hAnsi="Arial"/>
          <w:sz w:val="14"/>
          <w:szCs w:val="14"/>
          <w:color w:val="auto"/>
        </w:rPr>
        <w:t>At Venus Concept, safety is our top responsibility and that includes the health and wellness of our employees globally.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response to COVID-19, we instituted several operational measures to ensure the safety of our employees, which include, but are not limited to the following:</w:t>
      </w:r>
    </w:p>
    <w:p>
      <w:pPr>
        <w:ind w:left="740" w:hanging="374"/>
        <w:spacing w:after="0" w:line="213"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Suspended or reduced operations at manufacturing and warehouse facilities;</w:t>
      </w:r>
    </w:p>
    <w:p>
      <w:pPr>
        <w:spacing w:after="0" w:line="25"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Implemented and continuously updated our health and safety policies and processes;</w:t>
      </w:r>
    </w:p>
    <w:p>
      <w:pPr>
        <w:spacing w:after="0" w:line="25"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Established remote working guidelines;</w:t>
      </w:r>
    </w:p>
    <w:p>
      <w:pPr>
        <w:spacing w:after="0" w:line="25" w:lineRule="exact"/>
        <w:rPr>
          <w:rFonts w:ascii="Arial" w:cs="Arial" w:eastAsia="Arial" w:hAnsi="Arial"/>
          <w:sz w:val="18"/>
          <w:szCs w:val="18"/>
          <w:color w:val="212529"/>
        </w:rPr>
      </w:pPr>
    </w:p>
    <w:p>
      <w:pPr>
        <w:ind w:left="740" w:right="200" w:hanging="374"/>
        <w:spacing w:after="0" w:line="228"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Maintained communication with customers, including planning for business resumption, implementing virtual training sessions and monitoring announcements regarding developments;</w:t>
      </w:r>
    </w:p>
    <w:p>
      <w:pPr>
        <w:ind w:left="740" w:hanging="374"/>
        <w:spacing w:after="0" w:line="210"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Enhanced safety guidelines and access to personal protective equipment for our clinical trainers; shifted to virtual training sessions where possible.</w:t>
      </w:r>
    </w:p>
    <w:p>
      <w:pPr>
        <w:spacing w:after="0" w:line="26" w:lineRule="exact"/>
        <w:rPr>
          <w:rFonts w:ascii="Arial" w:cs="Arial" w:eastAsia="Arial" w:hAnsi="Arial"/>
          <w:sz w:val="18"/>
          <w:szCs w:val="18"/>
          <w:color w:val="212529"/>
        </w:rPr>
      </w:pPr>
    </w:p>
    <w:p>
      <w:pPr>
        <w:ind w:left="740" w:hanging="374"/>
        <w:spacing w:after="0" w:line="207" w:lineRule="auto"/>
        <w:tabs>
          <w:tab w:leader="none" w:pos="740" w:val="left"/>
        </w:tabs>
        <w:numPr>
          <w:ilvl w:val="0"/>
          <w:numId w:val="11"/>
        </w:numPr>
        <w:rPr>
          <w:rFonts w:ascii="Arial" w:cs="Arial" w:eastAsia="Arial" w:hAnsi="Arial"/>
          <w:sz w:val="18"/>
          <w:szCs w:val="18"/>
          <w:color w:val="212529"/>
        </w:rPr>
      </w:pPr>
      <w:r>
        <w:rPr>
          <w:rFonts w:ascii="Arial" w:cs="Arial" w:eastAsia="Arial" w:hAnsi="Arial"/>
          <w:sz w:val="15"/>
          <w:szCs w:val="15"/>
          <w:color w:val="auto"/>
        </w:rPr>
        <w:t>Initiated thorough cleaning and decontamination procedures throughout our global manufacturing, warehouse and office facilities.</w:t>
      </w:r>
    </w:p>
    <w:p>
      <w:pPr>
        <w:spacing w:after="0" w:line="192"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color w:val="auto"/>
        </w:rPr>
        <w:t xml:space="preserve">Supply chain. </w:t>
      </w:r>
      <w:r>
        <w:rPr>
          <w:rFonts w:ascii="Arial" w:cs="Arial" w:eastAsia="Arial" w:hAnsi="Arial"/>
          <w:sz w:val="14"/>
          <w:szCs w:val="14"/>
          <w:color w:val="auto"/>
        </w:rPr>
        <w:t>A number of the components we use to manufacture our systems are sourced from China. We had experienced difficulty with sourcing certain component parts from</w:t>
      </w:r>
      <w:r>
        <w:rPr>
          <w:rFonts w:ascii="Arial" w:cs="Arial" w:eastAsia="Arial" w:hAnsi="Arial"/>
          <w:sz w:val="14"/>
          <w:szCs w:val="14"/>
          <w:b w:val="1"/>
          <w:bCs w:val="1"/>
          <w:color w:val="auto"/>
        </w:rPr>
        <w:t xml:space="preserve"> </w:t>
      </w:r>
      <w:r>
        <w:rPr>
          <w:rFonts w:ascii="Arial" w:cs="Arial" w:eastAsia="Arial" w:hAnsi="Arial"/>
          <w:sz w:val="14"/>
          <w:szCs w:val="14"/>
          <w:color w:val="auto"/>
        </w:rPr>
        <w:t>China for some of our systems, including Venus Bliss, in the first quarter of 2020 and, consequently, we were not able to manufacture the number of systems we forecasted for the first quarter and part of the second quarter of 2020. Our China sourcing issue was fully remedied in the second quarter of 2020; nevertheless, we experienced difficulties in meeting customers’ demand in the second quarter of 2020 as a result of sourcing disruption earlier this year. In addition, from March 16, 2020 to June 1, 2020, we were unable to access our facility in San Jose or NPI Solutions, Inc.’s (“NPI”) facility. As a result, we were unable to manufacture sufficient ARTAS procedure kits during this period and were limited to shipping procedure kits from existing inventory. While we currently have access to our San Jose facility and NPI’s facility has re-opened and we are able to manufacture ARTAS procedure kits, we cannot predict whether these facilities will be closed again by the Order of the Health Officer of the County of Santa Clara, or California State public health orders in response to future COVID-19 developments in the County or State.</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4"/>
          <w:szCs w:val="14"/>
          <w:b w:val="1"/>
          <w:bCs w:val="1"/>
          <w:color w:val="auto"/>
        </w:rPr>
        <w:t xml:space="preserve">Sales markets. </w:t>
      </w:r>
      <w:r>
        <w:rPr>
          <w:rFonts w:ascii="Arial" w:cs="Arial" w:eastAsia="Arial" w:hAnsi="Arial"/>
          <w:sz w:val="14"/>
          <w:szCs w:val="14"/>
          <w:color w:val="auto"/>
        </w:rPr>
        <w:t>We are a global business, having established a commercial presence in more than 60 countries over the course of our ten-year history. Approximately 30% of our 2019</w:t>
      </w:r>
      <w:r>
        <w:rPr>
          <w:rFonts w:ascii="Arial" w:cs="Arial" w:eastAsia="Arial" w:hAnsi="Arial"/>
          <w:sz w:val="14"/>
          <w:szCs w:val="14"/>
          <w:b w:val="1"/>
          <w:bCs w:val="1"/>
          <w:color w:val="auto"/>
        </w:rPr>
        <w:t xml:space="preserve"> </w:t>
      </w:r>
      <w:r>
        <w:rPr>
          <w:rFonts w:ascii="Arial" w:cs="Arial" w:eastAsia="Arial" w:hAnsi="Arial"/>
          <w:sz w:val="14"/>
          <w:szCs w:val="14"/>
          <w:color w:val="auto"/>
        </w:rPr>
        <w:t>sales came from the APAC and European regions which were impacted by the pandemic throughout the first quarter of fiscal 2020. The economic recovery in these regions in the second quarter of 2020 progressed unevenly depending on the success of each individual country in controlling the spread and impact of COVID-19. We also saw a pronounced decline in system sales, product sales and service revenues in North America and Latin America beginning in March 2020 and continuing throughout the second quarter of fiscal 2020, primarily as a result of mandated government “shelter-in-place” requirements in these regions. While our results for the second quarter of 2020 were better than we anticipated in both Europe and North America, we expect COVID-19 will continue to significantly negatively affect customer demand in the second half of the year and while we expect further recovery in some markets, the impact of COVID-19 on our sales is unpredictable and could continue to be significant for the foreseeable future.</w:t>
      </w:r>
    </w:p>
    <w:p>
      <w:pPr>
        <w:spacing w:after="0" w:line="144"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b w:val="1"/>
          <w:bCs w:val="1"/>
          <w:color w:val="auto"/>
        </w:rPr>
        <w:t xml:space="preserve">Accounts receivable collections. </w:t>
      </w:r>
      <w:r>
        <w:rPr>
          <w:rFonts w:ascii="Arial" w:cs="Arial" w:eastAsia="Arial" w:hAnsi="Arial"/>
          <w:sz w:val="15"/>
          <w:szCs w:val="15"/>
          <w:color w:val="auto"/>
        </w:rPr>
        <w:t>As a result of the global economic turmoil that has resulted from COVID-19, many of our customers are experiencing difficulty in making timely</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or payments at all during the pandemic under their subscription agreements and we have experienced a significant reduction in the collection of accounts receivable from our subscription customers across markets in the first half of 2020. As a result, in addition to our regular allowance for doubtful accounts, we recorded a COVID-19 related bad debt charge of $0.5 million and $3.0 million in the first and the second quarter of 2020, respectively. The cumulative COVID-19 bad debt charge of $3.5 million represents 3.6% of the gross outstanding accounts receivable as of June 30, 2020, respectively.</w:t>
      </w:r>
    </w:p>
    <w:p>
      <w:pPr>
        <w:spacing w:after="0" w:line="160"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In our largest subscription markets we collected approximately 60% of our billings in March 2020, 30% of our billings in April 2020, 35% in May 2020 and 60% in June 2020. The improvement in collection trends in May and June of 2020 are directly correlated to business re-openings and our collection efforts. We continue to proactively manage the collection of accounts receivables and have made repayment arrangements with the majority of our non-paying subscription customers to either defer collection or to collect a reduced amount, with the expectation of full collection as business activities resume. As a result of implementing repayment arrangements with the majority of our non-paying subscription customers, the majority of these customers have recommenced payments in those jurisdictions where shelter-in-place orders have been lifted and their businesses reopened. Our systems are equipped with monthly activation codes, and non-paying customers will not be provided with codes unless overdue balances are cleared, or they make a repayment arrangement with us. We will continue our pro-active management of collections and will revisit our allowance for doubtful accounts during the next quarter.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07" w:right="35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auto"/>
        </w:rPr>
        <w:t xml:space="preserve">Mitigation efforts. </w:t>
      </w:r>
      <w:r>
        <w:rPr>
          <w:rFonts w:ascii="Arial" w:cs="Arial" w:eastAsia="Arial" w:hAnsi="Arial"/>
          <w:sz w:val="13"/>
          <w:szCs w:val="13"/>
          <w:color w:val="auto"/>
        </w:rPr>
        <w:t>We are focused on continuing to mitigate the impacts of the COVID-19 pandemic on our business to the extent possible. Our mitigation efforts include the following:</w:t>
      </w:r>
    </w:p>
    <w:p>
      <w:pPr>
        <w:spacing w:after="0" w:line="218" w:lineRule="exact"/>
        <w:rPr>
          <w:sz w:val="20"/>
          <w:szCs w:val="20"/>
          <w:color w:val="auto"/>
        </w:rPr>
      </w:pPr>
    </w:p>
    <w:p>
      <w:pPr>
        <w:ind w:left="740" w:right="40" w:hanging="374"/>
        <w:spacing w:after="0" w:line="279"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Accounts Receivables Collections Initiatives. </w:t>
      </w:r>
      <w:r>
        <w:rPr>
          <w:rFonts w:ascii="Arial" w:cs="Arial" w:eastAsia="Arial" w:hAnsi="Arial"/>
          <w:sz w:val="14"/>
          <w:szCs w:val="14"/>
          <w:color w:val="auto"/>
        </w:rPr>
        <w:t>We have made repayment arrangements with the majority of our non-paying subscription customers to collect temporarily</w:t>
      </w:r>
      <w:r>
        <w:rPr>
          <w:rFonts w:ascii="Arial" w:cs="Arial" w:eastAsia="Arial" w:hAnsi="Arial"/>
          <w:sz w:val="14"/>
          <w:szCs w:val="14"/>
          <w:i w:val="1"/>
          <w:iCs w:val="1"/>
          <w:color w:val="auto"/>
        </w:rPr>
        <w:t xml:space="preserve"> </w:t>
      </w:r>
      <w:r>
        <w:rPr>
          <w:rFonts w:ascii="Arial" w:cs="Arial" w:eastAsia="Arial" w:hAnsi="Arial"/>
          <w:sz w:val="14"/>
          <w:szCs w:val="14"/>
          <w:color w:val="auto"/>
        </w:rPr>
        <w:t>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Based on our interactions and arrangements in place thus far with our subscription customers, the majority of them have recommenced payments in those jurisdictions where shelter-in-place orders have been lifted and their businesses reopened. While the repayment arrangements and improvements in collections activities made this far are encouraging, we cannot assure you that all subscription customers will resume payments under their contracts, or that we will be successful in collecting all outstanding amounts.</w:t>
      </w:r>
    </w:p>
    <w:p>
      <w:pPr>
        <w:spacing w:after="0" w:line="149" w:lineRule="exact"/>
        <w:rPr>
          <w:rFonts w:ascii="Arial" w:cs="Arial" w:eastAsia="Arial" w:hAnsi="Arial"/>
          <w:sz w:val="14"/>
          <w:szCs w:val="14"/>
          <w:color w:val="auto"/>
        </w:rPr>
      </w:pPr>
    </w:p>
    <w:p>
      <w:pPr>
        <w:ind w:left="740" w:right="40" w:hanging="374"/>
        <w:spacing w:after="0" w:line="274"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Cost reduction initiatives. </w:t>
      </w:r>
      <w:r>
        <w:rPr>
          <w:rFonts w:ascii="Arial" w:cs="Arial" w:eastAsia="Arial" w:hAnsi="Arial"/>
          <w:sz w:val="14"/>
          <w:szCs w:val="14"/>
          <w:color w:val="auto"/>
        </w:rPr>
        <w:t>Our efforts to reduce the operating expense profile of the combined company are progressing well and we expect our restructuring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combined with synergies and cost reductions, to result in cost savings of approximately $38.0 million in 2020 and continuing into 2021. After the Merger, we focused on improving the profitability of the combined businesses and identified approximately $18.0 million of synergies and cost reductions related to the Merger. In addition, and in response to the challenging business environment related to COVID-19, we also conducted a full review of our 2020 operating budget. In the first quarter of fiscal 2020, we implemented a restructuring program which was mainly focused on reduction of payroll costs through a combination of permanent headcount reductions, a hiring freeze, temporary unpaid leave and a reduced work week for certain employees and reduction of discretionary spending across all departments. We expect to realize costs savings of approximately $20.0 million in 2020 and continuing into 2021. In the three months ended June 30, 2020, we realized in excess of $7.0 million of the projected $20.0 million and expect to realize the balance in the second half of 2020. Our results for the three and six months ended June 30, 2020, reflect a severance provision of approximately $0.6 million and $1.0 million, respectively. This severance provision related to approximately 107 employees who were terminated by June 30, 2020. We also took immediate actions to reduce discretionary expenses, including advertising and promotion activities, travel, meetings, professional and consulting services. We have agreed to extended payment arrangements with several professional service providers, and we expect to repay outstanding amounts by the end of 2020. In addition, and in response to COVID-19, we are performing an ongoing reassessment of the viability of our subsidiaries that have insufficient revenues to cover high operating expenses. As a part of this reassessment, in the second quarter of 2020 we sold our share (51%) in our Bulgarian subsidiary, Venus Concept Central Eastern Europe Ltd., to a third party for $0.5 million, and recorded a divestment loss of $0.4 million.</w:t>
      </w:r>
    </w:p>
    <w:p>
      <w:pPr>
        <w:spacing w:after="0" w:line="152" w:lineRule="exact"/>
        <w:rPr>
          <w:rFonts w:ascii="Arial" w:cs="Arial" w:eastAsia="Arial" w:hAnsi="Arial"/>
          <w:sz w:val="14"/>
          <w:szCs w:val="14"/>
          <w:color w:val="auto"/>
        </w:rPr>
      </w:pPr>
    </w:p>
    <w:p>
      <w:pPr>
        <w:ind w:left="740" w:hanging="374"/>
        <w:spacing w:after="0" w:line="256"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Cash Interest Payment Deferral and Covenant Relief. </w:t>
      </w:r>
      <w:r>
        <w:rPr>
          <w:rFonts w:ascii="Arial" w:cs="Arial" w:eastAsia="Arial" w:hAnsi="Arial"/>
          <w:sz w:val="15"/>
          <w:szCs w:val="15"/>
          <w:color w:val="auto"/>
        </w:rPr>
        <w:t>On April 29, 2020, we entered into an amendment to the Madryn Credit Agreement to (i) require that interest payments</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period beginning January 1, 2020 and ending on, and including, April 29, 2020 (the “PIK Period”), be paid-in-kind, (ii) increase the interest rate from 9.00% per annum to 12.00% per annum during the PIK Period and (iii) require us to provide certain additional financial and other reporting information to the lenders. On June 30, 2020, we entered into another amendment to the Madryn Credit Agreement that (i) extends the PIK period through June 30, 2020, (ii) reduces the consolidated minimum revenue threshold requirement (a) for the four consecutive fiscal quarter period ending June 30, 2020, to at least $85.0 million and (b) for the four consecutive fiscal quarter period ending September 30, 2020, to at least $75.0 million, (iii) requires us to raise at least $5.0 million of cash proceeds from the issuance of equity during the period June 1, 2020, through September 30, 2020 and (iv) obligates us to use our best efforts to raise an additional $2.0 million of cash proceeds from the issuance of equity during the period June 1, 2020 through September 30, 2020.</w:t>
      </w:r>
    </w:p>
    <w:p>
      <w:pPr>
        <w:spacing w:after="0" w:line="163" w:lineRule="exact"/>
        <w:rPr>
          <w:rFonts w:ascii="Arial" w:cs="Arial" w:eastAsia="Arial" w:hAnsi="Arial"/>
          <w:sz w:val="15"/>
          <w:szCs w:val="15"/>
          <w:color w:val="auto"/>
        </w:rPr>
      </w:pPr>
    </w:p>
    <w:p>
      <w:pPr>
        <w:ind w:left="740" w:hanging="374"/>
        <w:spacing w:after="0" w:line="285"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Equity Purchase Agreement with Lincoln Park. </w:t>
      </w:r>
      <w:r>
        <w:rPr>
          <w:rFonts w:ascii="Arial" w:cs="Arial" w:eastAsia="Arial" w:hAnsi="Arial"/>
          <w:sz w:val="14"/>
          <w:szCs w:val="14"/>
          <w:color w:val="auto"/>
        </w:rPr>
        <w:t>On June 16, 2020, we entered into the Equity Purchase Agreement with Lincoln Park and sold approximately 1.0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our common stock through this equity line facility yielding net cash proceeds of $3.0 million. In July 2020, we sold additional 500 shares of our common stock for $1.9 million in net cash proceeds. The Lincoln Park facility has a two-year term and provides us with the ability to opportunistically enhance our liquidity position should the COVID-19 pandemic continue for a sustained period of time, as well as facilitate compliance with the Madryn Credit Agreement requirements.</w:t>
      </w:r>
    </w:p>
    <w:p>
      <w:pPr>
        <w:spacing w:after="0" w:line="143" w:lineRule="exact"/>
        <w:rPr>
          <w:rFonts w:ascii="Arial" w:cs="Arial" w:eastAsia="Arial" w:hAnsi="Arial"/>
          <w:sz w:val="14"/>
          <w:szCs w:val="14"/>
          <w:color w:val="auto"/>
        </w:rPr>
      </w:pPr>
    </w:p>
    <w:p>
      <w:pPr>
        <w:ind w:left="740" w:right="200" w:hanging="374"/>
        <w:spacing w:after="0" w:line="265"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Assistance Programs. </w:t>
      </w:r>
      <w:r>
        <w:rPr>
          <w:rFonts w:ascii="Arial" w:cs="Arial" w:eastAsia="Arial" w:hAnsi="Arial"/>
          <w:sz w:val="15"/>
          <w:szCs w:val="15"/>
          <w:color w:val="auto"/>
        </w:rPr>
        <w:t>Certain of our subsidiaries applied for government assistance programs and received loans and other government subsidies aggregating</w:t>
      </w:r>
      <w:r>
        <w:rPr>
          <w:rFonts w:ascii="Arial" w:cs="Arial" w:eastAsia="Arial" w:hAnsi="Arial"/>
          <w:sz w:val="15"/>
          <w:szCs w:val="15"/>
          <w:i w:val="1"/>
          <w:iCs w:val="1"/>
          <w:color w:val="auto"/>
        </w:rPr>
        <w:t xml:space="preserve"> </w:t>
      </w:r>
      <w:r>
        <w:rPr>
          <w:rFonts w:ascii="Arial" w:cs="Arial" w:eastAsia="Arial" w:hAnsi="Arial"/>
          <w:sz w:val="15"/>
          <w:szCs w:val="15"/>
          <w:color w:val="auto"/>
        </w:rPr>
        <w:t>$4.8 million, including $4.1 million in PPP Loans under the CARES Act. The terms of these government assistance programs vary by jurisdiction. See ‘‘—</w:t>
      </w:r>
      <w:r>
        <w:rPr>
          <w:rFonts w:ascii="Arial" w:cs="Arial" w:eastAsia="Arial" w:hAnsi="Arial"/>
          <w:sz w:val="15"/>
          <w:szCs w:val="15"/>
          <w:i w:val="1"/>
          <w:iCs w:val="1"/>
          <w:color w:val="auto"/>
        </w:rPr>
        <w:t>Liquidity and</w:t>
      </w:r>
      <w:r>
        <w:rPr>
          <w:rFonts w:ascii="Arial" w:cs="Arial" w:eastAsia="Arial" w:hAnsi="Arial"/>
          <w:sz w:val="15"/>
          <w:szCs w:val="15"/>
          <w:color w:val="auto"/>
        </w:rPr>
        <w:t xml:space="preserve"> </w:t>
      </w:r>
      <w:r>
        <w:rPr>
          <w:rFonts w:ascii="Arial" w:cs="Arial" w:eastAsia="Arial" w:hAnsi="Arial"/>
          <w:sz w:val="15"/>
          <w:szCs w:val="15"/>
          <w:i w:val="1"/>
          <w:iCs w:val="1"/>
          <w:color w:val="auto"/>
        </w:rPr>
        <w:t>Capital Resources</w:t>
      </w:r>
      <w:r>
        <w:rPr>
          <w:rFonts w:ascii="Arial" w:cs="Arial" w:eastAsia="Arial" w:hAnsi="Arial"/>
          <w:sz w:val="15"/>
          <w:szCs w:val="15"/>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35" w:name="page36"/>
    <w:bookmarkEnd w:id="35"/>
    <w:p>
      <w:pPr>
        <w:spacing w:after="0" w:line="285" w:lineRule="auto"/>
        <w:rPr>
          <w:sz w:val="20"/>
          <w:szCs w:val="20"/>
          <w:color w:val="auto"/>
        </w:rPr>
      </w:pPr>
      <w:r>
        <w:rPr>
          <w:rFonts w:ascii="Arial" w:cs="Arial" w:eastAsia="Arial" w:hAnsi="Arial"/>
          <w:sz w:val="14"/>
          <w:szCs w:val="14"/>
          <w:color w:val="auto"/>
        </w:rPr>
        <w:t>The extent to which the COVID-19 pandemic may continue to impact our business, operating results, financial condition, and liquidity in the future will depend on future developments, which we cannot predict, including the duration and severity of the pandemic, travel restrictions, business and workforce disruptions, and the effectiveness of actions taken to contain and treat the disease in each of the markets in which we operate. The situation surrounding COVID-19 remains fluid, and the potential for additional negative impacts on our results of operations, financial condition and liquidity increases the longer the pandemic impacts activity levels in the U.S. and the other countries in which we operate.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Revenues</w:t>
      </w:r>
    </w:p>
    <w:p>
      <w:pPr>
        <w:spacing w:after="0" w:line="191" w:lineRule="exact"/>
        <w:rPr>
          <w:sz w:val="20"/>
          <w:szCs w:val="20"/>
          <w:color w:val="auto"/>
        </w:rPr>
      </w:pPr>
    </w:p>
    <w:p>
      <w:pPr>
        <w:jc w:val="both"/>
        <w:ind w:right="560"/>
        <w:spacing w:after="0" w:line="265" w:lineRule="auto"/>
        <w:rPr>
          <w:sz w:val="20"/>
          <w:szCs w:val="20"/>
          <w:color w:val="auto"/>
        </w:rPr>
      </w:pPr>
      <w:r>
        <w:rPr>
          <w:rFonts w:ascii="Arial" w:cs="Arial" w:eastAsia="Arial" w:hAnsi="Arial"/>
          <w:sz w:val="15"/>
          <w:szCs w:val="15"/>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our 2two5 internal advertising agency and our extended warranty service contracts provided to existing customers.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System Revenue</w:t>
      </w:r>
    </w:p>
    <w:p>
      <w:pPr>
        <w:spacing w:after="0" w:line="191"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For the three and six months ended June 30, 2020, approximately 52% and 58%, respectively, of our system revenues were derived from our subscription model. For the three and six months ended June 30, 2019, approximately 68% and 70%, respectively, of system revenues were derived from our subscription model. Our subscription model is designed to provide a low barrier to ownership of our systems and includes an up-front fee followed by monthly payments, typically over a 36-month period. The up-front fee serves as a deposit. The significantly reduced up-front financial commitment, coupled with less onerous credit and disclosure requirements, is intended to make our subscription-based sales program more appealing and affordable to physicians, including non-traditional providers of aesthetic services such as family practice, general practice,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48"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For the three and six months ended June 30, 2020, approximately 42% and 37%, respectively, of our system revenues were derived from traditional sales. For the three and six months ended June 30, 2019, approximately 28% and 24%, respectively, of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 We do not generally grant rights of return or early termination rights to our end customers. These traditional sales are generally made through our sales team in the countries in which the team operates.</w:t>
      </w:r>
    </w:p>
    <w:p>
      <w:pPr>
        <w:spacing w:after="0" w:line="149"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For the three and six months ended June 30, 2020, approximately 6% and 5%, respectively, of our system revenues were derived from distributor sales. For the three and six months ended June 30, 2019, approximately 4% and 6%,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Procedure Based Revenue</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uses ARTAS® System to create a recipient site (i.e. site making) in the patient’s scalp affected by androgenic alopecia or AGA (or male pattern baldness). The site making procedures generally include one disposable site making kit. The site making procedures are sold to customers in the same manner as the harvesting procedures.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6" w:name="page37"/>
    <w:bookmarkEnd w:id="36"/>
    <w:p>
      <w:pPr>
        <w:spacing w:after="0"/>
        <w:rPr>
          <w:sz w:val="20"/>
          <w:szCs w:val="20"/>
          <w:color w:val="auto"/>
        </w:rPr>
      </w:pPr>
      <w:r>
        <w:rPr>
          <w:rFonts w:ascii="Arial" w:cs="Arial" w:eastAsia="Arial" w:hAnsi="Arial"/>
          <w:sz w:val="15"/>
          <w:szCs w:val="15"/>
          <w:i w:val="1"/>
          <w:iCs w:val="1"/>
          <w:u w:val="single" w:color="auto"/>
          <w:color w:val="auto"/>
        </w:rPr>
        <w:t>Other Product Revenue</w:t>
      </w:r>
    </w:p>
    <w:p>
      <w:pPr>
        <w:spacing w:after="0" w:line="191" w:lineRule="exact"/>
        <w:rPr>
          <w:sz w:val="20"/>
          <w:szCs w:val="20"/>
          <w:color w:val="auto"/>
        </w:rPr>
      </w:pPr>
    </w:p>
    <w:p>
      <w:pPr>
        <w:ind w:right="620"/>
        <w:spacing w:after="0" w:line="315" w:lineRule="auto"/>
        <w:rPr>
          <w:sz w:val="20"/>
          <w:szCs w:val="20"/>
          <w:color w:val="auto"/>
        </w:rPr>
      </w:pPr>
      <w:r>
        <w:rPr>
          <w:rFonts w:ascii="Arial" w:cs="Arial" w:eastAsia="Arial" w:hAnsi="Arial"/>
          <w:sz w:val="14"/>
          <w:szCs w:val="14"/>
          <w:color w:val="auto"/>
        </w:rPr>
        <w:t>We also generate revenue from our customer base by selling Glide (a cooling/conductive gel which is required for use with many of our systems), marketing supplies and kits, consumables and disposables, replacement applicators and handpieces, our skincare products (Venus Skin) and hair products, and ARTAS® System training.</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Service Revenue</w:t>
      </w:r>
    </w:p>
    <w:p>
      <w:pPr>
        <w:spacing w:after="0" w:line="19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We generate ancillary revenue from our existing customers by selling additional services including VeroGrafters™ technician services for hair restoration using our NeoGraft® system, extended warranty service contracts, and services provided by our 2two5 internal advertising agency.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Goods Sold and Gross Profit</w:t>
      </w:r>
    </w:p>
    <w:p>
      <w:pPr>
        <w:spacing w:after="0" w:line="191" w:lineRule="exact"/>
        <w:rPr>
          <w:sz w:val="20"/>
          <w:szCs w:val="20"/>
          <w:color w:val="auto"/>
        </w:rPr>
      </w:pPr>
    </w:p>
    <w:p>
      <w:pPr>
        <w:ind w:right="220"/>
        <w:spacing w:after="0" w:line="293" w:lineRule="auto"/>
        <w:rPr>
          <w:sz w:val="20"/>
          <w:szCs w:val="20"/>
          <w:color w:val="auto"/>
        </w:rPr>
      </w:pPr>
      <w:r>
        <w:rPr>
          <w:rFonts w:ascii="Arial" w:cs="Arial" w:eastAsia="Arial" w:hAnsi="Arial"/>
          <w:sz w:val="14"/>
          <w:szCs w:val="14"/>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87"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b w:val="1"/>
          <w:bCs w:val="1"/>
          <w:i w:val="1"/>
          <w:iCs w:val="1"/>
          <w:color w:val="auto"/>
        </w:rPr>
        <w:t>Selling and Marketing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currently sell our products and services using direct sales representatives in North America and in select international markets. Our sales costs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 of salaries, commissions, benefits, incentive compensation and stock-based compensation. Costs also include expenses for travel and other promotional and sales-related activities.</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Our marketing costs primarily consist of salaries, benefits, incentive compensation and stock-based compensation. They also include expenses for travel, trade shows, and other promotional and marketing activities, including direct and online marketing. Our marketing expenses have been increasing as we continued to scale up our direct operations across all geographic segments. However, due to business disruption and restrictions imposed by the governments in many countries in which we operate, we have experienced significant decline in our selling and marketing expenses. As the business environment improves, we expect selling and marketing expenses to increase, but at a rate slightly below our rate of revenue growth.</w:t>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Our general and administrative costs primarily consist of expenses associated with our executive, accounting and finance, legal, intellectual property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human resource departments.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Our research and development costs primarily consist of personnel-related costs (primarily salaries, benefits, incentive compensation, and stock-based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material costs, amortization of intangible assets, regulatory affairs, and clinical costs, and facilities costs in our Yokneam, Israel research center.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58" w:lineRule="exact"/>
        <w:rPr>
          <w:sz w:val="20"/>
          <w:szCs w:val="20"/>
          <w:color w:val="auto"/>
        </w:rPr>
      </w:pPr>
    </w:p>
    <w:p>
      <w:pPr>
        <w:ind w:right="460"/>
        <w:spacing w:after="0" w:line="358" w:lineRule="auto"/>
        <w:rPr>
          <w:sz w:val="20"/>
          <w:szCs w:val="20"/>
          <w:color w:val="auto"/>
        </w:rPr>
      </w:pPr>
      <w:r>
        <w:rPr>
          <w:rFonts w:ascii="Arial" w:cs="Arial" w:eastAsia="Arial" w:hAnsi="Arial"/>
          <w:sz w:val="13"/>
          <w:szCs w:val="13"/>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Finance Expenses</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 on our long-term debt is fixed at 12% as of June 30, 2020, and 9% as of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Loss (Income)</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Foreign currency exchange loss (income) changes reflect foreign exchange gains or losses related to the change in value of assets and liabilities denominated in currencies other than the U.S. dollar.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180"/>
          </w:cols>
          <w:pgMar w:left="320" w:top="311" w:right="39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Income Taxes Expense (Benefit)</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Our most significant temporary difference results from our subscription business.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Income tax expense is recognized based on the actual income or loss incurred during the three and six months ended June 30, 2020. Due to the uncertainties as a result of COVID-19, we were unable to determine an annualized effective tax rate and calculate the income tax expense (benefit) in accordance with such method. The effective tax rate differs from the statutory tax rate due to the recognition of previously unrecognized carried forward tax losses.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Non-Controlling Interests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Restatement of Comparative Amounts</w:t>
      </w:r>
    </w:p>
    <w:p>
      <w:pPr>
        <w:spacing w:after="0" w:line="191" w:lineRule="exact"/>
        <w:rPr>
          <w:sz w:val="20"/>
          <w:szCs w:val="20"/>
          <w:color w:val="auto"/>
        </w:rPr>
      </w:pPr>
    </w:p>
    <w:p>
      <w:pPr>
        <w:ind w:right="280"/>
        <w:spacing w:after="0" w:line="259" w:lineRule="auto"/>
        <w:rPr>
          <w:sz w:val="20"/>
          <w:szCs w:val="20"/>
          <w:color w:val="auto"/>
        </w:rPr>
      </w:pPr>
      <w:r>
        <w:rPr>
          <w:rFonts w:ascii="Arial" w:cs="Arial" w:eastAsia="Arial" w:hAnsi="Arial"/>
          <w:sz w:val="15"/>
          <w:szCs w:val="15"/>
          <w:color w:val="auto"/>
        </w:rPr>
        <w:t>For the three months ended March 31, 2019 and six months ended June 30, 2019, we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immaterial impact on the consolidated statements of stockholders’ equity and consolidated balance sheets.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set forth our consolidated results of operations in U.S. dollars and as a percentage of revenues for the periods indicated:</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left="266"/>
              <w:spacing w:after="0"/>
              <w:rPr>
                <w:sz w:val="20"/>
                <w:szCs w:val="20"/>
                <w:color w:val="auto"/>
              </w:rPr>
            </w:pPr>
            <w:r>
              <w:rPr>
                <w:rFonts w:ascii="Arial" w:cs="Arial" w:eastAsia="Arial" w:hAnsi="Arial"/>
                <w:sz w:val="12"/>
                <w:szCs w:val="12"/>
                <w:b w:val="1"/>
                <w:bCs w:val="1"/>
                <w:color w:val="auto"/>
                <w:w w:val="93"/>
              </w:rPr>
              <w:t>Three Months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center"/>
              <w:ind w:left="266"/>
              <w:spacing w:after="0"/>
              <w:rPr>
                <w:sz w:val="20"/>
                <w:szCs w:val="20"/>
                <w:color w:val="auto"/>
              </w:rPr>
            </w:pPr>
            <w:r>
              <w:rPr>
                <w:rFonts w:ascii="Arial" w:cs="Arial" w:eastAsia="Arial" w:hAnsi="Arial"/>
                <w:sz w:val="12"/>
                <w:szCs w:val="12"/>
                <w:b w:val="1"/>
                <w:bCs w:val="1"/>
                <w:color w:val="auto"/>
                <w:w w:val="90"/>
              </w:rPr>
              <w:t>Six Months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center"/>
              <w:ind w:left="246"/>
              <w:spacing w:after="0"/>
              <w:rPr>
                <w:sz w:val="20"/>
                <w:szCs w:val="20"/>
                <w:color w:val="auto"/>
              </w:rPr>
            </w:pPr>
            <w:r>
              <w:rPr>
                <w:rFonts w:ascii="Arial" w:cs="Arial" w:eastAsia="Arial" w:hAnsi="Arial"/>
                <w:sz w:val="12"/>
                <w:szCs w:val="12"/>
                <w:b w:val="1"/>
                <w:bCs w:val="1"/>
                <w:color w:val="auto"/>
                <w:w w:val="89"/>
              </w:rPr>
              <w:t>Ended June 30</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ind w:left="266"/>
              <w:spacing w:after="0"/>
              <w:rPr>
                <w:sz w:val="20"/>
                <w:szCs w:val="20"/>
                <w:color w:val="auto"/>
              </w:rPr>
            </w:pPr>
            <w:r>
              <w:rPr>
                <w:rFonts w:ascii="Arial" w:cs="Arial" w:eastAsia="Arial" w:hAnsi="Arial"/>
                <w:sz w:val="12"/>
                <w:szCs w:val="12"/>
                <w:b w:val="1"/>
                <w:bCs w:val="1"/>
                <w:color w:val="auto"/>
                <w:w w:val="92"/>
              </w:rPr>
              <w:t>Ended June 30</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60" w:type="dxa"/>
            <w:vAlign w:val="bottom"/>
            <w:vMerge w:val="restart"/>
          </w:tcPr>
          <w:p>
            <w:pPr>
              <w:spacing w:after="0"/>
              <w:rPr>
                <w:sz w:val="20"/>
                <w:szCs w:val="20"/>
                <w:color w:val="auto"/>
              </w:rPr>
            </w:pPr>
            <w:r>
              <w:rPr>
                <w:rFonts w:ascii="Arial" w:cs="Arial" w:eastAsia="Arial" w:hAnsi="Arial"/>
                <w:sz w:val="12"/>
                <w:szCs w:val="12"/>
                <w:b w:val="1"/>
                <w:bCs w:val="1"/>
                <w:color w:val="auto"/>
              </w:rPr>
              <w:t>Consolidated Statements of Loss:</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5"/>
              <w:spacing w:after="0" w:line="128" w:lineRule="exact"/>
              <w:rPr>
                <w:sz w:val="20"/>
                <w:szCs w:val="20"/>
                <w:color w:val="auto"/>
              </w:rPr>
            </w:pPr>
            <w:r>
              <w:rPr>
                <w:rFonts w:ascii="Arial" w:cs="Arial" w:eastAsia="Arial" w:hAnsi="Arial"/>
                <w:sz w:val="12"/>
                <w:szCs w:val="12"/>
                <w:b w:val="1"/>
                <w:bCs w:val="1"/>
                <w:color w:val="auto"/>
                <w:w w:val="82"/>
              </w:rPr>
              <w:t>2019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06"/>
              <w:spacing w:after="0" w:line="128"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5"/>
              <w:spacing w:after="0" w:line="128"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center"/>
              <w:ind w:right="105"/>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jc w:val="center"/>
              <w:ind w:right="105"/>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Leases</w:t>
            </w:r>
          </w:p>
        </w:tc>
        <w:tc>
          <w:tcPr>
            <w:tcW w:w="3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7,465</w:t>
            </w:r>
          </w:p>
        </w:tc>
        <w:tc>
          <w:tcPr>
            <w:tcW w:w="24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16,643</w:t>
            </w:r>
          </w:p>
        </w:tc>
        <w:tc>
          <w:tcPr>
            <w:tcW w:w="260" w:type="dxa"/>
            <w:vAlign w:val="bottom"/>
          </w:tcPr>
          <w:p>
            <w:pPr>
              <w:spacing w:after="0"/>
              <w:rPr>
                <w:sz w:val="16"/>
                <w:szCs w:val="16"/>
                <w:color w:val="auto"/>
              </w:rPr>
            </w:pPr>
          </w:p>
        </w:tc>
        <w:tc>
          <w:tcPr>
            <w:tcW w:w="30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14,278</w:t>
            </w:r>
          </w:p>
        </w:tc>
        <w:tc>
          <w:tcPr>
            <w:tcW w:w="180" w:type="dxa"/>
            <w:vAlign w:val="bottom"/>
          </w:tcPr>
          <w:p>
            <w:pPr>
              <w:spacing w:after="0"/>
              <w:rPr>
                <w:sz w:val="16"/>
                <w:szCs w:val="16"/>
                <w:color w:val="auto"/>
              </w:rPr>
            </w:pPr>
          </w:p>
        </w:tc>
        <w:tc>
          <w:tcPr>
            <w:tcW w:w="320" w:type="dxa"/>
            <w:vAlign w:val="bottom"/>
            <w:gridSpan w:val="2"/>
          </w:tcPr>
          <w:p>
            <w:pPr>
              <w:jc w:val="right"/>
              <w:ind w:right="15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32,385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Products and services</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9,531</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11,175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17,226</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20,013</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Total revenue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16,996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27,818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31,504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52,398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5,099</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7,744</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10,327</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14,259</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11,897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20,074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21,177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38,139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Sales and marketing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4,545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10,250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13,156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19,782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General and administrative</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14,975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11,853</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29,151</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20,192</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1,570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1,920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4,194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Goodwill impairment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21,090</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24,023</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73,951</w:t>
            </w:r>
          </w:p>
        </w:tc>
        <w:tc>
          <w:tcPr>
            <w:tcW w:w="1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43,955</w:t>
            </w:r>
          </w:p>
        </w:tc>
        <w:tc>
          <w:tcPr>
            <w:tcW w:w="1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(9,193)</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(3,949)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(52,774)</w:t>
            </w: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(5,816)</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Other expenses: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Foreign exchange (income) loss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(1,166)</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(684)</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3,113</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Finance expenses</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2,371</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2,152</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w:t>
            </w:r>
          </w:p>
        </w:tc>
        <w:tc>
          <w:tcPr>
            <w:tcW w:w="1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3,807</w:t>
            </w:r>
          </w:p>
        </w:tc>
        <w:tc>
          <w:tcPr>
            <w:tcW w:w="1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before income taxes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(10,398)</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(5,417)</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(60,512)</w:t>
            </w: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(9,636)</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(633)</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Net loss</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(9,765)</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(5,478)</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(60,468</w:t>
            </w:r>
          </w:p>
        </w:tc>
        <w:tc>
          <w:tcPr>
            <w:tcW w:w="180" w:type="dxa"/>
            <w:vAlign w:val="bottom"/>
            <w:tcBorders>
              <w:top w:val="single" w:sz="8" w:color="CFF0FC"/>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94"/>
              </w:rPr>
              <w:t>(10,583</w:t>
            </w:r>
          </w:p>
        </w:tc>
        <w:tc>
          <w:tcPr>
            <w:tcW w:w="14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5"/>
                <w:szCs w:val="15"/>
                <w:color w:val="auto"/>
              </w:rPr>
              <w:t>Deemed dividend</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00"/>
              <w:spacing w:after="0" w:line="167" w:lineRule="exact"/>
              <w:rPr>
                <w:sz w:val="20"/>
                <w:szCs w:val="20"/>
                <w:color w:val="auto"/>
              </w:rPr>
            </w:pPr>
            <w:r>
              <w:rPr>
                <w:rFonts w:ascii="Arial" w:cs="Arial" w:eastAsia="Arial" w:hAnsi="Arial"/>
                <w:sz w:val="15"/>
                <w:szCs w:val="15"/>
                <w:color w:val="auto"/>
              </w:rPr>
              <w:t>(3,564)</w:t>
            </w:r>
          </w:p>
        </w:tc>
        <w:tc>
          <w:tcPr>
            <w:tcW w:w="260" w:type="dxa"/>
            <w:vAlign w:val="bottom"/>
          </w:tcPr>
          <w:p>
            <w:pPr>
              <w:spacing w:after="0"/>
              <w:rPr>
                <w:sz w:val="14"/>
                <w:szCs w:val="14"/>
                <w:color w:val="auto"/>
              </w:rPr>
            </w:pPr>
          </w:p>
        </w:tc>
        <w:tc>
          <w:tcPr>
            <w:tcW w:w="78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2"/>
              <w:spacing w:after="0" w:line="167" w:lineRule="exact"/>
              <w:rPr>
                <w:sz w:val="20"/>
                <w:szCs w:val="20"/>
                <w:color w:val="auto"/>
              </w:rPr>
            </w:pPr>
            <w:r>
              <w:rPr>
                <w:rFonts w:ascii="Arial" w:cs="Arial" w:eastAsia="Arial" w:hAnsi="Arial"/>
                <w:sz w:val="15"/>
                <w:szCs w:val="15"/>
                <w:color w:val="auto"/>
              </w:rPr>
              <w:t>(3,564)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22"/>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Net loss attributable to the Company</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(13,152)</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(5,910)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(63,342)</w:t>
            </w: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w w:val="96"/>
              </w:rPr>
              <w:t>(11,183)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5"/>
                <w:szCs w:val="15"/>
                <w:color w:val="auto"/>
                <w:w w:val="97"/>
              </w:rPr>
              <w:t>Net (loss) income attributable to noncontrolling interest</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(177)</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432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(690)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6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As a % of revenue:</w:t>
            </w:r>
          </w:p>
        </w:tc>
        <w:tc>
          <w:tcPr>
            <w:tcW w:w="1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Revenues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100%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Cost of goods sold</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27.8</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32.8</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27.2</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Selling and marketing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General and administrative</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22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Goodwill impairment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87.1</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124.1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234.7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Loss from operations</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(54.1)</w:t>
            </w:r>
          </w:p>
        </w:tc>
        <w:tc>
          <w:tcPr>
            <w:tcW w:w="2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(14.2)</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(167.5)</w:t>
            </w: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2"/>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Arial" w:cs="Arial" w:eastAsia="Arial" w:hAnsi="Arial"/>
                <w:sz w:val="15"/>
                <w:szCs w:val="15"/>
                <w:color w:val="auto"/>
              </w:rPr>
              <w:t>Foreign exchange (income) loss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(6.9)</w:t>
            </w: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9.9</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Finance expenses</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14.0</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14.7</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(61.2)</w:t>
            </w:r>
          </w:p>
        </w:tc>
        <w:tc>
          <w:tcPr>
            <w:tcW w:w="2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(19.5)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5"/>
                <w:szCs w:val="15"/>
                <w:color w:val="auto"/>
              </w:rPr>
              <w:t>(192.1)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set forth our revenue by region and by product type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060" w:type="dxa"/>
            <w:vAlign w:val="bottom"/>
            <w:gridSpan w:val="3"/>
          </w:tcPr>
          <w:p>
            <w:pPr>
              <w:jc w:val="center"/>
              <w:ind w:left="313"/>
              <w:spacing w:after="0"/>
              <w:rPr>
                <w:sz w:val="20"/>
                <w:szCs w:val="20"/>
                <w:color w:val="auto"/>
              </w:rPr>
            </w:pPr>
            <w:r>
              <w:rPr>
                <w:rFonts w:ascii="Arial" w:cs="Arial" w:eastAsia="Arial" w:hAnsi="Arial"/>
                <w:sz w:val="12"/>
                <w:szCs w:val="12"/>
                <w:b w:val="1"/>
                <w:bCs w:val="1"/>
                <w:color w:val="auto"/>
                <w:w w:val="93"/>
              </w:rPr>
              <w:t>Six Months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89"/>
              </w:rPr>
              <w:t>Ended June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Ended June 30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3"/>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8"/>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3"/>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8"/>
              <w:spacing w:after="0" w:line="128"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4"/>
          </w:tcPr>
          <w:p>
            <w:pPr>
              <w:jc w:val="center"/>
              <w:ind w:right="128"/>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center"/>
              <w:ind w:right="88"/>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 by region:</w:t>
            </w: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gridSpan w:val="2"/>
          </w:tcPr>
          <w:p>
            <w:pPr>
              <w:ind w:left="1680"/>
              <w:spacing w:after="0"/>
              <w:rPr>
                <w:sz w:val="20"/>
                <w:szCs w:val="20"/>
                <w:color w:val="auto"/>
              </w:rPr>
            </w:pPr>
            <w:r>
              <w:rPr>
                <w:rFonts w:ascii="Arial" w:cs="Arial" w:eastAsia="Arial" w:hAnsi="Arial"/>
                <w:sz w:val="15"/>
                <w:szCs w:val="15"/>
                <w:color w:val="auto"/>
              </w:rPr>
              <w:t>United States</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8,915</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11,682</w:t>
            </w:r>
          </w:p>
        </w:tc>
        <w:tc>
          <w:tcPr>
            <w:tcW w:w="16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14,555</w:t>
            </w:r>
          </w:p>
        </w:tc>
        <w:tc>
          <w:tcPr>
            <w:tcW w:w="16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21,221</w:t>
            </w: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International</w:t>
            </w:r>
          </w:p>
        </w:tc>
        <w:tc>
          <w:tcPr>
            <w:tcW w:w="14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8,081</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16,136</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16,949</w:t>
            </w:r>
          </w:p>
        </w:tc>
        <w:tc>
          <w:tcPr>
            <w:tcW w:w="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31,177</w:t>
            </w:r>
          </w:p>
        </w:tc>
        <w:tc>
          <w:tcPr>
            <w:tcW w:w="80" w:type="dxa"/>
            <w:vAlign w:val="bottom"/>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5"/>
                <w:szCs w:val="15"/>
                <w:color w:val="auto"/>
              </w:rPr>
              <w:t>Total revenue</w:t>
            </w:r>
          </w:p>
        </w:tc>
        <w:tc>
          <w:tcPr>
            <w:tcW w:w="1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16,996</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27,818</w:t>
            </w:r>
          </w:p>
        </w:tc>
        <w:tc>
          <w:tcPr>
            <w:tcW w:w="16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31,504</w:t>
            </w:r>
          </w:p>
        </w:tc>
        <w:tc>
          <w:tcPr>
            <w:tcW w:w="16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52,398</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488" w:right="299" w:bottom="1440" w:gutter="0" w:footer="0" w:header="0"/>
        </w:sectPr>
      </w:pPr>
    </w:p>
    <w:bookmarkStart w:id="39" w:name="page40"/>
    <w:bookmarkEnd w:id="39"/>
    <w:tbl>
      <w:tblPr>
        <w:tblLayout w:type="fixed"/>
        <w:tblInd w:w="1689"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Three Months</w:t>
            </w:r>
          </w:p>
        </w:tc>
        <w:tc>
          <w:tcPr>
            <w:tcW w:w="160" w:type="dxa"/>
            <w:vAlign w:val="bottom"/>
          </w:tcPr>
          <w:p>
            <w:pPr>
              <w:spacing w:after="0"/>
              <w:rPr>
                <w:sz w:val="12"/>
                <w:szCs w:val="12"/>
                <w:color w:val="auto"/>
              </w:rPr>
            </w:pPr>
          </w:p>
        </w:tc>
        <w:tc>
          <w:tcPr>
            <w:tcW w:w="1060" w:type="dxa"/>
            <w:vAlign w:val="bottom"/>
            <w:gridSpan w:val="3"/>
          </w:tcPr>
          <w:p>
            <w:pPr>
              <w:jc w:val="center"/>
              <w:ind w:left="311"/>
              <w:spacing w:after="0"/>
              <w:rPr>
                <w:sz w:val="20"/>
                <w:szCs w:val="20"/>
                <w:color w:val="auto"/>
              </w:rPr>
            </w:pPr>
            <w:r>
              <w:rPr>
                <w:rFonts w:ascii="Arial" w:cs="Arial" w:eastAsia="Arial" w:hAnsi="Arial"/>
                <w:sz w:val="12"/>
                <w:szCs w:val="12"/>
                <w:b w:val="1"/>
                <w:bCs w:val="1"/>
                <w:color w:val="auto"/>
                <w:w w:val="93"/>
              </w:rPr>
              <w:t>Six Months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89"/>
              </w:rPr>
              <w:t>Ended June 30</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Ended June 30</w:t>
            </w:r>
          </w:p>
        </w:tc>
      </w:tr>
      <w:tr>
        <w:trPr>
          <w:trHeight w:val="128"/>
        </w:trPr>
        <w:tc>
          <w:tcPr>
            <w:tcW w:w="40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1"/>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7"/>
              <w:spacing w:after="0" w:line="128"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1"/>
              <w:spacing w:after="0" w:line="12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07"/>
              <w:spacing w:after="0" w:line="128"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1"/>
                <w:szCs w:val="11"/>
                <w:color w:val="auto"/>
              </w:rPr>
            </w:pPr>
          </w:p>
        </w:tc>
      </w:tr>
      <w:tr>
        <w:trPr>
          <w:trHeight w:val="128"/>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4"/>
          </w:tcPr>
          <w:p>
            <w:pPr>
              <w:jc w:val="center"/>
              <w:ind w:right="127"/>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center"/>
              <w:ind w:right="87"/>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80" w:type="dxa"/>
            <w:vAlign w:val="bottom"/>
          </w:tcPr>
          <w:p>
            <w:pPr>
              <w:spacing w:after="0"/>
              <w:rPr>
                <w:sz w:val="11"/>
                <w:szCs w:val="11"/>
                <w:color w:val="auto"/>
              </w:rPr>
            </w:pPr>
          </w:p>
        </w:tc>
      </w:tr>
      <w:tr>
        <w:trPr>
          <w:trHeight w:val="193"/>
        </w:trPr>
        <w:tc>
          <w:tcPr>
            <w:tcW w:w="40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 by product:</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Subscription—Systems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7,465</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16,643</w:t>
            </w:r>
          </w:p>
        </w:tc>
        <w:tc>
          <w:tcPr>
            <w:tcW w:w="16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14,278</w:t>
            </w:r>
          </w:p>
        </w:tc>
        <w:tc>
          <w:tcPr>
            <w:tcW w:w="16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32,385</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Products—Systems</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6,757</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7,769</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14,084</w:t>
            </w:r>
          </w:p>
        </w:tc>
        <w:tc>
          <w:tcPr>
            <w:tcW w:w="80" w:type="dxa"/>
            <w:vAlign w:val="bottom"/>
            <w:shd w:val="clear" w:color="auto" w:fill="CFF0FC"/>
          </w:tcPr>
          <w:p>
            <w:pPr>
              <w:spacing w:after="0"/>
              <w:rPr>
                <w:sz w:val="16"/>
                <w:szCs w:val="16"/>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Products—Other (1)</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1,787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2,950</w:t>
            </w:r>
          </w:p>
        </w:tc>
        <w:tc>
          <w:tcPr>
            <w:tcW w:w="80" w:type="dxa"/>
            <w:vAlign w:val="bottom"/>
          </w:tcPr>
          <w:p>
            <w:pPr>
              <w:spacing w:after="0"/>
              <w:rPr>
                <w:sz w:val="16"/>
                <w:szCs w:val="16"/>
                <w:color w:val="auto"/>
              </w:rPr>
            </w:pPr>
          </w:p>
        </w:tc>
      </w:tr>
      <w:tr>
        <w:trPr>
          <w:trHeight w:val="194"/>
        </w:trPr>
        <w:tc>
          <w:tcPr>
            <w:tcW w:w="4060" w:type="dxa"/>
            <w:vAlign w:val="bottom"/>
            <w:shd w:val="clear" w:color="auto" w:fill="CFF0FC"/>
          </w:tcPr>
          <w:p>
            <w:pPr>
              <w:spacing w:after="0"/>
              <w:rPr>
                <w:sz w:val="20"/>
                <w:szCs w:val="20"/>
                <w:color w:val="auto"/>
              </w:rPr>
            </w:pPr>
            <w:r>
              <w:rPr>
                <w:rFonts w:ascii="Arial" w:cs="Arial" w:eastAsia="Arial" w:hAnsi="Arial"/>
                <w:sz w:val="15"/>
                <w:szCs w:val="15"/>
                <w:color w:val="auto"/>
              </w:rPr>
              <w:t>Services (2)</w:t>
            </w: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1,784</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2,467</w:t>
            </w:r>
          </w:p>
        </w:tc>
        <w:tc>
          <w:tcPr>
            <w:tcW w:w="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2,979</w:t>
            </w:r>
          </w:p>
        </w:tc>
        <w:tc>
          <w:tcPr>
            <w:tcW w:w="80" w:type="dxa"/>
            <w:vAlign w:val="bottom"/>
            <w:shd w:val="clear" w:color="auto" w:fill="CFF0FC"/>
          </w:tcPr>
          <w:p>
            <w:pPr>
              <w:spacing w:after="0"/>
              <w:rPr>
                <w:sz w:val="16"/>
                <w:szCs w:val="16"/>
                <w:color w:val="auto"/>
              </w:rPr>
            </w:pPr>
          </w:p>
        </w:tc>
      </w:tr>
      <w:tr>
        <w:trPr>
          <w:trHeight w:val="184"/>
        </w:trPr>
        <w:tc>
          <w:tcPr>
            <w:tcW w:w="4060" w:type="dxa"/>
            <w:vAlign w:val="bottom"/>
          </w:tcPr>
          <w:p>
            <w:pPr>
              <w:ind w:left="100"/>
              <w:spacing w:after="0"/>
              <w:rPr>
                <w:sz w:val="20"/>
                <w:szCs w:val="20"/>
                <w:color w:val="auto"/>
              </w:rPr>
            </w:pPr>
            <w:r>
              <w:rPr>
                <w:rFonts w:ascii="Arial" w:cs="Arial" w:eastAsia="Arial" w:hAnsi="Arial"/>
                <w:sz w:val="15"/>
                <w:szCs w:val="15"/>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16,996</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27,818</w:t>
            </w:r>
          </w:p>
        </w:tc>
        <w:tc>
          <w:tcPr>
            <w:tcW w:w="16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31,504</w:t>
            </w:r>
          </w:p>
        </w:tc>
        <w:tc>
          <w:tcPr>
            <w:tcW w:w="16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52,398</w:t>
            </w:r>
          </w:p>
        </w:tc>
        <w:tc>
          <w:tcPr>
            <w:tcW w:w="80" w:type="dxa"/>
            <w:vAlign w:val="bottom"/>
          </w:tcPr>
          <w:p>
            <w:pPr>
              <w:spacing w:after="0"/>
              <w:rPr>
                <w:sz w:val="15"/>
                <w:szCs w:val="15"/>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9" w:hanging="509"/>
        <w:spacing w:after="0"/>
        <w:tabs>
          <w:tab w:leader="none" w:pos="509" w:val="left"/>
        </w:tabs>
        <w:numPr>
          <w:ilvl w:val="0"/>
          <w:numId w:val="13"/>
        </w:numPr>
        <w:rPr>
          <w:rFonts w:ascii="Arial" w:cs="Arial" w:eastAsia="Arial" w:hAnsi="Arial"/>
          <w:sz w:val="15"/>
          <w:szCs w:val="15"/>
          <w:color w:val="231F20"/>
        </w:rPr>
      </w:pPr>
      <w:r>
        <w:rPr>
          <w:rFonts w:ascii="Arial" w:cs="Arial" w:eastAsia="Arial" w:hAnsi="Arial"/>
          <w:sz w:val="15"/>
          <w:szCs w:val="15"/>
          <w:color w:val="231F20"/>
        </w:rPr>
        <w:t>Products other include ARTAS procedure kits, Venus Concept’s Venus Skin and hair products, and other consumables.</w:t>
      </w:r>
    </w:p>
    <w:p>
      <w:pPr>
        <w:spacing w:after="0" w:line="18" w:lineRule="exact"/>
        <w:rPr>
          <w:rFonts w:ascii="Arial" w:cs="Arial" w:eastAsia="Arial" w:hAnsi="Arial"/>
          <w:sz w:val="15"/>
          <w:szCs w:val="15"/>
          <w:color w:val="231F20"/>
        </w:rPr>
      </w:pPr>
    </w:p>
    <w:p>
      <w:pPr>
        <w:ind w:left="509" w:hanging="509"/>
        <w:spacing w:after="0"/>
        <w:tabs>
          <w:tab w:leader="none" w:pos="509" w:val="left"/>
        </w:tabs>
        <w:numPr>
          <w:ilvl w:val="0"/>
          <w:numId w:val="13"/>
        </w:numPr>
        <w:rPr>
          <w:rFonts w:ascii="Arial" w:cs="Arial" w:eastAsia="Arial" w:hAnsi="Arial"/>
          <w:sz w:val="15"/>
          <w:szCs w:val="15"/>
          <w:color w:val="231F20"/>
        </w:rPr>
      </w:pPr>
      <w:r>
        <w:rPr>
          <w:rFonts w:ascii="Arial" w:cs="Arial" w:eastAsia="Arial" w:hAnsi="Arial"/>
          <w:sz w:val="15"/>
          <w:szCs w:val="15"/>
          <w:color w:val="231F20"/>
        </w:rPr>
        <w:t xml:space="preserve">Services include </w:t>
      </w:r>
      <w:r>
        <w:rPr>
          <w:rFonts w:ascii="Arial" w:cs="Arial" w:eastAsia="Arial" w:hAnsi="Arial"/>
          <w:sz w:val="15"/>
          <w:szCs w:val="15"/>
          <w:color w:val="000000"/>
        </w:rPr>
        <w:t>VeroGrafters</w:t>
      </w:r>
      <w:r>
        <w:rPr>
          <w:rFonts w:ascii="Arial" w:cs="Arial" w:eastAsia="Arial" w:hAnsi="Arial"/>
          <w:sz w:val="15"/>
          <w:szCs w:val="15"/>
          <w:color w:val="3C4043"/>
        </w:rPr>
        <w:t>™</w:t>
      </w:r>
      <w:r>
        <w:rPr>
          <w:rFonts w:ascii="Arial" w:cs="Arial" w:eastAsia="Arial" w:hAnsi="Arial"/>
          <w:sz w:val="15"/>
          <w:szCs w:val="15"/>
          <w:color w:val="231F20"/>
        </w:rPr>
        <w:t xml:space="preserve"> technician services, 2two5 ad agency services and extended warranty sales.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231F20"/>
        </w:rPr>
        <w:t>Comparison of the Three Months Ended June 30, 2020 and 2019</w:t>
      </w:r>
    </w:p>
    <w:p>
      <w:pPr>
        <w:spacing w:after="0" w:line="214"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Revenues</w:t>
      </w:r>
    </w:p>
    <w:p>
      <w:pPr>
        <w:spacing w:after="0" w:line="273" w:lineRule="exact"/>
        <w:rPr>
          <w:sz w:val="20"/>
          <w:szCs w:val="20"/>
          <w:color w:val="auto"/>
        </w:rPr>
      </w:pPr>
    </w:p>
    <w:tbl>
      <w:tblPr>
        <w:tblLayout w:type="fixed"/>
        <w:tblInd w:w="1689" w:type="dxa"/>
        <w:tblCellMar>
          <w:top w:w="0" w:type="dxa"/>
          <w:left w:w="0" w:type="dxa"/>
          <w:bottom w:w="0" w:type="dxa"/>
          <w:right w:w="0" w:type="dxa"/>
        </w:tblCellMar>
      </w:tblPr>
      <w:tr>
        <w:trPr>
          <w:trHeight w:val="145"/>
        </w:trPr>
        <w:tc>
          <w:tcPr>
            <w:tcW w:w="3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2"/>
                <w:szCs w:val="12"/>
                <w:b w:val="1"/>
                <w:bCs w:val="1"/>
                <w:color w:val="auto"/>
                <w:w w:val="94"/>
              </w:rPr>
              <w:t>Three Months Ended 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187"/>
              <w:spacing w:after="0" w:line="12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Subscription—Systems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7,465</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43.9</w:t>
            </w:r>
          </w:p>
        </w:tc>
        <w:tc>
          <w:tcPr>
            <w:tcW w:w="1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16,643</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59.8</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(9,178)</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(55.1)</w:t>
            </w: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Products—Systems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6,757</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7,769</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(1,012)</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Products other</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1,787</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1,622</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Services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1,784</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(797)</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(44.7)</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16,996</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27,818</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(10,822)</w:t>
            </w:r>
          </w:p>
        </w:tc>
        <w:tc>
          <w:tcPr>
            <w:tcW w:w="2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9" w:right="20"/>
        <w:spacing w:after="0" w:line="282" w:lineRule="auto"/>
        <w:rPr>
          <w:sz w:val="20"/>
          <w:szCs w:val="20"/>
          <w:color w:val="auto"/>
        </w:rPr>
      </w:pPr>
      <w:r>
        <w:rPr>
          <w:rFonts w:ascii="Arial" w:cs="Arial" w:eastAsia="Arial" w:hAnsi="Arial"/>
          <w:sz w:val="14"/>
          <w:szCs w:val="14"/>
          <w:color w:val="auto"/>
        </w:rPr>
        <w:t>Total revenue decreased by $10.8 million, or 38.9%, to $17.0 million for the three months ended June 30, 2020 from $27.8 million for the three months ended June 30, 2019. The decrease in revenue was a result of decreased revenue in the United States of $2.8 million and decreased revenue in international markets of $8.0 million. The decrease in revenue in the United States and international markets was driven by COVID-19 related lockdown restrictions and shelter-in-place orders imposed by federal, state, and local governments in most countries and markets in which we operate. In both the United States and international markets, these business closures and the resultant uncertainty negatively impacted our ability to access and sell into our customary channels. Where accessibility was possible, selling efforts were hampered by target customer concerns over economic uncertainty.</w:t>
      </w:r>
    </w:p>
    <w:p>
      <w:pPr>
        <w:spacing w:after="0" w:line="144" w:lineRule="exact"/>
        <w:rPr>
          <w:sz w:val="20"/>
          <w:szCs w:val="20"/>
          <w:color w:val="auto"/>
        </w:rPr>
      </w:pPr>
    </w:p>
    <w:p>
      <w:pPr>
        <w:ind w:left="9" w:right="220"/>
        <w:spacing w:after="0" w:line="315" w:lineRule="auto"/>
        <w:rPr>
          <w:sz w:val="20"/>
          <w:szCs w:val="20"/>
          <w:color w:val="auto"/>
        </w:rPr>
      </w:pPr>
      <w:r>
        <w:rPr>
          <w:rFonts w:ascii="Arial" w:cs="Arial" w:eastAsia="Arial" w:hAnsi="Arial"/>
          <w:sz w:val="14"/>
          <w:szCs w:val="14"/>
          <w:color w:val="auto"/>
        </w:rPr>
        <w:t>We sold an aggregate of 283 systems in the three months ended June 30, 2020 compared to 649 in the three months ended June 30, 2019. The percentage of systems revenue derived from our subscription model was approximately 52% in the three months ended June 30, 2020 compared to 68% in the three months ended June 30, 2019.</w:t>
      </w:r>
    </w:p>
    <w:p>
      <w:pPr>
        <w:spacing w:after="0" w:line="123" w:lineRule="exact"/>
        <w:rPr>
          <w:sz w:val="20"/>
          <w:szCs w:val="20"/>
          <w:color w:val="auto"/>
        </w:rPr>
      </w:pPr>
    </w:p>
    <w:p>
      <w:pPr>
        <w:ind w:left="9" w:right="260"/>
        <w:spacing w:after="0" w:line="265" w:lineRule="auto"/>
        <w:rPr>
          <w:sz w:val="20"/>
          <w:szCs w:val="20"/>
          <w:color w:val="auto"/>
        </w:rPr>
      </w:pPr>
      <w:r>
        <w:rPr>
          <w:rFonts w:ascii="Arial" w:cs="Arial" w:eastAsia="Arial" w:hAnsi="Arial"/>
          <w:sz w:val="15"/>
          <w:szCs w:val="15"/>
          <w:color w:val="auto"/>
        </w:rPr>
        <w:t>Other product revenue increased by $0.2 million, or 10.2%, to $1.8 million in the three months ended June 30, 2020 from $1.6 million in the three months ended June 30, 2019. The increase was driven by sales of ARTAS procedure kits partially offset by COVID-19 related lockdown restrictions and shelter-in-place orders imposed by federal, state, and local governments.</w:t>
      </w:r>
    </w:p>
    <w:p>
      <w:pPr>
        <w:spacing w:after="0" w:line="156" w:lineRule="exact"/>
        <w:rPr>
          <w:sz w:val="20"/>
          <w:szCs w:val="20"/>
          <w:color w:val="auto"/>
        </w:rPr>
      </w:pPr>
    </w:p>
    <w:p>
      <w:pPr>
        <w:ind w:left="9"/>
        <w:spacing w:after="0" w:line="265" w:lineRule="auto"/>
        <w:rPr>
          <w:sz w:val="20"/>
          <w:szCs w:val="20"/>
          <w:color w:val="auto"/>
        </w:rPr>
      </w:pPr>
      <w:r>
        <w:rPr>
          <w:rFonts w:ascii="Arial" w:cs="Arial" w:eastAsia="Arial" w:hAnsi="Arial"/>
          <w:sz w:val="15"/>
          <w:szCs w:val="15"/>
          <w:color w:val="auto"/>
        </w:rPr>
        <w:t>Services revenue decreased by $0.8 million, or 44.7%, to $1.0 million in the three months ended June 30, 2020 from $1.8 million in the three months ended June 30, 2019. The decrease was driven by COVID-19 related lockdown restrictions and shelter-in-place orders imposed by federal, state, and local governments and corresponding decline in VeroGrafters™ technician services offset by additional warranty revenue on ARTAS® systems.</w:t>
      </w:r>
    </w:p>
    <w:p>
      <w:pPr>
        <w:spacing w:after="0" w:line="337" w:lineRule="exact"/>
        <w:rPr>
          <w:sz w:val="20"/>
          <w:szCs w:val="20"/>
          <w:color w:val="auto"/>
        </w:rPr>
      </w:pPr>
    </w:p>
    <w:p>
      <w:pPr>
        <w:jc w:val="center"/>
        <w:ind w:right="-88"/>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189"/>
          </w:cols>
          <w:pgMar w:left="311" w:top="482" w:right="399" w:bottom="1440" w:gutter="0" w:footer="0" w:header="0"/>
        </w:sectPr>
      </w:pPr>
    </w:p>
    <w:bookmarkStart w:id="40" w:name="page41"/>
    <w:bookmarkEnd w:id="40"/>
    <w:p>
      <w:pPr>
        <w:spacing w:after="0"/>
        <w:rPr>
          <w:sz w:val="20"/>
          <w:szCs w:val="20"/>
          <w:color w:val="auto"/>
        </w:rPr>
      </w:pPr>
      <w:r>
        <w:rPr>
          <w:rFonts w:ascii="Arial" w:cs="Arial" w:eastAsia="Arial" w:hAnsi="Arial"/>
          <w:sz w:val="15"/>
          <w:szCs w:val="15"/>
          <w:i w:val="1"/>
          <w:iCs w:val="1"/>
          <w:color w:val="auto"/>
        </w:rPr>
        <w:t>Cost of Goods Sold and Gross Profit</w:t>
      </w:r>
    </w:p>
    <w:p>
      <w:pPr>
        <w:spacing w:after="0" w:line="191"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Cost of goods sold decreased by $2.6 million, or 34.1%, to $5.1 million in the three months ended June 30, 2020, from $7.7 million in the three months ended June 30, 2019. Gross profit decreased by $8.2 million, or 40.7%, to $11.9 million in the three months ended June 30, 2020, as compared to $20.2 million in the three months ended June 30, 2019. The decrease in gross profit is primarily due to lower revenues due to COVID-19 related disruptions, lockdown restrictions and shelter-in-place orders imposed by federal and local governments in countries and markets we operate. Gross margin was 70.0% of revenue in the three months ended June 30, 2020, compared to 72.2% of revenue in the three months ended June 30, 2019. The decrease in gross profit percentage is primarily due to sales of ARTAS® systems in 2020, which were sold at lower margins than our other systems, and inventory fair value adjustments recognized on the business combination with Venus Concept Ltd. expensed through cost of goods sold during the three months ended June 30, 2020.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expenses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45"/>
        </w:trPr>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Three Months Ended June 30,</w:t>
            </w: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2019</w:t>
            </w: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500"/>
              <w:spacing w:after="0" w:line="128" w:lineRule="exact"/>
              <w:rPr>
                <w:sz w:val="20"/>
                <w:szCs w:val="20"/>
                <w:color w:val="auto"/>
              </w:rPr>
            </w:pPr>
            <w:r>
              <w:rPr>
                <w:rFonts w:ascii="Arial" w:cs="Arial" w:eastAsia="Arial" w:hAnsi="Arial"/>
                <w:sz w:val="12"/>
                <w:szCs w:val="12"/>
                <w:b w:val="1"/>
                <w:bCs w:val="1"/>
                <w:color w:val="auto"/>
              </w:rPr>
              <w:t>Change</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880" w:type="dxa"/>
            <w:vAlign w:val="bottom"/>
          </w:tcPr>
          <w:p>
            <w:pPr>
              <w:jc w:val="right"/>
              <w:ind w:right="251"/>
              <w:spacing w:after="0" w:line="108" w:lineRule="exact"/>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229"/>
              <w:spacing w:after="0" w:line="108"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ind w:right="30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2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131"/>
              <w:spacing w:after="0"/>
              <w:rPr>
                <w:sz w:val="20"/>
                <w:szCs w:val="20"/>
                <w:color w:val="auto"/>
              </w:rPr>
            </w:pPr>
            <w:r>
              <w:rPr>
                <w:rFonts w:ascii="Arial" w:cs="Arial" w:eastAsia="Arial" w:hAnsi="Arial"/>
                <w:sz w:val="12"/>
                <w:szCs w:val="12"/>
                <w:b w:val="1"/>
                <w:bCs w:val="1"/>
                <w:color w:val="auto"/>
              </w:rPr>
              <w:t>Revenues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09"/>
              <w:spacing w:after="0"/>
              <w:rPr>
                <w:sz w:val="20"/>
                <w:szCs w:val="20"/>
                <w:color w:val="auto"/>
              </w:rPr>
            </w:pPr>
            <w:r>
              <w:rPr>
                <w:rFonts w:ascii="Arial" w:cs="Arial" w:eastAsia="Arial" w:hAnsi="Arial"/>
                <w:sz w:val="12"/>
                <w:szCs w:val="12"/>
                <w:b w:val="1"/>
                <w:bCs w:val="1"/>
                <w:color w:val="auto"/>
                <w:w w:val="98"/>
              </w:rPr>
              <w:t>Revenues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100"/>
              <w:spacing w:after="0"/>
              <w:rPr>
                <w:sz w:val="20"/>
                <w:szCs w:val="20"/>
                <w:color w:val="auto"/>
              </w:rPr>
            </w:pPr>
            <w:r>
              <w:rPr>
                <w:rFonts w:ascii="Arial" w:cs="Arial" w:eastAsia="Arial" w:hAnsi="Arial"/>
                <w:sz w:val="15"/>
                <w:szCs w:val="15"/>
                <w:color w:val="auto"/>
              </w:rPr>
              <w:t>Selling and marketing</w:t>
            </w:r>
          </w:p>
        </w:tc>
        <w:tc>
          <w:tcPr>
            <w:tcW w:w="74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4,545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26.7</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10,250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36.8</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(5,705)</w:t>
            </w:r>
          </w:p>
        </w:tc>
        <w:tc>
          <w:tcPr>
            <w:tcW w:w="2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194"/>
        </w:trPr>
        <w:tc>
          <w:tcPr>
            <w:tcW w:w="22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General and administrative</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14,975</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11,853</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100"/>
              <w:spacing w:after="0"/>
              <w:rPr>
                <w:sz w:val="20"/>
                <w:szCs w:val="20"/>
                <w:color w:val="auto"/>
              </w:rPr>
            </w:pPr>
            <w:r>
              <w:rPr>
                <w:rFonts w:ascii="Arial" w:cs="Arial" w:eastAsia="Arial" w:hAnsi="Arial"/>
                <w:sz w:val="15"/>
                <w:szCs w:val="15"/>
                <w:color w:val="auto"/>
              </w:rPr>
              <w:t>Research and development</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1,570</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1,920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(350)</w:t>
            </w:r>
          </w:p>
        </w:tc>
        <w:tc>
          <w:tcPr>
            <w:tcW w:w="2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CFF0FC"/>
          </w:tcPr>
          <w:p>
            <w:pPr>
              <w:ind w:left="100"/>
              <w:spacing w:after="0"/>
              <w:rPr>
                <w:sz w:val="20"/>
                <w:szCs w:val="20"/>
                <w:color w:val="auto"/>
              </w:rPr>
            </w:pPr>
            <w:r>
              <w:rPr>
                <w:rFonts w:ascii="Arial" w:cs="Arial" w:eastAsia="Arial" w:hAnsi="Arial"/>
                <w:sz w:val="15"/>
                <w:szCs w:val="15"/>
                <w:color w:val="auto"/>
              </w:rPr>
              <w:t>Total operating expenses</w:t>
            </w: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240" w:type="dxa"/>
            <w:vAlign w:val="bottom"/>
            <w:vMerge w:val="continue"/>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21,090</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24,023</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(2,933)</w:t>
            </w:r>
          </w:p>
        </w:tc>
        <w:tc>
          <w:tcPr>
            <w:tcW w:w="2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expenses decreased by 55.7% in the three months ended June 30, 2020 compared to the three months ended June 30, 2019. This decrease</w:t>
      </w:r>
      <w:r>
        <w:rPr>
          <w:rFonts w:ascii="Arial" w:cs="Arial" w:eastAsia="Arial" w:hAnsi="Arial"/>
          <w:sz w:val="14"/>
          <w:szCs w:val="14"/>
          <w:i w:val="1"/>
          <w:iCs w:val="1"/>
          <w:color w:val="auto"/>
        </w:rPr>
        <w:t xml:space="preserve"> </w:t>
      </w:r>
      <w:r>
        <w:rPr>
          <w:rFonts w:ascii="Arial" w:cs="Arial" w:eastAsia="Arial" w:hAnsi="Arial"/>
          <w:sz w:val="14"/>
          <w:szCs w:val="14"/>
          <w:color w:val="auto"/>
        </w:rPr>
        <w:t>was attributable primarily to reduced selling commissions as a result of lower sales in the second quarter of 2020, lower salaries and other compensation expenses as a result of our restructuring program and reduced pay for some employees as a result of our efforts to reduce the impact of COVID-19. Selling and marketing expenses were also affected by reduced travel costs and lower marketing costs as a result of reduced business activities caused by COVID-19. As a percentage of total revenues, our selling and marketing expenses decreased by 10.1%, from 36.8% in the three months ended June 30, 2019 to 26.7% in the three months ended June 30, 2020. As the business environment improves, we expect selling and marketing expenses to increase, but at a rate slightly below our rate of revenue growth.</w:t>
      </w:r>
    </w:p>
    <w:p>
      <w:pPr>
        <w:spacing w:after="0" w:line="149" w:lineRule="exact"/>
        <w:rPr>
          <w:sz w:val="20"/>
          <w:szCs w:val="20"/>
          <w:color w:val="auto"/>
        </w:rPr>
      </w:pPr>
    </w:p>
    <w:p>
      <w:pPr>
        <w:spacing w:after="0" w:line="282"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increased by 26.3% in the three months ended June 30, 2020 compared to the three months ended June 30, 2019,</w:t>
      </w:r>
      <w:r>
        <w:rPr>
          <w:rFonts w:ascii="Arial" w:cs="Arial" w:eastAsia="Arial" w:hAnsi="Arial"/>
          <w:sz w:val="14"/>
          <w:szCs w:val="14"/>
          <w:i w:val="1"/>
          <w:iCs w:val="1"/>
          <w:color w:val="auto"/>
        </w:rPr>
        <w:t xml:space="preserve"> </w:t>
      </w:r>
      <w:r>
        <w:rPr>
          <w:rFonts w:ascii="Arial" w:cs="Arial" w:eastAsia="Arial" w:hAnsi="Arial"/>
          <w:sz w:val="14"/>
          <w:szCs w:val="14"/>
          <w:color w:val="auto"/>
        </w:rPr>
        <w:t>reflecting costs related to increased legal, audit and regulatory expenses primarily related to public company reporting obligations, an increase in bad debt expense primarily as a result of COVID-19 related lockdown restrictions and shelter-in-place orders, and additional amortization of intangible assets recognized on the business combination with Venus Concept Ltd. As a percentage of total revenues, our general and administrative expenses increased by 45.5%, from 42.6% in the three months ended June 30, 2019, to 88.1% in the three months ended June 30, 2020, primarily due to expenses related to public company reporting obligations and due to lower revenue in the second quarter of 2020.</w:t>
      </w:r>
    </w:p>
    <w:p>
      <w:pPr>
        <w:spacing w:after="0" w:line="144" w:lineRule="exact"/>
        <w:rPr>
          <w:sz w:val="20"/>
          <w:szCs w:val="20"/>
          <w:color w:val="auto"/>
        </w:rPr>
      </w:pPr>
    </w:p>
    <w:p>
      <w:pPr>
        <w:jc w:val="both"/>
        <w:ind w:right="40"/>
        <w:spacing w:after="0" w:line="293"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Research and development expenses decreased by 18.2% in the three months ended June 30, 2020 compared to the three months ended June 30, 2019. As a</w:t>
      </w:r>
      <w:r>
        <w:rPr>
          <w:rFonts w:ascii="Arial" w:cs="Arial" w:eastAsia="Arial" w:hAnsi="Arial"/>
          <w:sz w:val="14"/>
          <w:szCs w:val="14"/>
          <w:i w:val="1"/>
          <w:iCs w:val="1"/>
          <w:color w:val="auto"/>
        </w:rPr>
        <w:t xml:space="preserve"> </w:t>
      </w:r>
      <w:r>
        <w:rPr>
          <w:rFonts w:ascii="Arial" w:cs="Arial" w:eastAsia="Arial" w:hAnsi="Arial"/>
          <w:sz w:val="14"/>
          <w:szCs w:val="14"/>
          <w:color w:val="auto"/>
        </w:rPr>
        <w:t>percentage of total revenues, our research and development expenses increased by 2.3%, from 6.9% in the three months ended June 30, 2019, to 9.2% in the three months ended June 30, 2020. The decrease in the research and development expense is attributable to reduced discretionary spending as a result of COVID-19.</w:t>
      </w:r>
    </w:p>
    <w:p>
      <w:pPr>
        <w:spacing w:after="0" w:line="137"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i w:val="1"/>
          <w:iCs w:val="1"/>
          <w:color w:val="auto"/>
        </w:rPr>
        <w:t xml:space="preserve">Foreign exchange income. </w:t>
      </w:r>
      <w:r>
        <w:rPr>
          <w:rFonts w:ascii="Arial" w:cs="Arial" w:eastAsia="Arial" w:hAnsi="Arial"/>
          <w:sz w:val="15"/>
          <w:szCs w:val="15"/>
          <w:color w:val="auto"/>
        </w:rPr>
        <w:t>We had a foreign exchange gain of $1.2 million in the three months ended June 30, 2020 and foreign exchange gain of $0.7 million in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2019. Changes in foreign exchange in the three months ended June 30, 2020 are driven mainly by the effect of foreign exchange effect on accounts receivable balances denominated in currencies other than the US dollar. We do not currently hedge against foreign currency risk.</w:t>
      </w:r>
    </w:p>
    <w:p>
      <w:pPr>
        <w:spacing w:after="0" w:line="156" w:lineRule="exact"/>
        <w:rPr>
          <w:sz w:val="20"/>
          <w:szCs w:val="20"/>
          <w:color w:val="auto"/>
        </w:rPr>
      </w:pPr>
    </w:p>
    <w:p>
      <w:pPr>
        <w:ind w:right="300"/>
        <w:spacing w:after="0" w:line="358" w:lineRule="auto"/>
        <w:rPr>
          <w:sz w:val="20"/>
          <w:szCs w:val="20"/>
          <w:color w:val="auto"/>
        </w:rPr>
      </w:pPr>
      <w:r>
        <w:rPr>
          <w:rFonts w:ascii="Arial" w:cs="Arial" w:eastAsia="Arial" w:hAnsi="Arial"/>
          <w:sz w:val="13"/>
          <w:szCs w:val="13"/>
          <w:i w:val="1"/>
          <w:iCs w:val="1"/>
          <w:color w:val="auto"/>
        </w:rPr>
        <w:t>Finance Expenses</w:t>
      </w:r>
      <w:r>
        <w:rPr>
          <w:rFonts w:ascii="Arial" w:cs="Arial" w:eastAsia="Arial" w:hAnsi="Arial"/>
          <w:sz w:val="13"/>
          <w:szCs w:val="13"/>
          <w:color w:val="auto"/>
        </w:rPr>
        <w:t>. Finance expenses increased by $0.2 million, from $2.2 million in the three months ended June 30, 2019, to $2.4 million in the three month ended June 30, 2020,</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mostly due to increase in the annual interest rate from 9.00% to 12.00% during the PIK Period under the Madryn Credit Agreement. See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below.</w:t>
      </w:r>
    </w:p>
    <w:p>
      <w:pPr>
        <w:spacing w:after="0" w:line="99" w:lineRule="exact"/>
        <w:rPr>
          <w:sz w:val="20"/>
          <w:szCs w:val="20"/>
          <w:color w:val="auto"/>
        </w:rPr>
      </w:pPr>
    </w:p>
    <w:p>
      <w:pPr>
        <w:ind w:right="100"/>
        <w:spacing w:after="0" w:line="293" w:lineRule="auto"/>
        <w:rPr>
          <w:sz w:val="20"/>
          <w:szCs w:val="20"/>
          <w:color w:val="auto"/>
        </w:rPr>
      </w:pPr>
      <w:r>
        <w:rPr>
          <w:rFonts w:ascii="Arial" w:cs="Arial" w:eastAsia="Arial" w:hAnsi="Arial"/>
          <w:sz w:val="14"/>
          <w:szCs w:val="14"/>
          <w:i w:val="1"/>
          <w:iCs w:val="1"/>
          <w:color w:val="auto"/>
        </w:rPr>
        <w:t xml:space="preserve">Income Taxes Benefit. </w:t>
      </w:r>
      <w:r>
        <w:rPr>
          <w:rFonts w:ascii="Arial" w:cs="Arial" w:eastAsia="Arial" w:hAnsi="Arial"/>
          <w:sz w:val="14"/>
          <w:szCs w:val="14"/>
          <w:color w:val="auto"/>
        </w:rPr>
        <w:t>We had income taxes benefit of $0.6 million in the three months ended June 30, 2020 comparing to $0.1 million income tax expense in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2019. The tax provision is driven by profitable sales and the actual effective tax rates where the sale took place. In the second quarter of 2020, we effectively reversed some tax provision that was booked in the first quarter of 2020 due to reduced profitable sales in the second quarter of 2020 as a result of COVID-19.</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Comparison of the Six Months Ended June 30, 2020 and 2019</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250" w:lineRule="exact"/>
        <w:rPr>
          <w:sz w:val="20"/>
          <w:szCs w:val="20"/>
          <w:color w:val="auto"/>
        </w:rPr>
      </w:pPr>
    </w:p>
    <w:tbl>
      <w:tblPr>
        <w:tblLayout w:type="fixed"/>
        <w:tblInd w:w="1680" w:type="dxa"/>
        <w:tblCellMar>
          <w:top w:w="0" w:type="dxa"/>
          <w:left w:w="0" w:type="dxa"/>
          <w:bottom w:w="0" w:type="dxa"/>
          <w:right w:w="0" w:type="dxa"/>
        </w:tblCellMar>
      </w:tblPr>
      <w:tr>
        <w:trPr>
          <w:trHeight w:val="145"/>
        </w:trPr>
        <w:tc>
          <w:tcPr>
            <w:tcW w:w="3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w w:val="97"/>
              </w:rPr>
              <w:t>Six Months Ended 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 of 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29"/>
              <w:spacing w:after="0" w:line="128"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187"/>
              <w:spacing w:after="0" w:line="12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6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Subscription—Systems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14,278</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45.3</w:t>
            </w:r>
          </w:p>
        </w:tc>
        <w:tc>
          <w:tcPr>
            <w:tcW w:w="14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32,385</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61.8</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(18,107)</w:t>
            </w:r>
          </w:p>
        </w:tc>
        <w:tc>
          <w:tcPr>
            <w:tcW w:w="2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Products—Systems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10,255</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32.6</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14,084</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(3,829)</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192"/>
        </w:trPr>
        <w:tc>
          <w:tcPr>
            <w:tcW w:w="3260" w:type="dxa"/>
            <w:vAlign w:val="bottom"/>
          </w:tcPr>
          <w:p>
            <w:pPr>
              <w:ind w:left="100"/>
              <w:spacing w:after="0"/>
              <w:rPr>
                <w:sz w:val="20"/>
                <w:szCs w:val="20"/>
                <w:color w:val="auto"/>
              </w:rPr>
            </w:pPr>
            <w:r>
              <w:rPr>
                <w:rFonts w:ascii="Arial" w:cs="Arial" w:eastAsia="Arial" w:hAnsi="Arial"/>
                <w:sz w:val="15"/>
                <w:szCs w:val="15"/>
                <w:color w:val="auto"/>
              </w:rPr>
              <w:t>Products other</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4,504</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2,950</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1,554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Services</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2,467</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2,979</w:t>
            </w:r>
          </w:p>
        </w:tc>
        <w:tc>
          <w:tcPr>
            <w:tcW w:w="180" w:type="dxa"/>
            <w:vAlign w:val="bottom"/>
            <w:tcBorders>
              <w:right w:val="single" w:sz="8" w:color="CFF0FC"/>
            </w:tcBorders>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(512)</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31,504</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52,398</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(20,894)</w:t>
            </w:r>
          </w:p>
        </w:tc>
        <w:tc>
          <w:tcPr>
            <w:tcW w:w="2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Total revenue decreased by $20.9 million, or 39.9%, to $31.5 million for the six months ended June 30, 2020 from $52.4 million for the six months ended June 30, 2019. The decrease in revenue was a result of decreased revenue in the United States of $6.7 million and decreased revenue in international markets of $14.2 million. The decrease in revenue in the United States was driven by COVID-19 related lockdown restrictions and shelter-in-place orders imposed by federal and state governments. The decrease in revenue in international markets is largely due to disruptions in supply chain caused by restrictions imposed by the Chinese government due to the COVID-19 pandemic in January and February of 2020 followed by lockdown restrictions and shelter-in-place orders imposed subsequently by federal and local governments in other countries and markets in which we operate. In both the United States and international markets, these business closures and the resultant uncertainty negatively impacted our ability to access and sell into our customary channels. Where accessibility was possible, selling efforts were hampered by target customer concerns over economic uncertainty.</w:t>
      </w:r>
    </w:p>
    <w:p>
      <w:pPr>
        <w:spacing w:after="0" w:line="148"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We sold an aggregate of 520 systems in the six months ended June 30, 2020 compared to 1,191 in the six months ended June 30, 2019. The percentage of systems revenue derived from our subscription model was approximately 58% in the six months ended June 30, 2020 compared to 70% in the six months ended June 30, 2019.</w:t>
      </w:r>
    </w:p>
    <w:p>
      <w:pPr>
        <w:spacing w:after="0" w:line="146" w:lineRule="exact"/>
        <w:rPr>
          <w:sz w:val="20"/>
          <w:szCs w:val="20"/>
          <w:color w:val="auto"/>
        </w:rPr>
      </w:pPr>
    </w:p>
    <w:p>
      <w:pPr>
        <w:jc w:val="both"/>
        <w:ind w:right="80"/>
        <w:spacing w:after="0" w:line="358" w:lineRule="auto"/>
        <w:rPr>
          <w:sz w:val="20"/>
          <w:szCs w:val="20"/>
          <w:color w:val="auto"/>
        </w:rPr>
      </w:pPr>
      <w:r>
        <w:rPr>
          <w:rFonts w:ascii="Arial" w:cs="Arial" w:eastAsia="Arial" w:hAnsi="Arial"/>
          <w:sz w:val="13"/>
          <w:szCs w:val="13"/>
          <w:color w:val="auto"/>
        </w:rPr>
        <w:t>Other product revenue increased by $1.6 million, or 52.7%, to $4.5 million in the six months ended June 30, 2020 from $3.0 million in the six months ended June 30, 2019. The increase was driven by sales of ARTAS procedure kits partially offset by COVID-19 related lockdown restrictions and shelter-in-place orders imposed by federal, state, and local governments.</w:t>
      </w:r>
    </w:p>
    <w:p>
      <w:pPr>
        <w:spacing w:after="0" w:line="99" w:lineRule="exact"/>
        <w:rPr>
          <w:sz w:val="20"/>
          <w:szCs w:val="20"/>
          <w:color w:val="auto"/>
        </w:rPr>
      </w:pPr>
    </w:p>
    <w:p>
      <w:pPr>
        <w:jc w:val="both"/>
        <w:ind w:right="80"/>
        <w:spacing w:after="0" w:line="265" w:lineRule="auto"/>
        <w:rPr>
          <w:sz w:val="20"/>
          <w:szCs w:val="20"/>
          <w:color w:val="auto"/>
        </w:rPr>
      </w:pPr>
      <w:r>
        <w:rPr>
          <w:rFonts w:ascii="Arial" w:cs="Arial" w:eastAsia="Arial" w:hAnsi="Arial"/>
          <w:sz w:val="15"/>
          <w:szCs w:val="15"/>
          <w:color w:val="auto"/>
        </w:rPr>
        <w:t>Services revenue decreased by $0.5 million, or 17.2%, to $2.5 million in the six months ended June 30, 2020 from $3.0 million in the six months ended June 30, 2019. The decrease was driven by COVID-19 related lockdown restrictions and shelter-in-place orders imposed by federal, state, and local governments and corresponding decline in VeroGrafters™ technician services offset by additional warranty revenue on ARTAS® systems.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Goods Sold and Gross Profit</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Cost of goods sold decreased by $4.0 million, or 28.0%, to $10.3 million in the six months ended June 30, 2020, from $14.3 million in the six months ended June 30, 2019. Gross profit decreased by $16.9 million, or 44.4%, to $21.2 million in the six months ended June 30, 2020, as compared to $38.1 million in the six months ended June 30, 2019. The decrease in gross profit is primarily due to lower revenues due to COVID-19 related disruptions, lockdown restrictions and shelter-in-place orders imposed by federal and local governments. Gross margin was 67.2% of revenue in the six months ended June 30, 2020, compared to 72.8% of revenue in the six months ended June 30, 2019. The decrease in gross profit percentage is primarily due to sales of ARTAS® systems in 2020, which were sold at lower margins than our other systems, and inventory fair value adjustments recognized on the business combination with Venus Concept Ltd. expensed through cost of goods sold during the six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2"/>
                <w:szCs w:val="12"/>
                <w:b w:val="1"/>
                <w:bCs w:val="1"/>
                <w:color w:val="auto"/>
              </w:rPr>
              <w:t>Six Months Ended June 30,</w:t>
            </w:r>
          </w:p>
        </w:tc>
        <w:tc>
          <w:tcPr>
            <w:tcW w:w="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0"/>
              <w:spacing w:after="0" w:line="128"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20"/>
              <w:spacing w:after="0" w:line="128" w:lineRule="exact"/>
              <w:rPr>
                <w:sz w:val="20"/>
                <w:szCs w:val="20"/>
                <w:color w:val="auto"/>
              </w:rPr>
            </w:pPr>
            <w:r>
              <w:rPr>
                <w:rFonts w:ascii="Arial" w:cs="Arial" w:eastAsia="Arial" w:hAnsi="Arial"/>
                <w:sz w:val="12"/>
                <w:szCs w:val="12"/>
                <w:b w:val="1"/>
                <w:bCs w:val="1"/>
                <w:color w:val="auto"/>
              </w:rPr>
              <w:t>2019</w:t>
            </w: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520"/>
              <w:spacing w:after="0" w:line="128" w:lineRule="exact"/>
              <w:rPr>
                <w:sz w:val="20"/>
                <w:szCs w:val="20"/>
                <w:color w:val="auto"/>
              </w:rPr>
            </w:pPr>
            <w:r>
              <w:rPr>
                <w:rFonts w:ascii="Arial" w:cs="Arial" w:eastAsia="Arial" w:hAnsi="Arial"/>
                <w:sz w:val="12"/>
                <w:szCs w:val="12"/>
                <w:b w:val="1"/>
                <w:bCs w:val="1"/>
                <w:color w:val="auto"/>
              </w:rPr>
              <w:t>Change</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20" w:type="dxa"/>
            <w:vAlign w:val="bottom"/>
            <w:gridSpan w:val="2"/>
            <w:vMerge w:val="restart"/>
          </w:tcPr>
          <w:p>
            <w:pPr>
              <w:ind w:left="1040"/>
              <w:spacing w:after="0"/>
              <w:rPr>
                <w:sz w:val="20"/>
                <w:szCs w:val="20"/>
                <w:color w:val="auto"/>
              </w:rPr>
            </w:pPr>
            <w:r>
              <w:rPr>
                <w:rFonts w:ascii="Arial" w:cs="Arial" w:eastAsia="Arial" w:hAnsi="Arial"/>
                <w:sz w:val="12"/>
                <w:szCs w:val="12"/>
                <w:b w:val="1"/>
                <w:bCs w:val="1"/>
                <w:color w:val="auto"/>
              </w:rPr>
              <w:t>(in thousands, except percentages)</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9"/>
                <w:szCs w:val="9"/>
                <w:color w:val="auto"/>
              </w:rPr>
            </w:pPr>
          </w:p>
        </w:tc>
        <w:tc>
          <w:tcPr>
            <w:tcW w:w="880" w:type="dxa"/>
            <w:vAlign w:val="bottom"/>
          </w:tcPr>
          <w:p>
            <w:pPr>
              <w:jc w:val="right"/>
              <w:ind w:right="249"/>
              <w:spacing w:after="0" w:line="108" w:lineRule="exact"/>
              <w:rPr>
                <w:sz w:val="20"/>
                <w:szCs w:val="20"/>
                <w:color w:val="auto"/>
              </w:rPr>
            </w:pPr>
            <w:r>
              <w:rPr>
                <w:rFonts w:ascii="Arial" w:cs="Arial" w:eastAsia="Arial" w:hAnsi="Arial"/>
                <w:sz w:val="12"/>
                <w:szCs w:val="12"/>
                <w:b w:val="1"/>
                <w:bCs w:val="1"/>
                <w:color w:val="auto"/>
              </w:rPr>
              <w:t>% of</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jc w:val="right"/>
              <w:ind w:right="36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4"/>
              </w:rPr>
              <w:t>% of</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restart"/>
          </w:tcPr>
          <w:p>
            <w:pPr>
              <w:jc w:val="right"/>
              <w:ind w:right="30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3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129"/>
              <w:spacing w:after="0"/>
              <w:rPr>
                <w:sz w:val="20"/>
                <w:szCs w:val="20"/>
                <w:color w:val="auto"/>
              </w:rPr>
            </w:pPr>
            <w:r>
              <w:rPr>
                <w:rFonts w:ascii="Arial" w:cs="Arial" w:eastAsia="Arial" w:hAnsi="Arial"/>
                <w:sz w:val="12"/>
                <w:szCs w:val="12"/>
                <w:b w:val="1"/>
                <w:bCs w:val="1"/>
                <w:color w:val="auto"/>
              </w:rPr>
              <w:t>Revenues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Revenues</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2280" w:type="dxa"/>
            <w:vAlign w:val="bottom"/>
          </w:tcPr>
          <w:p>
            <w:pPr>
              <w:ind w:left="120"/>
              <w:spacing w:after="0"/>
              <w:rPr>
                <w:sz w:val="20"/>
                <w:szCs w:val="20"/>
                <w:color w:val="auto"/>
              </w:rPr>
            </w:pPr>
            <w:r>
              <w:rPr>
                <w:rFonts w:ascii="Arial" w:cs="Arial" w:eastAsia="Arial" w:hAnsi="Arial"/>
                <w:sz w:val="15"/>
                <w:szCs w:val="15"/>
                <w:color w:val="auto"/>
              </w:rPr>
              <w:t>Selling and marketing</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13,156</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41.8</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19,782</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37.8</w:t>
            </w:r>
          </w:p>
        </w:tc>
        <w:tc>
          <w:tcPr>
            <w:tcW w:w="18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(6,626)</w:t>
            </w:r>
          </w:p>
        </w:tc>
        <w:tc>
          <w:tcPr>
            <w:tcW w:w="2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(33.5)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General and administrative</w:t>
            </w:r>
          </w:p>
        </w:tc>
        <w:tc>
          <w:tcPr>
            <w:tcW w:w="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29,151</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92.5</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20,192</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8,959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w:t>
            </w:r>
          </w:p>
        </w:tc>
        <w:tc>
          <w:tcPr>
            <w:tcW w:w="80" w:type="dxa"/>
            <w:vAlign w:val="bottom"/>
            <w:shd w:val="clear" w:color="auto" w:fill="CFF0FC"/>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228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4,194</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3,981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Goodwill impairment</w:t>
            </w:r>
          </w:p>
        </w:tc>
        <w:tc>
          <w:tcPr>
            <w:tcW w:w="4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22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87.1</w:t>
            </w:r>
          </w:p>
        </w:tc>
        <w:tc>
          <w:tcPr>
            <w:tcW w:w="2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27,450</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FF0FC"/>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5"/>
                <w:szCs w:val="15"/>
                <w:color w:val="auto"/>
              </w:rPr>
            </w:pPr>
          </w:p>
        </w:tc>
        <w:tc>
          <w:tcPr>
            <w:tcW w:w="2280" w:type="dxa"/>
            <w:vAlign w:val="bottom"/>
          </w:tcPr>
          <w:p>
            <w:pPr>
              <w:ind w:left="120"/>
              <w:spacing w:after="0"/>
              <w:rPr>
                <w:sz w:val="20"/>
                <w:szCs w:val="20"/>
                <w:color w:val="auto"/>
              </w:rPr>
            </w:pPr>
            <w:r>
              <w:rPr>
                <w:rFonts w:ascii="Arial" w:cs="Arial" w:eastAsia="Arial" w:hAnsi="Arial"/>
                <w:sz w:val="15"/>
                <w:szCs w:val="15"/>
                <w:color w:val="auto"/>
              </w:rPr>
              <w:t>Total operating expenses</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73,951</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234.7</w:t>
            </w: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43,955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83.9</w:t>
            </w:r>
          </w:p>
        </w:tc>
        <w:tc>
          <w:tcPr>
            <w:tcW w:w="18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29,996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5"/>
                <w:szCs w:val="15"/>
                <w:color w:val="auto"/>
              </w:rPr>
              <w:t>41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4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5" cy="14605"/>
                    </a:xfrm>
                    <a:prstGeom prst="rect">
                      <a:avLst/>
                    </a:prstGeom>
                    <a:noFill/>
                  </pic:spPr>
                </pic:pic>
              </a:graphicData>
            </a:graphic>
          </wp:anchor>
        </w:drawing>
      </w:r>
    </w:p>
    <w:p>
      <w:pPr>
        <w:sectPr>
          <w:pgSz w:w="11900" w:h="16838" w:orient="portrait"/>
          <w:cols w:equalWidth="0" w:num="1">
            <w:col w:w="11280"/>
          </w:cols>
          <w:pgMar w:left="320" w:top="311" w:right="299" w:bottom="1440" w:gutter="0" w:footer="0" w:header="0"/>
        </w:sectPr>
      </w:pPr>
    </w:p>
    <w:bookmarkStart w:id="42" w:name="page43"/>
    <w:bookmarkEnd w:id="42"/>
    <w:p>
      <w:pPr>
        <w:ind w:right="120"/>
        <w:spacing w:after="0" w:line="279"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expenses decreased by 33.5% in the six months ended June 30, 2020 compared to the six months ended June 30, 2019. This decrease was</w:t>
      </w:r>
      <w:r>
        <w:rPr>
          <w:rFonts w:ascii="Arial" w:cs="Arial" w:eastAsia="Arial" w:hAnsi="Arial"/>
          <w:sz w:val="14"/>
          <w:szCs w:val="14"/>
          <w:i w:val="1"/>
          <w:iCs w:val="1"/>
          <w:color w:val="auto"/>
        </w:rPr>
        <w:t xml:space="preserve"> </w:t>
      </w:r>
      <w:r>
        <w:rPr>
          <w:rFonts w:ascii="Arial" w:cs="Arial" w:eastAsia="Arial" w:hAnsi="Arial"/>
          <w:sz w:val="14"/>
          <w:szCs w:val="14"/>
          <w:color w:val="auto"/>
        </w:rPr>
        <w:t>attributable primarily to reduced selling commissions as a result of lower sales in the second quarter of 2020, lower salaries and other compensation expenses as a result of our restructuring program and reduced pay for some employees as a result of our efforts to reduce the impact of COVID-19. The decrease in selling and marketing expenses was also affected by reduced travel costs and lower marketing costs as a result of reduced business activities caused by COVID-19. As a percentage of total revenues, our selling and marketing expenses increased by 4.0%, from 37.8% in the six months ended June 30, 2019 to 41.8% in the six months ended June 30, 2020. As the business environment improves, we expect selling and marketing expenses to increase, but at a rate slightly below our rate of revenue growth.</w:t>
      </w:r>
    </w:p>
    <w:p>
      <w:pPr>
        <w:spacing w:after="0" w:line="14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increased by 44.4% in the six months ended June 30, 2020 compared to the six months ended June 30, 2019, reflecting</w:t>
      </w:r>
      <w:r>
        <w:rPr>
          <w:rFonts w:ascii="Arial" w:cs="Arial" w:eastAsia="Arial" w:hAnsi="Arial"/>
          <w:sz w:val="14"/>
          <w:szCs w:val="14"/>
          <w:i w:val="1"/>
          <w:iCs w:val="1"/>
          <w:color w:val="auto"/>
        </w:rPr>
        <w:t xml:space="preserve"> </w:t>
      </w:r>
      <w:r>
        <w:rPr>
          <w:rFonts w:ascii="Arial" w:cs="Arial" w:eastAsia="Arial" w:hAnsi="Arial"/>
          <w:sz w:val="14"/>
          <w:szCs w:val="14"/>
          <w:color w:val="auto"/>
        </w:rPr>
        <w:t>costs related to increased legal, audit and regulatory expenses primarily related to public company reporting obligations, an increase in bad debt expense primarily as a result of COVID-19 related lockdown restrictions and shelter-in-place orders, and additional amortization of intangible assets recognized on the business combination with Venus Concept Ltd. As a percentage of total revenues, our general and administrative expenses increased by 54.0%, from 38.5% in the six months ended June 30, 2019, to 92.5% in the six months ended June 30, 2020, primarily due to expenses related to public company reporting obligations and due to lower revenues in the first half of 2020.</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Research and development expenses increased by 5.4% in the six months ended June 30, 2020 compared to the six months ended June 30, 2019. As a</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total revenues, our research and development expenses increased by 5.7%, from 7.6% in the six months ended June 30, 2019, to 13.3% in the six months ended June 30, 2020. The increase in the research and development expense is attributable to the ARTAS iX™ System research and development program we acquired through the Merger in November of 2019.</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i w:val="1"/>
          <w:iCs w:val="1"/>
          <w:color w:val="auto"/>
        </w:rPr>
        <w:t xml:space="preserve">Goodwill impairment. </w:t>
      </w:r>
      <w:r>
        <w:rPr>
          <w:rFonts w:ascii="Arial" w:cs="Arial" w:eastAsia="Arial" w:hAnsi="Arial"/>
          <w:sz w:val="15"/>
          <w:szCs w:val="15"/>
          <w:color w:val="auto"/>
        </w:rPr>
        <w:t>We considered a substantial decline in our equity value and worsening macroeconomic factors due to COVID-19 as triggering events that caused analysis of</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impairment of our goodwill and other intangible assets as of March 30,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30, 2020. The impairment loss was recognized in the first quarter of 2020. Based on the impairment analysis performed no further impairment was considered necessary as of June 30, 2020.</w:t>
      </w:r>
    </w:p>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i w:val="1"/>
          <w:iCs w:val="1"/>
          <w:color w:val="auto"/>
        </w:rPr>
        <w:t xml:space="preserve">Foreign exchange loss. </w:t>
      </w:r>
      <w:r>
        <w:rPr>
          <w:rFonts w:ascii="Arial" w:cs="Arial" w:eastAsia="Arial" w:hAnsi="Arial"/>
          <w:sz w:val="15"/>
          <w:szCs w:val="15"/>
          <w:color w:val="auto"/>
        </w:rPr>
        <w:t>We had a foreign exchange loss of $3.1 million in the six months ended June 30, 2020 and foreign exchange loss of $13,000 in the six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2019. Changes in foreign exchange in the six months ended June 30, 2020 are driven mainly by foreign exchange effect on accounts receivable balances denominated in currencies other than the US dollar with the larger impact for Mexico, Argentina and Columbia which currencies declined significantly more in the first six months of 2020 compared to the same period in 2019. We do not currently hedge against foreign currency risk.</w:t>
      </w:r>
    </w:p>
    <w:p>
      <w:pPr>
        <w:spacing w:after="0" w:line="158" w:lineRule="exact"/>
        <w:rPr>
          <w:sz w:val="20"/>
          <w:szCs w:val="20"/>
          <w:color w:val="auto"/>
        </w:rPr>
      </w:pPr>
    </w:p>
    <w:p>
      <w:pPr>
        <w:ind w:right="180"/>
        <w:spacing w:after="0" w:line="358" w:lineRule="auto"/>
        <w:rPr>
          <w:sz w:val="20"/>
          <w:szCs w:val="20"/>
          <w:color w:val="auto"/>
        </w:rPr>
      </w:pPr>
      <w:r>
        <w:rPr>
          <w:rFonts w:ascii="Arial" w:cs="Arial" w:eastAsia="Arial" w:hAnsi="Arial"/>
          <w:sz w:val="13"/>
          <w:szCs w:val="13"/>
          <w:i w:val="1"/>
          <w:iCs w:val="1"/>
          <w:color w:val="auto"/>
        </w:rPr>
        <w:t>Finance Expenses</w:t>
      </w:r>
      <w:r>
        <w:rPr>
          <w:rFonts w:ascii="Arial" w:cs="Arial" w:eastAsia="Arial" w:hAnsi="Arial"/>
          <w:sz w:val="13"/>
          <w:szCs w:val="13"/>
          <w:color w:val="auto"/>
        </w:rPr>
        <w:t>. Finance expenses increased by $0.8 million, from $3.8 million in the six months ended June 30, 2019, to $4.6 million in the six month ended June 30, 2020, mostly</w:t>
      </w:r>
      <w:r>
        <w:rPr>
          <w:rFonts w:ascii="Arial" w:cs="Arial" w:eastAsia="Arial" w:hAnsi="Arial"/>
          <w:sz w:val="13"/>
          <w:szCs w:val="13"/>
          <w:i w:val="1"/>
          <w:iCs w:val="1"/>
          <w:color w:val="auto"/>
        </w:rPr>
        <w:t xml:space="preserve"> </w:t>
      </w:r>
      <w:r>
        <w:rPr>
          <w:rFonts w:ascii="Arial" w:cs="Arial" w:eastAsia="Arial" w:hAnsi="Arial"/>
          <w:sz w:val="13"/>
          <w:szCs w:val="13"/>
          <w:color w:val="auto"/>
        </w:rPr>
        <w:t>due to increase in the annual interest rate from 9.00% to 12.00% during the PIK Period under the Madryn Credit Agreement. See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below.</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i w:val="1"/>
          <w:iCs w:val="1"/>
          <w:color w:val="auto"/>
        </w:rPr>
        <w:t xml:space="preserve">Income Taxes Benefit. </w:t>
      </w:r>
      <w:r>
        <w:rPr>
          <w:rFonts w:ascii="Arial" w:cs="Arial" w:eastAsia="Arial" w:hAnsi="Arial"/>
          <w:sz w:val="15"/>
          <w:szCs w:val="15"/>
          <w:color w:val="auto"/>
        </w:rPr>
        <w:t>We had an income taxes benefit of $44 thousand in the six months ended June 30, 2019 compared to $0.9 million income tax expense in the six months ended June</w:t>
      </w:r>
      <w:r>
        <w:rPr>
          <w:rFonts w:ascii="Arial" w:cs="Arial" w:eastAsia="Arial" w:hAnsi="Arial"/>
          <w:sz w:val="15"/>
          <w:szCs w:val="15"/>
          <w:i w:val="1"/>
          <w:iCs w:val="1"/>
          <w:color w:val="auto"/>
        </w:rPr>
        <w:t xml:space="preserve"> </w:t>
      </w:r>
      <w:r>
        <w:rPr>
          <w:rFonts w:ascii="Arial" w:cs="Arial" w:eastAsia="Arial" w:hAnsi="Arial"/>
          <w:sz w:val="15"/>
          <w:szCs w:val="15"/>
          <w:color w:val="auto"/>
        </w:rPr>
        <w:t>30, 2019. The tax provision is driven by profitable sales and the actual effective tax rates where the sale took place. In the first half of 2020, we had a combination of less profitable sales and an increase in sales in lower rate tax jurisdictions.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Liquidity and Capital Resources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 xml:space="preserve">We had $14.0 million and $15.7 million of cash and cash equivalents as of June 30, 2020, and December 31, 2019, respectively. We have funded our operations with cash generated from operating activities, through the sale of equity securities and through debt financing. We completed an equity financing during the quarter that generated $22.3 million of gross proceeds. See </w:t>
      </w:r>
      <w:r>
        <w:rPr>
          <w:rFonts w:ascii="Arial" w:cs="Arial" w:eastAsia="Arial" w:hAnsi="Arial"/>
          <w:sz w:val="14"/>
          <w:szCs w:val="14"/>
          <w:i w:val="1"/>
          <w:iCs w:val="1"/>
          <w:color w:val="auto"/>
        </w:rPr>
        <w:t>“— The 2020 Private Placement</w:t>
      </w:r>
      <w:r>
        <w:rPr>
          <w:rFonts w:ascii="Arial" w:cs="Arial" w:eastAsia="Arial" w:hAnsi="Arial"/>
          <w:sz w:val="14"/>
          <w:szCs w:val="14"/>
          <w:color w:val="auto"/>
        </w:rPr>
        <w:t>” above. During the six months ended June 30, 2020, we repaid $3.9 million under our credit facility with City National Bank of Florida. We had total debt obligations of approximately $73.3 million as of June 30, 2020, including line of credit borrowings of $3.9 million and government assistance loans of $4.1 million, compared to total debt obligations of approximately $69.0 million at December 31, 2019, including line of credit borrowings of $7.8 million.</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58:42 in the six months ended June 30, 2020, compared to 70:30 in the six months ended June 30, 2019. We are directing more effort to securing traditional sales in order to improve cash flow. We expect inventory to continue to increase in the short term, but at a lower rate than the rate of revenue growth.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43" w:name="page44"/>
    <w:bookmarkEnd w:id="43"/>
    <w:p>
      <w:pPr>
        <w:ind w:right="100"/>
        <w:spacing w:after="0" w:line="278" w:lineRule="auto"/>
        <w:rPr>
          <w:sz w:val="20"/>
          <w:szCs w:val="20"/>
          <w:color w:val="auto"/>
        </w:rPr>
      </w:pPr>
      <w:r>
        <w:rPr>
          <w:rFonts w:ascii="Arial" w:cs="Arial" w:eastAsia="Arial" w:hAnsi="Arial"/>
          <w:sz w:val="15"/>
          <w:szCs w:val="15"/>
          <w:color w:val="auto"/>
        </w:rPr>
        <w:t>We also require modest funding for capital expenditures. Our capital expenditures relate primarily to our research and development facilities in Yokneam, Israel. In addition, our capital investments have included improvements and expansion of our subsidiaries’ operations to support our growth.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Madryn Credit Agreement</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 million. As of June 30, 2020, and December 31, 2019, the Subsidiary Obligors had borrowed $60.0 million under the term A-1 and A-2 and B tranches of the Madryn Credit Agreement. Term C borrowings of $10.0 million were undrawn and are no longer available. On the 24th payment date, which is September 30, 2022, the aggregate outstanding principal amount of the loans, together with any accrued and unpaid interest thereon and all other amounts due and owing under the loan agreement will become due and payable in full. Borrowings under the Madryn Credit Agreement are secured by substantially all of our assets and the assets of the Subsidiary Obligors.</w:t>
      </w:r>
    </w:p>
    <w:p>
      <w:pPr>
        <w:spacing w:after="0" w:line="161" w:lineRule="exact"/>
        <w:rPr>
          <w:sz w:val="20"/>
          <w:szCs w:val="20"/>
          <w:color w:val="auto"/>
        </w:rPr>
      </w:pPr>
    </w:p>
    <w:p>
      <w:pPr>
        <w:jc w:val="both"/>
        <w:ind w:right="40"/>
        <w:spacing w:after="0" w:line="293" w:lineRule="auto"/>
        <w:rPr>
          <w:sz w:val="20"/>
          <w:szCs w:val="20"/>
          <w:color w:val="auto"/>
        </w:rPr>
      </w:pPr>
      <w:r>
        <w:rPr>
          <w:rFonts w:ascii="Arial" w:cs="Arial" w:eastAsia="Arial" w:hAnsi="Arial"/>
          <w:sz w:val="14"/>
          <w:szCs w:val="14"/>
          <w:color w:val="auto"/>
        </w:rPr>
        <w:t>In connection with the Merger, we entered into an amendment to the Madryn Credit Agreement, dated as of November 7, 2019, (the “Amendment”), pursuant to which we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guarantor under the Madryn Credit Agreement, we are jointly and severally liable for the obligations (as defined in the Madryn Credit Agreement) thereunder and to secure our obligations thereunder, we have granted the administrative agent a lien on all of our assets pursuant to the terms of the U.S. Security Agreement. In the event of default under the Madryn Credit Agreement, Madryn may accelerate the obligations and foreclose on the collateral granted by us and Venus Concept Ltd. under the U.S. Security Agreement to satisfy the obligations.</w:t>
      </w:r>
    </w:p>
    <w:p>
      <w:pPr>
        <w:spacing w:after="0" w:line="158" w:lineRule="exact"/>
        <w:rPr>
          <w:sz w:val="20"/>
          <w:szCs w:val="20"/>
          <w:color w:val="auto"/>
        </w:rPr>
      </w:pPr>
    </w:p>
    <w:p>
      <w:pPr>
        <w:jc w:val="both"/>
        <w:ind w:right="160"/>
        <w:spacing w:after="0" w:line="265" w:lineRule="auto"/>
        <w:rPr>
          <w:sz w:val="20"/>
          <w:szCs w:val="20"/>
          <w:color w:val="auto"/>
        </w:rPr>
      </w:pPr>
      <w:r>
        <w:rPr>
          <w:rFonts w:ascii="Arial" w:cs="Arial" w:eastAsia="Arial" w:hAnsi="Arial"/>
          <w:sz w:val="15"/>
          <w:szCs w:val="15"/>
          <w:color w:val="auto"/>
        </w:rPr>
        <w:t>Effective August 14, 2018, interest on the Madryn loan is 9.00%, payable quarterly. Previously, interest was payable quarterly, at Venus Concept Ltd.’s option, as follows: cash interest 9.00% during the interest only period, which was 3 years or 12 principal payments after closing, plus an additional 4.00% rate, paid in kind (“PIK”). We have the option of settling the PIK interest in cash or adding the owed interest to the principal amount of the loan.</w:t>
      </w:r>
    </w:p>
    <w:p>
      <w:pPr>
        <w:spacing w:after="0" w:line="156"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Madryn Credit Agreement contains certain covenants that require us together with our subsidiaries to achieve certain minimum revenue and liquidity thresholds. The minimum revenue and liquidity covenants require that we and our subsidiaries, on a consolidated basis, achieve (i) minimum reported revenue targets for any four consecutive fiscal quarter period of an amount equal to the greater of (A) $100.0 million and (B) one hundred and fifty percent (150%) of the aggregate outstanding amount of the loans as of the last day of such four consecutive fiscal quarter period, (ii) minimum levels of cash held in deposit accounts controlled by Madryn to be no less than $2.0 million and (iii) minimum levels of cash held in all deposit accounts, plus availability under the CNB Credit Facility (as defined below), to be no less than $5.0 million.</w:t>
      </w:r>
    </w:p>
    <w:p>
      <w:pPr>
        <w:spacing w:after="0" w:line="144" w:lineRule="exact"/>
        <w:rPr>
          <w:sz w:val="20"/>
          <w:szCs w:val="20"/>
          <w:color w:val="auto"/>
        </w:rPr>
      </w:pPr>
    </w:p>
    <w:p>
      <w:pPr>
        <w:jc w:val="both"/>
        <w:ind w:right="160"/>
        <w:spacing w:after="0" w:line="265" w:lineRule="auto"/>
        <w:rPr>
          <w:sz w:val="20"/>
          <w:szCs w:val="20"/>
          <w:color w:val="auto"/>
        </w:rPr>
      </w:pPr>
      <w:r>
        <w:rPr>
          <w:rFonts w:ascii="Arial" w:cs="Arial" w:eastAsia="Arial" w:hAnsi="Arial"/>
          <w:sz w:val="15"/>
          <w:szCs w:val="15"/>
          <w:color w:val="auto"/>
        </w:rPr>
        <w:t>On April 29, 2020, we entered into an amendment to the Madryn Credit Agreement that (i) requires that interest payments for the period beginning January 1, 2020 and ending on, and including, April 29, 2020 (the “PIK Period”), be paid-in-kind, (ii) increases the interest rate from 9.00% per annum to 12.00% per annum during the PIK Period and (iii) requires us to provide certain additional financial and other reporting information to the lenders.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On June 30, 2020 we entered into an amendment to the Madryn Credit Agreement that (i) extends the PIK Period through June 30, 2020, (ii) reduces the consolidated minimum revenue threshold requirement (a) for the four consecutive fiscal quarter period ended June 30, 2020, to at least $85.0 million and (b) for the four consecutive fiscal quarter period ending September 30, 2020, to at least $75.0 million, (iii) requires us to raise at least $5.0 million of cash proceeds from the issuance of equity during the period June 1, 2020 through September 30, 2020 and (iv) obligates us to use our best efforts to raise an additional $2.0 million of cash proceeds from the issuance of equity during the period June 1, 2020 through September 30, 2020.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44" w:name="page45"/>
    <w:bookmarkEnd w:id="44"/>
    <w:p>
      <w:pPr>
        <w:ind w:right="340"/>
        <w:spacing w:after="0" w:line="278" w:lineRule="auto"/>
        <w:rPr>
          <w:sz w:val="20"/>
          <w:szCs w:val="20"/>
          <w:color w:val="auto"/>
        </w:rPr>
      </w:pPr>
      <w:r>
        <w:rPr>
          <w:rFonts w:ascii="Arial" w:cs="Arial" w:eastAsia="Arial" w:hAnsi="Arial"/>
          <w:sz w:val="15"/>
          <w:szCs w:val="15"/>
          <w:color w:val="auto"/>
        </w:rPr>
        <w:t>The Madryn Credit Agreement also contains various covenants that limit our ability and the ability of our subsidiaries to engage in specified types of transactions. Subject to limited exceptions, these covenants limit our ability, without Madryn’s consent, to, among other things:</w:t>
      </w:r>
    </w:p>
    <w:p>
      <w:pPr>
        <w:spacing w:after="0" w:line="146" w:lineRule="exact"/>
        <w:rPr>
          <w:sz w:val="20"/>
          <w:szCs w:val="20"/>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sell, lease, transfer, exclusively license or dispose of our assets;</w:t>
      </w:r>
    </w:p>
    <w:p>
      <w:pPr>
        <w:spacing w:after="0" w:line="18"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create, incur, assume or permit to exist additional indebtedness or liens, which may limit our ability to raise additional capital;</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make restricted payments, including paying dividends on, repurchasing or making distributions with respect to our capital stock;</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pay any cash dividend or make any other cash distribution or payment in respect of our capital stock;</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make specified investments (including loans and advances);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make changes to certain key personnel including our President and Chief Executive Officer;</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merge, consolidate or liquidate; and</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enter into certain transactions with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2020, and December 31, 2019, we were in compliance with all required covenants.</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Pursuant to the terms of the Madryn Credit Agreement, if all or any portion of the loans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58"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In connection with the Madryn Credit Agreement, Venus Concept Ltd. issued three types of 10-year warrants (“Madryn Warrants”). As of June 30, 2020, Madryn Warrants exercisable for 179,932 shares of common stock were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CNB Credit Facility</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We have a revolving credit facility with CNB pursuant to which CNB agreed to provide a revolving credit facility to us and certain of our subsidiaries in the maximum principal amount of $10.0 million ($10.0 million as of June 30, 2019), to be used to finance working capital requirements (the “Credit Facility”). In April 2019, maximum principal amount under the Credit Facility was increased from $7.5 million to $10.0 million. As of June 30, 2020, there was $3.9 million outstanding ($7.8 million as of December 31, 2019) under the Credit Facility, which bears interest at LIBOR rate plus 3.25%, which amounted to a weighted average of 4.06% (5.9% in the six months ended June 30, 2019).</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Credit Facility contains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certain other restricted payments, and to make certain changes to its management and/or ownership structure. In addition, the Credit Facility contains certain covenants that require our subsidiary obligors to achieve certain minimum account balances, or a minimum debt service coverage ratio and a maximum total liability to tangible net worth ratio. If our subsidiary obligors fail to comply with these covenants, it will result in a default and require us and our subsidiary obligors to repay all outstanding principal amounts and accrued interest.</w:t>
      </w:r>
    </w:p>
    <w:p>
      <w:pPr>
        <w:spacing w:after="0" w:line="164"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The Credit Facility is secured by substantially all of our assets and the assets of certain of our subsidiaries requires us to maintain either a minimum cash balance in deposit accounts or a maximum total liability to tangible net worth ratio and a minimum debt service coverage ratio. An event of default under the Credit Facility would cause a default under the Madryn Credit Agreement as described above.</w:t>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On March 20, 2020, we entered into a Second Amended and Restated Loan Agreement as a borrower with CNB, as amended, pursuant to which CNB agreed to make certain loans and other financial accommodations to us. In connection with the CNB Credit Facility, we also entered into (i) a Second Amended and Restated Guaranty of Payment and Performance with CNB dated as of March 20, 2020, (the “CNB Guaranty”), pursuant to which we agreed to guaranty the obligations under the CNB Credit Facility and (ii) a Security Agreement with CNB dated as of March 20, 2020, (the “CNB Security Agreement”), pursuant to which we agreed to grant CNB a security interest, in substantially all of its assets, to secure the obligations under the CNB Credit Facility. Borrowings under the CNB Credit Facility are secured by substantially all our assets and the CNB Guaranty.</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the event of a default, if we and our subsidiary obligors are unable to repay all outstanding amounts, CNB may foreclose on the collateral granted to it to collateralize the indebtedness, which includes the enforcement of the CNB Guaranty, which will significantly affect our ability to operate its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2020, and December 31, 2019, we were in compliance with all required covenants.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492" w:right="31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i w:val="1"/>
          <w:iCs w:val="1"/>
          <w:color w:val="auto"/>
        </w:rPr>
        <w:t>Equity Purchase Agreement with Lincoln Park</w:t>
      </w:r>
    </w:p>
    <w:p>
      <w:pPr>
        <w:spacing w:after="0" w:line="191" w:lineRule="exact"/>
        <w:rPr>
          <w:sz w:val="20"/>
          <w:szCs w:val="20"/>
          <w:color w:val="auto"/>
        </w:rPr>
      </w:pPr>
    </w:p>
    <w:p>
      <w:pPr>
        <w:ind w:right="100"/>
        <w:spacing w:after="0" w:line="295" w:lineRule="auto"/>
        <w:rPr>
          <w:sz w:val="20"/>
          <w:szCs w:val="20"/>
          <w:color w:val="auto"/>
        </w:rPr>
      </w:pPr>
      <w:r>
        <w:rPr>
          <w:rFonts w:ascii="Arial" w:cs="Arial" w:eastAsia="Arial" w:hAnsi="Arial"/>
          <w:sz w:val="13"/>
          <w:szCs w:val="13"/>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3"/>
          <w:szCs w:val="13"/>
          <w:color w:val="auto"/>
        </w:rPr>
        <w:t>As of June 30, 2020, we issued and sold to Lincoln Park 1.0 million shares of our common stock, 0.2 million of which were issued to Lincoln Park as a commitment fee in connection with entering into the Equity Purchase Agreement (the “Commitment Shares”). The total value of the Commitment Shares of $0.6 million together with issuance costs of $0.1 million were recorded as deferred issuance costs in the condensed consolidated balance sheet. These costs will be amortized into condensed consolidated statements of stockholders’ equity proportionally based on proceeds received during the period and the expected total proceeds to be raised over the term of the Equity Purchase Agreement. The net cash proceeds from shares issuance as of June 30, 2020 were $3.0 million. In July 2020, we sold additional 0.5 million shares of our common stock to Lincoln Park for $1.9 million.</w:t>
      </w:r>
    </w:p>
    <w:p>
      <w:pPr>
        <w:spacing w:after="0" w:line="131"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Assistance Programs</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April 2020, we and our wholly-owned subsidiary, Venus Concept USA Inc., a Delaware corporation (“Venus USA”), received funding in the total amount of $4.1 million,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Pursuant to the terms of the U.S. Small Business Administration Note dated as of April 21, 2020, by us and in favor of CNB, we borrowed $1.7 million of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 Under certain circumstances, all or a portion of the Venus Concept PPP Loan may be forgiven, however, there can be no assurance that any portion of the Venus Concept PPP Loan will be forgiven and that we would not be required to repay the Venus Concept PPP Loan in full.</w:t>
      </w:r>
    </w:p>
    <w:p>
      <w:pPr>
        <w:spacing w:after="0" w:line="16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Venus Concept PPP Loan contain certain covenants which, among other things, restrict our use of the proceeds of the PPP Loan to the payment of payroll costs, interest on mortgage obligations, rent obligations and utility expenses, require compliance with all other loans or other agreements with any our creditor, to the extent that a default under any loan or other agreement would materially affect our ability to repay its PPP Loan and limit our ability to make certain changes to our ownership structure.</w:t>
      </w:r>
    </w:p>
    <w:p>
      <w:pPr>
        <w:spacing w:after="0" w:line="137" w:lineRule="exact"/>
        <w:rPr>
          <w:sz w:val="20"/>
          <w:szCs w:val="20"/>
          <w:color w:val="auto"/>
        </w:rPr>
      </w:pPr>
    </w:p>
    <w:p>
      <w:pPr>
        <w:jc w:val="both"/>
        <w:ind w:right="200"/>
        <w:spacing w:after="0" w:line="265" w:lineRule="auto"/>
        <w:rPr>
          <w:sz w:val="20"/>
          <w:szCs w:val="20"/>
          <w:color w:val="auto"/>
        </w:rPr>
      </w:pPr>
      <w:r>
        <w:rPr>
          <w:rFonts w:ascii="Arial" w:cs="Arial" w:eastAsia="Arial" w:hAnsi="Arial"/>
          <w:sz w:val="15"/>
          <w:szCs w:val="15"/>
          <w:color w:val="auto"/>
        </w:rPr>
        <w:t>Venus USA also entered into a U.S. Small Business Administration Note dated as of April 15, 2020 in favor of CNB pursuant to which Venus USA borrowed $2.4 million of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56"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auto"/>
        </w:rPr>
        <w:t>Under the Madryn Credit Agreement each PPP Loan is permitted to be incurred by us and Venus Concept USA as long as certain conditions remain satisfied, including that all PPP Loans must be forgiven other than any amount which can fit under existing permitted debt baskets in the Madryn Credit Agreement. If we and/or Venus Concept USA defaults on the respective PPP Loan or if any of the conditions to the incurrence thereof under the Madryn Credit Agreement are not satisfied (i) events of default will occur under the Madryn Credit Agreement and the CNB Credit Facility and (ii) we and Venus Concept USA may be required to immediately repay their respective PPP Loan.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46" w:name="page47"/>
    <w:bookmarkEnd w:id="46"/>
    <w:p>
      <w:pPr>
        <w:jc w:val="both"/>
        <w:ind w:right="20"/>
        <w:spacing w:after="0" w:line="265" w:lineRule="auto"/>
        <w:rPr>
          <w:sz w:val="20"/>
          <w:szCs w:val="20"/>
          <w:color w:val="auto"/>
        </w:rPr>
      </w:pPr>
      <w:r>
        <w:rPr>
          <w:rFonts w:ascii="Arial" w:cs="Arial" w:eastAsia="Arial" w:hAnsi="Arial"/>
          <w:sz w:val="15"/>
          <w:szCs w:val="15"/>
          <w:color w:val="auto"/>
        </w:rPr>
        <w:t>Also, the SBA has decided, in consultation with the Department of the Treasury, that it will review all loans in excess of $2.0 million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56"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Our subsidiary, Venus Concept UK Limited, received funding in the total amount of $0.1 million (50.0 GBP) in connection with the loan under the Bounce Back Loan Scheme (“Venus Concept UK Loan”), the program established in the U.K. to help smaller businesses impacted by COVID-19. This loan bears interest at 2.5% per annum and matures in six years from the date of disbursement of funds which is May 10, 2020. Interest and principal payments under the Venus Concept UK Loan will be deferred for a period of twelve months. As of June 30, 2020 the balance of the Venus Concept UK Loan was $0.1 million.</w:t>
      </w:r>
    </w:p>
    <w:p>
      <w:pPr>
        <w:spacing w:after="0" w:line="158" w:lineRule="exact"/>
        <w:rPr>
          <w:sz w:val="20"/>
          <w:szCs w:val="20"/>
          <w:color w:val="auto"/>
        </w:rPr>
      </w:pPr>
    </w:p>
    <w:p>
      <w:pPr>
        <w:jc w:val="both"/>
        <w:ind w:right="320"/>
        <w:spacing w:after="0" w:line="265" w:lineRule="auto"/>
        <w:rPr>
          <w:sz w:val="20"/>
          <w:szCs w:val="20"/>
          <w:color w:val="auto"/>
        </w:rPr>
      </w:pPr>
      <w:r>
        <w:rPr>
          <w:rFonts w:ascii="Arial" w:cs="Arial" w:eastAsia="Arial" w:hAnsi="Arial"/>
          <w:sz w:val="15"/>
          <w:szCs w:val="15"/>
          <w:color w:val="auto"/>
        </w:rPr>
        <w:t>Certain subsidiaries also received funding in the total amount of $0.6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condensed consolidated statement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Capital Resources</w:t>
      </w:r>
    </w:p>
    <w:p>
      <w:pPr>
        <w:spacing w:after="0" w:line="191"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As of June 30, 2020, we had capital resources consisting of cash and cash equivalents of approximately $14.0 million. We have financed our operations principally through the issuance and sale of our common stock and preferred stock, debt financing, and payments from customers.</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While we believe that the net proceeds from the 2020 Private Placement, the proceeds from issuance our common stock to Lincoln Park, the proceeds from the government assistance programs,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COVID-19 pandemic has had a significant negative impact on our business, and we expect the pandemic to continue to have a negative impact in the foreseeable future, the extent of which is uncertain and largely subject to whether the severity of the pandemic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Additional funds may not be available when we need them, on terms that are acceptable to us, or at all. If adequate funds are not available to us on a timely basis, we may be required to:</w:t>
      </w:r>
    </w:p>
    <w:p>
      <w:pPr>
        <w:spacing w:after="0" w:line="214" w:lineRule="exact"/>
        <w:rPr>
          <w:sz w:val="20"/>
          <w:szCs w:val="20"/>
          <w:color w:val="auto"/>
        </w:rPr>
      </w:pPr>
    </w:p>
    <w:p>
      <w:pPr>
        <w:ind w:left="740" w:hanging="374"/>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delay or curtail our efforts to develop system product enhancements or new products, including any clinical trials that may be required to market such enhancements;</w:t>
      </w:r>
    </w:p>
    <w:p>
      <w:pPr>
        <w:spacing w:after="0" w:line="29" w:lineRule="exact"/>
        <w:rPr>
          <w:rFonts w:ascii="Arial" w:cs="Arial" w:eastAsia="Arial" w:hAnsi="Arial"/>
          <w:sz w:val="14"/>
          <w:szCs w:val="14"/>
          <w:color w:val="auto"/>
        </w:rPr>
      </w:pPr>
    </w:p>
    <w:p>
      <w:pPr>
        <w:ind w:left="740" w:hanging="374"/>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 or curtail our plans to increase and expand our sales and marketing efforts; or</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 or curtail our plans to enhance our customer support and marketing activities.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are restricted by covenants in the Madryn Credit Agreement, the CNB Credit Facility, the PPP Loans and the Venus Concept UK Loan.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492" w:right="339" w:bottom="1440" w:gutter="0" w:footer="0" w:header="0"/>
        </w:sectPr>
      </w:pPr>
    </w:p>
    <w:bookmarkStart w:id="47" w:name="page48"/>
    <w:bookmarkEnd w:id="47"/>
    <w:p>
      <w:pPr>
        <w:ind w:right="100"/>
        <w:spacing w:after="0" w:line="315" w:lineRule="auto"/>
        <w:rPr>
          <w:sz w:val="20"/>
          <w:szCs w:val="20"/>
          <w:color w:val="auto"/>
        </w:rPr>
      </w:pPr>
      <w:r>
        <w:rPr>
          <w:rFonts w:ascii="Arial" w:cs="Arial" w:eastAsia="Arial" w:hAnsi="Arial"/>
          <w:sz w:val="14"/>
          <w:szCs w:val="14"/>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23" w:lineRule="exact"/>
        <w:rPr>
          <w:sz w:val="20"/>
          <w:szCs w:val="20"/>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 of growing our ongoing commercialization and sales and marketing activities;</w:t>
      </w:r>
    </w:p>
    <w:p>
      <w:pPr>
        <w:spacing w:after="0" w:line="18" w:lineRule="exact"/>
        <w:rPr>
          <w:rFonts w:ascii="Arial" w:cs="Arial" w:eastAsia="Arial" w:hAnsi="Arial"/>
          <w:sz w:val="15"/>
          <w:szCs w:val="15"/>
          <w:color w:val="auto"/>
        </w:rPr>
      </w:pPr>
    </w:p>
    <w:p>
      <w:pPr>
        <w:ind w:left="740" w:right="66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of manufacturing and maintaining enough inventories of our systems to meet anticipated demand and inventory write-offs related to obsolete products or components;</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of enhancing the existing functionality and development of new functionalities for our systems;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costs of preparing, filing, prosecuting, defending, and enforcing patent claims and other patent related costs, including litigation costs and the results of such litigation;</w:t>
      </w:r>
    </w:p>
    <w:p>
      <w:pPr>
        <w:spacing w:after="0" w:line="20" w:lineRule="exact"/>
        <w:rPr>
          <w:rFonts w:ascii="Arial" w:cs="Arial" w:eastAsia="Arial" w:hAnsi="Arial"/>
          <w:sz w:val="14"/>
          <w:szCs w:val="14"/>
          <w:color w:val="auto"/>
        </w:rPr>
      </w:pPr>
    </w:p>
    <w:p>
      <w:pPr>
        <w:ind w:left="740" w:right="8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product liability or other lawsuits and the costs associated with defending them or the results of such lawsuits;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associated with conducting business and maintaining subsidiaries and other entities in foreign jurisdictions;</w:t>
      </w:r>
    </w:p>
    <w:p>
      <w:pPr>
        <w:spacing w:after="0" w:line="9" w:lineRule="exact"/>
        <w:rPr>
          <w:rFonts w:ascii="Arial" w:cs="Arial" w:eastAsia="Arial" w:hAnsi="Arial"/>
          <w:sz w:val="15"/>
          <w:szCs w:val="15"/>
          <w:color w:val="auto"/>
        </w:rPr>
      </w:pPr>
    </w:p>
    <w:p>
      <w:pPr>
        <w:ind w:left="740" w:right="240" w:hanging="374"/>
        <w:spacing w:after="0" w:line="252" w:lineRule="auto"/>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customers in jurisdictions where our systems are not approved delaying their purchase, and not purchasing our systems, until they are approved or cleared for use in their market;</w:t>
      </w:r>
    </w:p>
    <w:p>
      <w:pPr>
        <w:spacing w:after="0" w:line="1"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to attract and retain personnel with the skills required for effective operations;</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costs associated with integration of the Merger;</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associated with being a public company; and</w:t>
      </w:r>
    </w:p>
    <w:p>
      <w:pPr>
        <w:spacing w:after="0" w:line="9" w:lineRule="exact"/>
        <w:rPr>
          <w:rFonts w:ascii="Arial" w:cs="Arial" w:eastAsia="Arial" w:hAnsi="Arial"/>
          <w:sz w:val="15"/>
          <w:szCs w:val="15"/>
          <w:color w:val="auto"/>
        </w:rPr>
      </w:pPr>
    </w:p>
    <w:p>
      <w:pPr>
        <w:ind w:left="740" w:hanging="374"/>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uncertainties related to the COVID-19 pandemic.</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Cash flows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193" w:lineRule="exact"/>
        <w:rPr>
          <w:sz w:val="20"/>
          <w:szCs w:val="20"/>
          <w:color w:val="auto"/>
        </w:rPr>
      </w:pPr>
    </w:p>
    <w:p>
      <w:pPr>
        <w:jc w:val="center"/>
        <w:ind w:left="5320"/>
        <w:spacing w:after="0"/>
        <w:rPr>
          <w:sz w:val="20"/>
          <w:szCs w:val="20"/>
          <w:color w:val="auto"/>
        </w:rPr>
      </w:pPr>
      <w:r>
        <w:rPr>
          <w:rFonts w:ascii="Arial" w:cs="Arial" w:eastAsia="Arial" w:hAnsi="Arial"/>
          <w:sz w:val="12"/>
          <w:szCs w:val="12"/>
          <w:b w:val="1"/>
          <w:bCs w:val="1"/>
          <w:color w:val="auto"/>
        </w:rPr>
        <w:t>Six Months</w:t>
      </w:r>
    </w:p>
    <w:p>
      <w:pPr>
        <w:jc w:val="center"/>
        <w:ind w:left="5320"/>
        <w:spacing w:after="0" w:line="228" w:lineRule="auto"/>
        <w:rPr>
          <w:sz w:val="20"/>
          <w:szCs w:val="20"/>
          <w:color w:val="auto"/>
        </w:rPr>
      </w:pPr>
      <w:r>
        <w:rPr>
          <w:rFonts w:ascii="Arial" w:cs="Arial" w:eastAsia="Arial" w:hAnsi="Arial"/>
          <w:sz w:val="12"/>
          <w:szCs w:val="12"/>
          <w:b w:val="1"/>
          <w:bCs w:val="1"/>
          <w:color w:val="auto"/>
        </w:rPr>
        <w:t>Ended June 30</w:t>
      </w:r>
    </w:p>
    <w:tbl>
      <w:tblPr>
        <w:tblLayout w:type="fixed"/>
        <w:tblInd w:w="1680" w:type="dxa"/>
        <w:tblCellMar>
          <w:top w:w="0" w:type="dxa"/>
          <w:left w:w="0" w:type="dxa"/>
          <w:bottom w:w="0" w:type="dxa"/>
          <w:right w:w="0" w:type="dxa"/>
        </w:tblCellMar>
      </w:tblPr>
      <w:tr>
        <w:trPr>
          <w:trHeight w:val="128"/>
        </w:trPr>
        <w:tc>
          <w:tcPr>
            <w:tcW w:w="4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69"/>
              <w:spacing w:after="0" w:line="128"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67"/>
              <w:spacing w:after="0" w:line="128" w:lineRule="exact"/>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1"/>
                <w:szCs w:val="11"/>
                <w:color w:val="auto"/>
              </w:rPr>
            </w:pPr>
          </w:p>
        </w:tc>
      </w:tr>
      <w:tr>
        <w:trPr>
          <w:trHeight w:val="128"/>
        </w:trPr>
        <w:tc>
          <w:tcPr>
            <w:tcW w:w="4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jc w:val="right"/>
              <w:ind w:right="4"/>
              <w:spacing w:after="0" w:line="128" w:lineRule="exact"/>
              <w:rPr>
                <w:sz w:val="20"/>
                <w:szCs w:val="20"/>
                <w:color w:val="auto"/>
              </w:rPr>
            </w:pPr>
            <w:r>
              <w:rPr>
                <w:rFonts w:ascii="Arial" w:cs="Arial" w:eastAsia="Arial" w:hAnsi="Arial"/>
                <w:sz w:val="12"/>
                <w:szCs w:val="12"/>
                <w:b w:val="1"/>
                <w:bCs w:val="1"/>
                <w:color w:val="auto"/>
              </w:rPr>
              <w:t>(in thousands)</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93"/>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Cash used in operating activities</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(24,712)</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(11,442)</w:t>
            </w:r>
          </w:p>
        </w:tc>
      </w:tr>
      <w:tr>
        <w:trPr>
          <w:trHeight w:val="192"/>
        </w:trPr>
        <w:tc>
          <w:tcPr>
            <w:tcW w:w="4440" w:type="dxa"/>
            <w:vAlign w:val="bottom"/>
          </w:tcPr>
          <w:p>
            <w:pPr>
              <w:spacing w:after="0"/>
              <w:rPr>
                <w:sz w:val="20"/>
                <w:szCs w:val="20"/>
                <w:color w:val="auto"/>
              </w:rPr>
            </w:pPr>
            <w:r>
              <w:rPr>
                <w:rFonts w:ascii="Arial" w:cs="Arial" w:eastAsia="Arial" w:hAnsi="Arial"/>
                <w:sz w:val="15"/>
                <w:szCs w:val="15"/>
                <w:color w:val="auto"/>
              </w:rPr>
              <w:t>Cash used in investing activities</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(19)</w:t>
            </w:r>
          </w:p>
        </w:tc>
        <w:tc>
          <w:tcPr>
            <w:tcW w:w="3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(346)</w:t>
            </w:r>
          </w:p>
        </w:tc>
      </w:tr>
      <w:tr>
        <w:trPr>
          <w:trHeight w:val="194"/>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Cash provided by financing activities</w:t>
            </w:r>
          </w:p>
        </w:tc>
        <w:tc>
          <w:tcPr>
            <w:tcW w:w="9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23,098</w:t>
            </w:r>
          </w:p>
        </w:tc>
        <w:tc>
          <w:tcPr>
            <w:tcW w:w="18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19,409</w:t>
            </w:r>
          </w:p>
        </w:tc>
        <w:tc>
          <w:tcPr>
            <w:tcW w:w="60" w:type="dxa"/>
            <w:vAlign w:val="bottom"/>
            <w:shd w:val="clear" w:color="auto" w:fill="CFF0FC"/>
          </w:tcPr>
          <w:p>
            <w:pPr>
              <w:spacing w:after="0"/>
              <w:rPr>
                <w:sz w:val="16"/>
                <w:szCs w:val="16"/>
                <w:color w:val="auto"/>
              </w:rPr>
            </w:pPr>
          </w:p>
        </w:tc>
      </w:tr>
      <w:tr>
        <w:trPr>
          <w:trHeight w:val="184"/>
        </w:trPr>
        <w:tc>
          <w:tcPr>
            <w:tcW w:w="4440" w:type="dxa"/>
            <w:vAlign w:val="bottom"/>
          </w:tcPr>
          <w:p>
            <w:pPr>
              <w:spacing w:after="0"/>
              <w:rPr>
                <w:sz w:val="20"/>
                <w:szCs w:val="20"/>
                <w:color w:val="auto"/>
              </w:rPr>
            </w:pPr>
            <w:r>
              <w:rPr>
                <w:rFonts w:ascii="Arial" w:cs="Arial" w:eastAsia="Arial" w:hAnsi="Arial"/>
                <w:sz w:val="15"/>
                <w:szCs w:val="15"/>
                <w:color w:val="auto"/>
              </w:rPr>
              <w:t>Net increase in cash, cash equivalents and restricted cash</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(1,633)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7,621</w:t>
            </w:r>
          </w:p>
        </w:tc>
        <w:tc>
          <w:tcPr>
            <w:tcW w:w="6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Operating Activities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For the six months ended June 30, 2020, cash used in operating activities consisted of a net loss of $60.5 million and an investment in net operating assets of $4.8 million, partially offset by non-cash operating expenses of $40.5 million. The investment in net operating assets was primary attributable to an increase in inventories of $1.0 million, increase in other current assets of $2.5 million, decrease in accrued expenses and other current liabilities of $5.4 million, decrease in unearned interest income of $1.4 million, decrease in accounts payable of $0.4 million and decrease in other non-current liabilities of $0.5 million. This was partially offset by a decrease in accounts receivable of $6.2 million, primarily due to the decrease in subscription sales, decrease in prepaid expenses by $0.1 million and a decrease in severance pay funds of $0.1 million. The non-cash operating expenses consisted mainly of goodwill impairment charge of $27.5 million, a provision for bad debts of $5.4 million, depreciation and amortization of $2.5 million, stock-based compensation expense of $1.1 million, provision for inventory obsolescence of $0.5 million, loss on sale of subsidiary of $0.4 million, deferred tax benefit of $1.2 million, a change in the fair value of the earn-out liability for the purchase of NeoGraft of $0.2 million and finance expenses of $4.1 million.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492" w:right="359" w:bottom="1440" w:gutter="0" w:footer="0" w:header="0"/>
        </w:sectPr>
      </w:pPr>
    </w:p>
    <w:bookmarkStart w:id="48" w:name="page49"/>
    <w:bookmarkEnd w:id="48"/>
    <w:p>
      <w:pPr>
        <w:ind w:right="80"/>
        <w:spacing w:after="0" w:line="257" w:lineRule="auto"/>
        <w:rPr>
          <w:sz w:val="20"/>
          <w:szCs w:val="20"/>
          <w:color w:val="auto"/>
        </w:rPr>
      </w:pPr>
      <w:r>
        <w:rPr>
          <w:rFonts w:ascii="Arial" w:cs="Arial" w:eastAsia="Arial" w:hAnsi="Arial"/>
          <w:sz w:val="15"/>
          <w:szCs w:val="15"/>
          <w:color w:val="auto"/>
        </w:rPr>
        <w:t>In the six months ended June 30, 2019, cash used in operating activities consisted of a net loss of $10.6 million and an investment in net operating assets of $6.7 million, partially offset by non-cash operating expenses of $5.9 million. The investment in net operating assets was primary attributable to an increase in accounts receivable of $13.4 million, primarily due to the increase in subscription sales, an increase in inventories of $0.4 million, an increase in other current assets of $0.4 million, an increase in prepaid expenses of $0.1 million as well as decrease in other long-term liabilities of $0.4 million. This was partially offset by an increase in the trade payables of $6.0 million and accrued expenses and other current liabilities of $2.0 million. The non-cash operating expenses consisted mainly of a provision for bad debts of $2.0 million, depreciation and amortization of $0.7 million, stock-based compensation expense of $1.4 million, deferred tax expense of $0.6 million, a change in the fair value of the earn-out liability for the purchase of NeoGraft of $0.6 million, and a provision for inventory obsolescence of $0.4 million.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Investing Activities</w:t>
      </w:r>
    </w:p>
    <w:p>
      <w:pPr>
        <w:spacing w:after="0" w:line="191"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In the six months ended June 30, 2020, cash used in investing activities consisted of $0.1 million for the purchase of property and equipment and $0.2 million of the proceeds from sale of subsidiary, net of $0.1 million of cash relinquished.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In the six months ended June 30, 2019, cash used in investing activities consisted of $0.3 million for the purchase of property and equipment.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from Financing Activities</w:t>
      </w:r>
    </w:p>
    <w:p>
      <w:pPr>
        <w:spacing w:after="0" w:line="191"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In the six months ended June 30, 2020, cash from financing activities consisted primarily of net proceeds from issuance of shares of common stock to Lincoln Park Shares of $3.0 million, net proceeds from 2020 Private Placement of $20.3 million and proceeds from government assistance loans of $4.1 million partially offset by repayment of $3.9 million under the Credit Facility, payment of dividends from subsidiary to non-controlling interest of $0.2 million and payment of the NeoGraft earn-out liability of $0.2 million.</w:t>
      </w:r>
    </w:p>
    <w:p>
      <w:pPr>
        <w:spacing w:after="0" w:line="137" w:lineRule="exact"/>
        <w:rPr>
          <w:sz w:val="20"/>
          <w:szCs w:val="20"/>
          <w:color w:val="auto"/>
        </w:rPr>
      </w:pPr>
    </w:p>
    <w:p>
      <w:pPr>
        <w:ind w:right="340"/>
        <w:spacing w:after="0" w:line="293" w:lineRule="auto"/>
        <w:rPr>
          <w:sz w:val="20"/>
          <w:szCs w:val="20"/>
          <w:color w:val="auto"/>
        </w:rPr>
      </w:pPr>
      <w:r>
        <w:rPr>
          <w:rFonts w:ascii="Arial" w:cs="Arial" w:eastAsia="Arial" w:hAnsi="Arial"/>
          <w:sz w:val="14"/>
          <w:szCs w:val="14"/>
          <w:color w:val="auto"/>
        </w:rPr>
        <w:t>In the six months ended June 30, 2019, cash from financing activities consisted primarily of net proceeds from the drawdown on the Madryn loan agreement of $9.7 million, net proceeds from issuance of unsecured senior subordinated convertible promissory notes of $7.5 million, and proceeds from the drawdown on the CNB credit facility of $2.5 million, offset by the $0.3 million of cash for installment payments and $0.1 million of earn-out liability payments related to the NeoGraft acquisition which occurred in 2018.</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Contractual Obligations and Other Commitments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Our premises and those of our subsidiaries are leased under various operating lease agreements, which expire on various dates.</w:t>
      </w:r>
    </w:p>
    <w:p>
      <w:pPr>
        <w:spacing w:after="0" w:line="191"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As of June 30, 2020, we had non-cancellable purchase orders placed with our contract manufacturers in the amount of $8.0 million. In addition, as of June 30, 2020, we had $1.2 million of open purchase orders that can be cancelled with 90 days’ notice, except for a portion equal to 15% of the total amount representing the purchase of “long lead items”.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contractual obligations as of June 30, 2020, which represent material expected or contractually committed future obligations.</w:t>
      </w:r>
    </w:p>
    <w:p>
      <w:pPr>
        <w:spacing w:after="0" w:line="250" w:lineRule="exact"/>
        <w:rPr>
          <w:sz w:val="20"/>
          <w:szCs w:val="20"/>
          <w:color w:val="auto"/>
        </w:rPr>
      </w:pPr>
    </w:p>
    <w:tbl>
      <w:tblPr>
        <w:tblLayout w:type="fixed"/>
        <w:tblInd w:w="1560" w:type="dxa"/>
        <w:tblCellMar>
          <w:top w:w="0" w:type="dxa"/>
          <w:left w:w="0" w:type="dxa"/>
          <w:bottom w:w="0" w:type="dxa"/>
          <w:right w:w="0" w:type="dxa"/>
        </w:tblCellMar>
      </w:tblPr>
      <w:tr>
        <w:trPr>
          <w:trHeight w:val="145"/>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Payments Due by Period</w:t>
            </w: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49"/>
              <w:spacing w:after="0" w:line="108" w:lineRule="exact"/>
              <w:rPr>
                <w:sz w:val="20"/>
                <w:szCs w:val="20"/>
                <w:color w:val="auto"/>
              </w:rPr>
            </w:pPr>
            <w:r>
              <w:rPr>
                <w:rFonts w:ascii="Arial" w:cs="Arial" w:eastAsia="Arial" w:hAnsi="Arial"/>
                <w:sz w:val="12"/>
                <w:szCs w:val="12"/>
                <w:b w:val="1"/>
                <w:bCs w:val="1"/>
                <w:color w:val="auto"/>
                <w:w w:val="87"/>
              </w:rPr>
              <w:t>Less than 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w w:val="88"/>
              </w:rPr>
              <w:t>1 to 3 Years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1"/>
              </w:rPr>
              <w:t>3 to 5 Years</w:t>
            </w:r>
          </w:p>
        </w:tc>
        <w:tc>
          <w:tcPr>
            <w:tcW w:w="12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More than 5 Years</w:t>
            </w:r>
          </w:p>
        </w:tc>
        <w:tc>
          <w:tcPr>
            <w:tcW w:w="140" w:type="dxa"/>
            <w:vAlign w:val="bottom"/>
          </w:tcPr>
          <w:p>
            <w:pPr>
              <w:spacing w:after="0"/>
              <w:rPr>
                <w:sz w:val="9"/>
                <w:szCs w:val="9"/>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09"/>
              <w:spacing w:after="0"/>
              <w:rPr>
                <w:sz w:val="20"/>
                <w:szCs w:val="20"/>
                <w:color w:val="auto"/>
              </w:rPr>
            </w:pPr>
            <w:r>
              <w:rPr>
                <w:rFonts w:ascii="Arial" w:cs="Arial" w:eastAsia="Arial" w:hAnsi="Arial"/>
                <w:sz w:val="12"/>
                <w:szCs w:val="12"/>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center"/>
              <w:spacing w:after="0" w:line="128" w:lineRule="exact"/>
              <w:rPr>
                <w:sz w:val="20"/>
                <w:szCs w:val="20"/>
                <w:color w:val="auto"/>
              </w:rPr>
            </w:pPr>
            <w:r>
              <w:rPr>
                <w:rFonts w:ascii="Arial" w:cs="Arial" w:eastAsia="Arial" w:hAnsi="Arial"/>
                <w:sz w:val="12"/>
                <w:szCs w:val="12"/>
                <w:b w:val="1"/>
                <w:bCs w:val="1"/>
                <w:i w:val="1"/>
                <w:iCs w:val="1"/>
                <w:color w:val="auto"/>
                <w:w w:val="87"/>
              </w:rPr>
              <w:t>(dollars in thousands)</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580" w:type="dxa"/>
            <w:vAlign w:val="bottom"/>
            <w:shd w:val="clear" w:color="auto" w:fill="CFF0FC"/>
          </w:tcPr>
          <w:p>
            <w:pPr>
              <w:spacing w:after="0"/>
              <w:rPr>
                <w:sz w:val="20"/>
                <w:szCs w:val="20"/>
                <w:color w:val="auto"/>
              </w:rPr>
            </w:pPr>
            <w:r>
              <w:rPr>
                <w:rFonts w:ascii="Arial" w:cs="Arial" w:eastAsia="Arial" w:hAnsi="Arial"/>
                <w:sz w:val="15"/>
                <w:szCs w:val="15"/>
                <w:color w:val="auto"/>
              </w:rPr>
              <w:t>Debt obligations, including interest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74,076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20"/>
                <w:szCs w:val="20"/>
                <w:color w:val="auto"/>
              </w:rPr>
            </w:pPr>
            <w:r>
              <w:rPr>
                <w:rFonts w:ascii="Arial" w:cs="Arial" w:eastAsia="Arial" w:hAnsi="Arial"/>
                <w:sz w:val="15"/>
                <w:szCs w:val="15"/>
                <w:color w:val="auto"/>
              </w:rPr>
              <w:t>Operating leases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2,102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2,152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1,148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5,921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FF0FC"/>
          </w:tcPr>
          <w:p>
            <w:pPr>
              <w:spacing w:after="0"/>
              <w:rPr>
                <w:sz w:val="20"/>
                <w:szCs w:val="20"/>
                <w:color w:val="auto"/>
              </w:rPr>
            </w:pPr>
            <w:r>
              <w:rPr>
                <w:rFonts w:ascii="Arial" w:cs="Arial" w:eastAsia="Arial" w:hAnsi="Arial"/>
                <w:sz w:val="15"/>
                <w:szCs w:val="15"/>
                <w:color w:val="auto"/>
              </w:rPr>
              <w:t>Purchase commitments</w:t>
            </w:r>
          </w:p>
        </w:tc>
        <w:tc>
          <w:tcPr>
            <w:tcW w:w="4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20"/>
                <w:szCs w:val="20"/>
                <w:color w:val="auto"/>
              </w:rPr>
            </w:pPr>
            <w:r>
              <w:rPr>
                <w:rFonts w:ascii="Arial" w:cs="Arial" w:eastAsia="Arial" w:hAnsi="Arial"/>
                <w:sz w:val="15"/>
                <w:szCs w:val="15"/>
                <w:color w:val="auto"/>
              </w:rPr>
              <w:t>Total contractual obligations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16,056</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76,228</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519</w:t>
            </w:r>
          </w:p>
        </w:tc>
        <w:tc>
          <w:tcPr>
            <w:tcW w:w="2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1,148</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93,951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60"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Our significant accounting policies are more fully described in Note 2 to our Annual Report filed on Form 10-K for the year ended December 31, 2019. We believe that the assumptions and estimates associated with stock-based compensation, goodwill impairment, allowance for doubtful accounts, revenue recognition, accrual for severance and income taxes have the most significant impact on our condensed consolidated financial statements, and therefore, consider these to be our critical accounting policies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our 2two5 internal advertising agency and our extended warranty service contracts provided to existing customers.</w:t>
      </w:r>
    </w:p>
    <w:p>
      <w:pPr>
        <w:spacing w:after="0" w:line="156"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We record our revenue net of sales tax and shipping and handling costs.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Long-term receivables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Long-term receivables relate to our subscription contract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ranged between 8% to 9% for the six months ended June 30, 2020 and June 30, 2019, respectively. Unearned interest revenue represents the interest only portion of the respective subscription payments and will be recognized in income over the respective payment term as it is earned.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91" w:lineRule="exact"/>
        <w:rPr>
          <w:sz w:val="20"/>
          <w:szCs w:val="20"/>
          <w:color w:val="auto"/>
        </w:rPr>
      </w:pPr>
    </w:p>
    <w:p>
      <w:pPr>
        <w:jc w:val="both"/>
        <w:ind w:right="400"/>
        <w:spacing w:after="0" w:line="265" w:lineRule="auto"/>
        <w:rPr>
          <w:sz w:val="20"/>
          <w:szCs w:val="20"/>
          <w:color w:val="auto"/>
        </w:rPr>
      </w:pPr>
      <w:r>
        <w:rPr>
          <w:rFonts w:ascii="Arial" w:cs="Arial" w:eastAsia="Arial" w:hAnsi="Arial"/>
          <w:sz w:val="15"/>
          <w:szCs w:val="15"/>
          <w:color w:val="auto"/>
        </w:rPr>
        <w:t>The allowance for doubtful accounts is based on our assessment of the collectability of customer accounts and the aging of the related invoices and represents our best estimate of probable credit losses in its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Warranty accrual</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50" w:name="page51"/>
    <w:bookmarkEnd w:id="50"/>
    <w:p>
      <w:pPr>
        <w:ind w:left="9" w:right="40"/>
        <w:spacing w:after="0" w:line="265" w:lineRule="auto"/>
        <w:rPr>
          <w:sz w:val="20"/>
          <w:szCs w:val="20"/>
          <w:color w:val="auto"/>
        </w:rPr>
      </w:pPr>
      <w:r>
        <w:rPr>
          <w:rFonts w:ascii="Arial" w:cs="Arial" w:eastAsia="Arial" w:hAnsi="Arial"/>
          <w:sz w:val="15"/>
          <w:szCs w:val="15"/>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Financial statements in U.S. dollars</w:t>
      </w:r>
    </w:p>
    <w:p>
      <w:pPr>
        <w:spacing w:after="0" w:line="191" w:lineRule="exact"/>
        <w:rPr>
          <w:sz w:val="20"/>
          <w:szCs w:val="20"/>
          <w:color w:val="auto"/>
        </w:rPr>
      </w:pPr>
    </w:p>
    <w:p>
      <w:pPr>
        <w:ind w:left="9" w:right="180"/>
        <w:spacing w:after="0" w:line="265" w:lineRule="auto"/>
        <w:rPr>
          <w:sz w:val="20"/>
          <w:szCs w:val="20"/>
          <w:color w:val="auto"/>
        </w:rPr>
      </w:pPr>
      <w:r>
        <w:rPr>
          <w:rFonts w:ascii="Arial" w:cs="Arial" w:eastAsia="Arial" w:hAnsi="Arial"/>
          <w:sz w:val="15"/>
          <w:szCs w:val="15"/>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56" w:lineRule="exact"/>
        <w:rPr>
          <w:sz w:val="20"/>
          <w:szCs w:val="20"/>
          <w:color w:val="auto"/>
        </w:rPr>
      </w:pPr>
    </w:p>
    <w:p>
      <w:pPr>
        <w:ind w:left="9" w:right="140"/>
        <w:spacing w:after="0" w:line="293" w:lineRule="auto"/>
        <w:rPr>
          <w:sz w:val="20"/>
          <w:szCs w:val="20"/>
          <w:color w:val="auto"/>
        </w:rPr>
      </w:pPr>
      <w:r>
        <w:rPr>
          <w:rFonts w:ascii="Arial" w:cs="Arial" w:eastAsia="Arial" w:hAnsi="Arial"/>
          <w:sz w:val="14"/>
          <w:szCs w:val="14"/>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left="9"/>
        <w:spacing w:after="0" w:line="296"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1" w:lineRule="exact"/>
        <w:rPr>
          <w:sz w:val="20"/>
          <w:szCs w:val="20"/>
          <w:color w:val="auto"/>
        </w:rPr>
      </w:pPr>
    </w:p>
    <w:p>
      <w:pPr>
        <w:ind w:left="9" w:right="460" w:hanging="9"/>
        <w:spacing w:after="0" w:line="343" w:lineRule="auto"/>
        <w:tabs>
          <w:tab w:leader="none" w:pos="19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0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9"/>
        <w:spacing w:after="0" w:line="278" w:lineRule="auto"/>
        <w:rPr>
          <w:sz w:val="20"/>
          <w:szCs w:val="20"/>
          <w:color w:val="auto"/>
        </w:rPr>
      </w:pPr>
      <w:r>
        <w:rPr>
          <w:rFonts w:ascii="Arial" w:cs="Arial" w:eastAsia="Arial" w:hAnsi="Arial"/>
          <w:sz w:val="15"/>
          <w:szCs w:val="15"/>
          <w:color w:val="auto"/>
        </w:rPr>
        <w:t>See Note 2 to our condensed consolidated financial statements included elsewhere in this Quarterly Report on Form 10-Q for recently issued accounting pronouncements not yet adopted as of the date of this Quarterly Report on Form 10-Q.</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color w:val="auto"/>
        </w:rPr>
        <w:t>As a smaller reporting company, we are not required to provide disclosure for this Item.</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4. CONTROLS AND PROCEDURES.</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95" w:lineRule="exact"/>
        <w:rPr>
          <w:sz w:val="20"/>
          <w:szCs w:val="20"/>
          <w:color w:val="auto"/>
        </w:rPr>
      </w:pPr>
    </w:p>
    <w:p>
      <w:pPr>
        <w:ind w:left="9" w:right="120"/>
        <w:spacing w:after="0" w:line="257" w:lineRule="auto"/>
        <w:rPr>
          <w:sz w:val="20"/>
          <w:szCs w:val="20"/>
          <w:color w:val="auto"/>
        </w:rPr>
      </w:pPr>
      <w:r>
        <w:rPr>
          <w:rFonts w:ascii="Arial" w:cs="Arial" w:eastAsia="Arial" w:hAnsi="Arial"/>
          <w:sz w:val="15"/>
          <w:szCs w:val="15"/>
          <w:color w:val="auto"/>
        </w:rPr>
        <w:t>As of June 30, 2020, our management, under the supervision of our Chief Executive Officer and Chief Financial Officer, performed an evaluation of the effectiveness of our disclosure controls and procedures as defined in Rules 13a-15(e) and 15d-15(e) under the Securities Exchange Act of 1934, as amended (the “Exchange Act”), to ensure that information required to be disclosed by the Company in the reports that it files or submits under the Exchange Act is recorded, processed, summarized and reported within the time periods specified in the Securities and Exchange Commission’s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not effective as of June 30, 2020, because of the material weakness in internal control over financial reporting described below.</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95" w:lineRule="exact"/>
        <w:rPr>
          <w:sz w:val="20"/>
          <w:szCs w:val="20"/>
          <w:color w:val="auto"/>
        </w:rPr>
      </w:pPr>
    </w:p>
    <w:p>
      <w:pPr>
        <w:ind w:left="9" w:right="80"/>
        <w:spacing w:after="0" w:line="285" w:lineRule="auto"/>
        <w:rPr>
          <w:sz w:val="20"/>
          <w:szCs w:val="20"/>
          <w:color w:val="auto"/>
        </w:rPr>
      </w:pPr>
      <w:r>
        <w:rPr>
          <w:rFonts w:ascii="Arial" w:cs="Arial" w:eastAsia="Arial" w:hAnsi="Arial"/>
          <w:sz w:val="14"/>
          <w:szCs w:val="14"/>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not effective as of June 30, 2020, because of a material weakness in internal controls over financial reporting, associated with the lease accounting process automation which was identified during the audit of our fiscal year ended December 31, 2018, as described below.</w:t>
      </w:r>
    </w:p>
    <w:p>
      <w:pPr>
        <w:spacing w:after="0" w:line="144" w:lineRule="exact"/>
        <w:rPr>
          <w:sz w:val="20"/>
          <w:szCs w:val="20"/>
          <w:color w:val="auto"/>
        </w:rPr>
      </w:pPr>
    </w:p>
    <w:p>
      <w:pPr>
        <w:ind w:left="9" w:right="120"/>
        <w:spacing w:after="0" w:line="27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29"/>
          </w:cols>
          <w:pgMar w:left="311" w:top="311" w:right="3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19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Weakness not yet Remediated as of June 30, 2020</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connection with our preparation and the audit of our consolidated financial statements as of and for the years ended December 31, 2018 and 2017, we identified a material weakness related to lack of centralized procedures or a technology solution that would ensure appropriate lessor accounting processes and enable the accurate and timely preparation of financial statements. As of June 30, 2020, we have not yet implemented centralized procedures or a technology solution that would ensure appropriate lessor accounting processes and enable the accurate and timely preparation of consolidated financial statements. We plan to establish adequate centralized procedures related to lease accounting processes in the second half of 2020, which could involve either hiring additional personnel or implementing a technology solution. As a result, we concluded that the material weakness associated with lease accounting process existed as of June 30, 2020, as noted above.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Our plans for remediating the material weakness related to lease accounting process automation would constitute a change in our internal control over financial reporting prospectively, when such controls are effectively implemented. Other than the continuation of the implementation of measures described above, there were no material changes in our internal control over financial reporting during the three and six months ended June 30, 2020, that have materially affected, or are reasonably likely to materially affect, our internal control over financial reporting.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160"/>
          </w:cols>
          <w:pgMar w:left="320" w:top="307" w:right="419" w:bottom="1440" w:gutter="0" w:footer="0" w:header="0"/>
        </w:sectPr>
      </w:pPr>
    </w:p>
    <w:bookmarkStart w:id="52" w:name="page53"/>
    <w:bookmarkEnd w:id="52"/>
    <w:p>
      <w:pPr>
        <w:jc w:val="center"/>
        <w:spacing w:after="0"/>
        <w:rPr>
          <w:sz w:val="20"/>
          <w:szCs w:val="20"/>
          <w:color w:val="auto"/>
        </w:rPr>
      </w:pPr>
      <w:r>
        <w:rPr>
          <w:rFonts w:ascii="Arial" w:cs="Arial" w:eastAsia="Arial" w:hAnsi="Arial"/>
          <w:sz w:val="15"/>
          <w:szCs w:val="15"/>
          <w:b w:val="1"/>
          <w:bCs w:val="1"/>
          <w:color w:val="auto"/>
        </w:rPr>
        <w:t>PART II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1. 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Purported Shareholder Class Actions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231F20"/>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61" w:lineRule="exact"/>
        <w:rPr>
          <w:sz w:val="20"/>
          <w:szCs w:val="20"/>
          <w:color w:val="auto"/>
        </w:rPr>
      </w:pPr>
    </w:p>
    <w:p>
      <w:pPr>
        <w:ind w:right="140"/>
        <w:spacing w:after="0" w:line="275" w:lineRule="auto"/>
        <w:rPr>
          <w:sz w:val="20"/>
          <w:szCs w:val="20"/>
          <w:color w:val="auto"/>
        </w:rPr>
      </w:pPr>
      <w:r>
        <w:rPr>
          <w:rFonts w:ascii="Arial" w:cs="Arial" w:eastAsia="Arial" w:hAnsi="Arial"/>
          <w:sz w:val="14"/>
          <w:szCs w:val="14"/>
          <w:color w:val="231F20"/>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Under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our demurrer and renewed motion to dismiss was held on June 12, 2020. The court has not yet issued any decision</w:t>
      </w:r>
      <w:r>
        <w:rPr>
          <w:rFonts w:ascii="Arial" w:cs="Arial" w:eastAsia="Arial" w:hAnsi="Arial"/>
          <w:sz w:val="14"/>
          <w:szCs w:val="14"/>
          <w:color w:val="000000"/>
        </w:rPr>
        <w:t>.</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 On May 29, 2020, Lead Plaintiff filed a motion for class certification, which we elected not to oppose, and on July 29, 2020, the court certified a class of investors who purchased shares our common stock pursuant or traceable to our initial public offering.</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3" w:name="page54"/>
    <w:bookmarkEnd w:id="53"/>
    <w:p>
      <w:pPr>
        <w:ind w:right="20"/>
        <w:spacing w:after="0" w:line="282" w:lineRule="auto"/>
        <w:rPr>
          <w:sz w:val="20"/>
          <w:szCs w:val="20"/>
          <w:color w:val="auto"/>
        </w:rPr>
      </w:pPr>
      <w:r>
        <w:rPr>
          <w:rFonts w:ascii="Arial" w:cs="Arial" w:eastAsia="Arial" w:hAnsi="Arial"/>
          <w:sz w:val="14"/>
          <w:szCs w:val="14"/>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We filed a motion to dismiss the complaint on May 26, 2020. On July 2, 2020, plaintiff and we filed a stipulation of dismissal with prejudice as to the plaintiff and without prejudice as to the putative class.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Venus Concept China Matter</w:t>
      </w:r>
    </w:p>
    <w:p>
      <w:pPr>
        <w:spacing w:after="0" w:line="191"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Our Chinese subsidiary, or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our total revenues for the years ended December 31, 2018 and 2019, monetary penalties nonetheless could be material.</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 However, on April 29, 2020, Xuhui MSA informed Venus Concept China that its administrative investigation case has been transferred to Xuhui Branch of Shanghai Municipal Public Security Bureau (“Xuhui PSB”) for further handling. On May 6, 2020, the economic crime investigation department of Xuhui PSB confirmed to Venus Concept China’s local PRC counsel that they would review and decide whether or not to file formally a criminal investigation case against Venus Concept China and any relevant individuals allegedly responsible for any alleged criminal offense(s). On May 29, 2020, Venus Concept China was informed by Xuhui MSA of Xuhui PSB’s decision not to file a criminal investigation case and was shown a written Notice of non-filing of a criminal case issued by Xuhui PSB. On the same day, Xuhui MSA informed Venus Concept China that it would reopen and resume its administrative investigation case against Venus Concept China, which proceedings are currently ongoing.</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We and Venus Concept China are cooperating with the relevant authorities in these matters; however, we cannot predict the outcome of these matters.</w:t>
      </w:r>
    </w:p>
    <w:p>
      <w:pPr>
        <w:spacing w:after="0" w:line="191"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231F20"/>
        </w:rPr>
        <w:t>ITEM 1A. RISK FACTORS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5"/>
          <w:szCs w:val="15"/>
          <w:i w:val="1"/>
          <w:iCs w:val="1"/>
          <w:color w:val="231F20"/>
        </w:rPr>
        <w:t>Our operations and financial results are subject to various risk and uncertainties, including those described below and the risk factors described under Part II Item 1A,“Risk Factors” in our Form 10-Q for the quarter ended March 31, 2020 and Part I, Item 1A. “Risk Factors” in our latest Form 10-K,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our unaudited condensed consolidated financial statements and the related notes thereto, and “Management’s Discussion and Analysis of Financial Condition and Results of Operations”, include herewith, and the risk factors previously disclosed in Part II Item 1A,“Risk Factors” in our Form 10-Q for the quarter ended March 31, 2020 and Part I, Item 1A. “Risk Factors” in our Form 10-K.</w:t>
      </w:r>
    </w:p>
    <w:p>
      <w:pPr>
        <w:spacing w:after="0" w:line="161"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For six months ended June 30, 2020 and 2019, approximately 58% and 70% respectively, and for the years ended December 31, 2019 and 2018, approximately 67% and 75%, respectively, of our system revenues were derived from our subscription-based model. Although the ARTAS® System will not be available under our subscription-based model, we expect that our subscription-based business model to continue to represent the majority of our revenue for the foreseeable future. We collect an up-front fee, combined with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require our customers to undergo a credit check or register a lien or security interest under the Uniform Commercial Code or similar legislation, as is typically required with a third-party equipment leasing financing. Instead, to ensure that each monthly product payment is made on time and that the customer’s systems are serviced in accordance with the terms of the warranty, every product requires a monthly activation code, which we provide to the customer upon receiving each monthly payment. If a customer does not timely pay a monthly installment, the customer will not receive an activation code and will be unable to use the system for any procedures. This process does not protect us from the economic impact of a customer’s failure to make its monthly payments and as an unsecured creditor, we are subject to a greater risk in the event of a customer default. We cannot provide any assurance that the financial position of customers purchasing products and services under a subscription agreement will not change adversely before we receive all of the monthly installment payments due under the contract. As a result of the global economic turmoil that has resulted from COVID-19, many of our customers are experiencing difficulty in making timely payments or payments at all during this pandemic under their subscription agreements which has resulted in higher than anticipated bad debt expense over the course of the 2020 fiscal year. In our largest subscription markets we collected approximately 60% of our billings in March 2020, 30% of our billings in April 2020, 35% in May 2020 and 60% in June 2020. We cannot assure you that our customers will resume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operating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recurring losses from operations and negative operating cash flows raise substantial doubt about our ability to continue as a going concern.</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We have had recurring net operating losses and negative cash flows from operations, and until we generate revenue at a level to support our cost structure, we expect to continue to incur substantial operating losses and net cash outflows. As of June 30, 2020 and December 31, 2019, we had an accumulated deficit of $135.5 million and $75.7 million, respectively. Our recurring losses from operations and negative operating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However, given the COVID-19 pandemic, we cannot anticipate the extent to which the current economic turmoil and financial market conditions, will continue to adversely impact our business and our ability to raise additional capital to fund our future operations and to access the capital markets sooner than we planned.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condensed consolidated financial statements do not include any adjustments that may result from the outcome of this uncertainty.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Business or economic disruptions or global health concerns have had an adverse effect our business, operating results or financial condition.</w:t>
      </w:r>
    </w:p>
    <w:p>
      <w:pPr>
        <w:spacing w:after="0" w:line="191"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Global business or economic disruptions could adversely affect our business. In December 2019, an outbreak of a novel strain of coronavirus (COVID-19) originated in Wuhan, China, and has since spread globally. To date, this global pandemic has resulted in extended shutdowns of businesses in North and South America, Europe and Asia Pacific and gradual re-openings of economies. Global health concerns, such as the coronavirus pandemic, could also result in social, economic, and labor instability in the countries in which we or the third parties with whom we engage operate. We cannot presently predict the scope and ultimate severity or duration of the coronavirus pandemic and related business and economic disruptions, but the coronavirus pandemic and the resulting economic and commercial shutdowns to date have materially and negatively impacted our ability to conduct business in the manner planned. Disruptions to our business include restrictions on the ability of our sales and marketing personnel and distributors to travel and sell our systems, disruptions of our global supply chain, disruptions in manufacturing, reduced demand and/or suspension of operations by our customers which has impacted their ability to make monthly subscription payments, and the deferral of aesthetic or hair restoration procedures. Our customers’ patients are also affected by the economic impact of the COVID-19 pandemic. Elective aesthetic procedures are less of a priority than other items for those patients that have lost their jobs, are furloughed, have reduced work hours or have to allocate their cash to other priorities. We expect COVID-19 will continue to negatively affect customer demand throughout the second half of the year. While we expect continued recovery in many markets in the second half of the year, recoveries have been gradual and the impact of COVID-19 on our sales could still be significant, especially if there is a resurgence of the virus in major markets. We do not yet know the full extent of the impact of COVID-19 on our business, financial condition and results of operations. The extent to which the COVID-19 pandemic may impact our business, operating results, financial condition, or liquidity in the future will depend on future developments which are evolving and highly uncertain including the duration of the outbreak, the severity of resurgences of the virus, travel restrictions, business and workforce disruptions, the timing of and extent of reopening the economic regions in which we do business and the effectiveness of actions taken to contain and treat the disease.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158"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46"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June 30, 2020, we had capital resources consisting of cash and cash equivalents of approximately $14.0 million. We believe that we will continue to expend substantial resources for the foreseeable future in connection with the ongoing commercializing of our systems, our sales and marketing efforts, and continuing research and development and product enhancements activities.</w:t>
      </w:r>
    </w:p>
    <w:p>
      <w:pPr>
        <w:spacing w:after="0" w:line="160"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While we believe that the net proceeds from the 2020 Private Placement, the proceeds from sales of our common stock to Lincoln Park and the proceeds from the PPP Loans, the Venus Concept UK Loan and other government assistance programs,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impact of COVID-19 on our business has been significant and we cannot predict the extent to which COVID-19 will continue to adversely impact our business. Also, under the terms of our amended Madryn Agreement, we are required to raise at least $5.0 million of cash proceeds from the issuance of equity during the period June 1, 2020 through September 30, 2020 and are obligated to use our best efforts to raise an additional $2.0 million of cash proceeds from the issuance of equity during the period June 1, 2020 through September 30, 2020. As of August 13, 2020, we have raised $4.9 million toward the satisfaction of this obligation. As a result, we need to raise additional equity financing prior to September 30, 2020 to satisfy the Madryn obligation. Also, we may need to raise additional capital through public or private equity or debt financings or other sources, such as strategic collaborations sooner than expected or otherwise implement additional cost-saving initiatives. The COVID-19 pandemic and the economic turmoil it has caused has negatively affected the global financial markets which may make it difficult to access the public markets. Any such financing may result in dilution to stockholders, the issuance of securities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or given other strategic considerations even if we believe we have sufficient capital to fund our current or future operating plans.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Additional funds may not be available when we need them, on terms that are acceptable to us, or at all. If adequate funds are not available to us on a timely basis, we may be required to:</w:t>
      </w:r>
    </w:p>
    <w:p>
      <w:pPr>
        <w:spacing w:after="0" w:line="214" w:lineRule="exact"/>
        <w:rPr>
          <w:sz w:val="20"/>
          <w:szCs w:val="20"/>
          <w:color w:val="auto"/>
        </w:rPr>
      </w:pPr>
    </w:p>
    <w:p>
      <w:pPr>
        <w:ind w:left="740" w:hanging="374"/>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 or curtail our efforts to develop system product enhancements or new products, including any clinical trials that may be required to market such enhancements;</w:t>
      </w:r>
    </w:p>
    <w:p>
      <w:pPr>
        <w:spacing w:after="0" w:line="111" w:lineRule="exact"/>
        <w:rPr>
          <w:rFonts w:ascii="Arial" w:cs="Arial" w:eastAsia="Arial" w:hAnsi="Arial"/>
          <w:sz w:val="14"/>
          <w:szCs w:val="14"/>
          <w:color w:val="auto"/>
        </w:rPr>
      </w:pPr>
    </w:p>
    <w:p>
      <w:pPr>
        <w:ind w:left="740" w:hanging="374"/>
        <w:spacing w:after="0"/>
        <w:tabs>
          <w:tab w:leader="none" w:pos="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 or curtail our plans to increase and expand our sales and marketing efforts; or</w:t>
      </w:r>
    </w:p>
    <w:p>
      <w:pPr>
        <w:spacing w:after="0" w:line="100" w:lineRule="exact"/>
        <w:rPr>
          <w:rFonts w:ascii="Arial" w:cs="Arial" w:eastAsia="Arial" w:hAnsi="Arial"/>
          <w:sz w:val="15"/>
          <w:szCs w:val="15"/>
          <w:color w:val="auto"/>
        </w:rPr>
      </w:pPr>
    </w:p>
    <w:p>
      <w:pPr>
        <w:ind w:left="740" w:hanging="374"/>
        <w:spacing w:after="0"/>
        <w:tabs>
          <w:tab w:leader="none" w:pos="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 or curtail our plans to enhance our customer support and marketing activities.</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are restricted by covenants in the Madryn Credit Agreement, the CNB Credit Facility, the PPP Loans and the Venus Concept UK Loan.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48"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b w:val="1"/>
          <w:bCs w:val="1"/>
          <w:i w:val="1"/>
          <w:iCs w:val="1"/>
          <w:color w:val="auto"/>
        </w:rPr>
        <w:t>The sale of our common stock under the Equity Purchase Agreement may cause substantial dilution to our existing stockholders, and such sales, or the anticipation of such sales, may cause the price of our common stock to decline.</w:t>
      </w:r>
    </w:p>
    <w:p>
      <w:pPr>
        <w:spacing w:after="0" w:line="14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June 2020, we entered into a purchase agreement with Lincoln Park Capital Fund, LLC, pursuant to which Lincoln Park is obligated to purchase up to $31.0 million in shares of our common stock, at our sole discretion, subject to the terms and conditions and limitations set forth in the agreement. The purchase price for the shares we may sell under Equity Purchase Agreement will vary based the market price of our common stock at the time we initiate a sale. Although we have the right to control whether we sell any shares, if at all, under this agreement, and we generally have the right to control the timing and amount of any such sales, we are subject to certain restrictions, including those that limit the number of shares we may sell. For example,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Accordingly, we may not be able to utilize our Equity Purchase Agreement to raise additional capital when, or in the amounts, we desire. However, to the extent we do sell shares of our common stock under these agreements, such sales may result in substantial dilution to our existing stockholders, and such sales, or the anticipation of such sales, may cause the trading price of our common stock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the subject of purported class action lawsuits, and additional litigation may be brought against us in the future.</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7" w:name="page58"/>
    <w:bookmarkEnd w:id="57"/>
    <w:p>
      <w:pPr>
        <w:ind w:right="140"/>
        <w:spacing w:after="0" w:line="275" w:lineRule="auto"/>
        <w:rPr>
          <w:sz w:val="20"/>
          <w:szCs w:val="20"/>
          <w:color w:val="auto"/>
        </w:rPr>
      </w:pPr>
      <w:r>
        <w:rPr>
          <w:rFonts w:ascii="Arial" w:cs="Arial" w:eastAsia="Arial" w:hAnsi="Arial"/>
          <w:sz w:val="14"/>
          <w:szCs w:val="14"/>
          <w:color w:val="auto"/>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our demurrer and renewed motion to dismiss was held on June 12, 2020. The court has not yet issued any decision.</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 On May 29, 2020, Lead Plaintiff filed a motion for class certification, which we elected not to oppose, and on July 29, 2020, the court certified a class of investors who purchased shares of our common stock pursuant or traceable to our initial public offering.</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Inc.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44"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Inc.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We filed a motion to dismiss the complaint on May 26, 2020. On July 2, 2020, plaintiff and we filed a stipulation of dismissal with prejudice as to the plaintiff and without prejudice as to the putative class.</w:t>
      </w:r>
    </w:p>
    <w:p>
      <w:pPr>
        <w:spacing w:after="0" w:line="149" w:lineRule="exact"/>
        <w:rPr>
          <w:sz w:val="20"/>
          <w:szCs w:val="20"/>
          <w:color w:val="auto"/>
        </w:rPr>
      </w:pPr>
    </w:p>
    <w:p>
      <w:pPr>
        <w:ind w:right="660"/>
        <w:spacing w:after="0" w:line="278" w:lineRule="auto"/>
        <w:rPr>
          <w:sz w:val="20"/>
          <w:szCs w:val="20"/>
          <w:color w:val="auto"/>
        </w:rPr>
      </w:pPr>
      <w:r>
        <w:rPr>
          <w:rFonts w:ascii="Arial" w:cs="Arial" w:eastAsia="Arial" w:hAnsi="Arial"/>
          <w:sz w:val="15"/>
          <w:szCs w:val="15"/>
          <w:color w:val="auto"/>
        </w:rPr>
        <w:t>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8" w:name="page59"/>
    <w:bookmarkEnd w:id="58"/>
    <w:p>
      <w:pPr>
        <w:jc w:val="both"/>
        <w:ind w:right="140"/>
        <w:spacing w:after="0" w:line="324" w:lineRule="auto"/>
        <w:rPr>
          <w:sz w:val="20"/>
          <w:szCs w:val="20"/>
          <w:color w:val="auto"/>
        </w:rPr>
      </w:pPr>
      <w:r>
        <w:rPr>
          <w:rFonts w:ascii="Arial" w:cs="Arial" w:eastAsia="Arial" w:hAnsi="Arial"/>
          <w:sz w:val="13"/>
          <w:szCs w:val="13"/>
          <w:b w:val="1"/>
          <w:bCs w:val="1"/>
          <w:i w:val="1"/>
          <w:iCs w:val="1"/>
          <w:color w:val="auto"/>
        </w:rPr>
        <w:t>One of our subsidiaries is the subject of an administrative law investigation by the People’s Republic of China, or the PRC, State Administration for Market Regulation, or SAMR, regarding the potential misclassification of one product as a non-medical device. If this subsidiary is determined to have sold the Versa platform under an improper classification, the subsidiary could face material administrative penalties, including loss of future sales, corrective actions, disgorgement of profits and fines.</w:t>
      </w:r>
    </w:p>
    <w:p>
      <w:pPr>
        <w:spacing w:after="0" w:line="121"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Our Chinese subsidiary,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Although the revenue generated from the product that is the subject of the investigation did not represent a material amount of our total revenues for the years ended December 31, 2018 and 2019, monetary penalties nonetheless could be material.</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 However, on April 29, 2020, Xuhui MSA informed Venus Concept China that its administrative investigation case had been transferred to Xuhui Branch of Shanghai Municipal Public Security Bureau (“Xuhui PSB”) for further handling. On May 6, 2020, the economic crime investigation department of Xuhui PSB confirmed to Venus Concept China’s local PRC counsel that they would review and decide whether or not to file formally a criminal investigation case against Venus Concept China and any relevant individuals allegedly responsible for any alleged criminal offense(s). On May 29, 2020, Venus Concept China was informed by Xuhui MSA of Xuhui PSB’s decision not to file a criminal investigation case against Venus Concept China and was shown a written Notice of non-filing of a criminal case issued by Xuhui PSB. On the same day, Xuhui MSA informed Venus Concept China that it would reopen and resume its administrative investigation case against Venus Concept China, which proceedings are currently ongoing.</w:t>
      </w:r>
    </w:p>
    <w:p>
      <w:pPr>
        <w:spacing w:after="0" w:line="151"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In addition to the product that is the subject of an administrative investigation, Venus Concept China also sells two other products in the PRC, which are not registered as medical devices with the NMPA. Venus Concept China may not be able to convince the relevant SAMR authorities that the product that is the subject of an administrative investigation was properly classified, or that any of its other products that might be the subject of future government investigations, is properly classified. If any of the products sold by us as unregistered products is ultimately determined to be a medical device, the registration process with the NMPA could be extensive and time-consuming, potentially resulting in Venus Concept China’s inability to sell such products in the PRC for several years. Venus Concept China’s prior sales of those products could also subject it to material administrative penalties if it is determined that the products were sold in the absence of necessary registrations with NMPA. These administrative penalties could include limitations on future sales, corrective actions, including product recalls, disgorgement of profits and fines, the future imposition of which could materially adversely affect our business, operations, financial condition and reputation in the market.</w:t>
      </w:r>
    </w:p>
    <w:p>
      <w:pPr>
        <w:spacing w:after="0" w:line="13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b w:val="1"/>
          <w:bCs w:val="1"/>
          <w:i w:val="1"/>
          <w:iCs w:val="1"/>
          <w:color w:val="auto"/>
        </w:rPr>
        <w:t>We rely on a single third-party manufacturer for the manufacturing of the reusable procedure kits, disposable procedure kits and spare procedures kits used with the ARTAS® System and the ARTAS® iX System.</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NPI Solutions, Inc., or NPI, produces reusable procedure kits, disposable procedure kits and spare kits used with the ARTAS® System and ARTAS® iX System. If the operations of NPI are interrupted or if it is unable or unwilling to meet our delivery requirements due to capacity limitations or other constraints, we may be limited in our ability to fulfill new customer kit orders required for use with the existing ARTAS® System and ARTAS®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We have a manufacturing agreement for consumables with NPI for the supply of consumable products, including reusable procedure kits, disposable procedure kits and spare procedure kits used with the ARTAS® System and ARTAS® iX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t>In addition, our reliance on NPI involves a number of other risks, including, among other things, that:</w:t>
      </w:r>
    </w:p>
    <w:p>
      <w:pPr>
        <w:spacing w:after="0" w:line="191" w:lineRule="exact"/>
        <w:rPr>
          <w:sz w:val="20"/>
          <w:szCs w:val="20"/>
          <w:color w:val="auto"/>
        </w:rPr>
      </w:pPr>
    </w:p>
    <w:p>
      <w:pPr>
        <w:ind w:left="740" w:right="160" w:hanging="374"/>
        <w:spacing w:after="0" w:line="324" w:lineRule="auto"/>
        <w:tabs>
          <w:tab w:leader="none" w:pos="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 or subject us to enforcement actions by regulatory agencies;</w:t>
      </w:r>
    </w:p>
    <w:p>
      <w:pPr>
        <w:spacing w:after="0" w:line="41" w:lineRule="exact"/>
        <w:rPr>
          <w:rFonts w:ascii="Arial" w:cs="Arial" w:eastAsia="Arial" w:hAnsi="Arial"/>
          <w:sz w:val="13"/>
          <w:szCs w:val="13"/>
          <w:color w:val="auto"/>
        </w:rPr>
      </w:pPr>
    </w:p>
    <w:p>
      <w:pPr>
        <w:ind w:left="740" w:right="240" w:hanging="374"/>
        <w:spacing w:after="0" w:line="278" w:lineRule="auto"/>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not be able to timely respond to unanticipated changes in customer orders, and if orders do not match forecasts, we may have excess or inadequate inventory of materials and components;</w:t>
      </w:r>
    </w:p>
    <w:p>
      <w:pPr>
        <w:spacing w:after="0" w:line="66" w:lineRule="exact"/>
        <w:rPr>
          <w:rFonts w:ascii="Arial" w:cs="Arial" w:eastAsia="Arial" w:hAnsi="Arial"/>
          <w:sz w:val="15"/>
          <w:szCs w:val="15"/>
          <w:color w:val="auto"/>
        </w:rPr>
      </w:pPr>
    </w:p>
    <w:p>
      <w:pPr>
        <w:ind w:left="740" w:hanging="374"/>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be subject to price fluctuations when a supply contract is renegotiated or if our existing contract is not renewed;</w:t>
      </w:r>
    </w:p>
    <w:p>
      <w:pPr>
        <w:spacing w:after="0" w:line="111" w:lineRule="exact"/>
        <w:rPr>
          <w:rFonts w:ascii="Arial" w:cs="Arial" w:eastAsia="Arial" w:hAnsi="Arial"/>
          <w:sz w:val="15"/>
          <w:szCs w:val="15"/>
          <w:color w:val="auto"/>
        </w:rPr>
      </w:pPr>
    </w:p>
    <w:p>
      <w:pPr>
        <w:ind w:left="740" w:hanging="374"/>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NPI may wish to discontinue manufacturing and supplying products to us for risk management reasons; and</w:t>
      </w:r>
    </w:p>
    <w:p>
      <w:pPr>
        <w:spacing w:after="0" w:line="111" w:lineRule="exact"/>
        <w:rPr>
          <w:rFonts w:ascii="Arial" w:cs="Arial" w:eastAsia="Arial" w:hAnsi="Arial"/>
          <w:sz w:val="15"/>
          <w:szCs w:val="15"/>
          <w:color w:val="auto"/>
        </w:rPr>
      </w:pPr>
    </w:p>
    <w:p>
      <w:pPr>
        <w:ind w:left="740" w:hanging="374"/>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NPI may encounter financial or other hardships unrelated to our demand for products, which could inhibit its ability to fulfill our orders and meet our requirements.</w:t>
      </w:r>
    </w:p>
    <w:p>
      <w:pPr>
        <w:spacing w:after="0" w:line="202" w:lineRule="exact"/>
        <w:rPr>
          <w:sz w:val="20"/>
          <w:szCs w:val="20"/>
          <w:color w:val="auto"/>
        </w:rPr>
      </w:pPr>
    </w:p>
    <w:p>
      <w:pPr>
        <w:ind w:right="340"/>
        <w:spacing w:after="0" w:line="265" w:lineRule="auto"/>
        <w:rPr>
          <w:sz w:val="20"/>
          <w:szCs w:val="20"/>
          <w:color w:val="auto"/>
        </w:rPr>
      </w:pPr>
      <w:r>
        <w:rPr>
          <w:rFonts w:ascii="Arial" w:cs="Arial" w:eastAsia="Arial" w:hAnsi="Arial"/>
          <w:sz w:val="15"/>
          <w:szCs w:val="15"/>
          <w:color w:val="auto"/>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158"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 System and ARTAS® iX System, including the related consumables, our reputation, business, financial condition and results of operations could be negatively affected.</w:t>
      </w:r>
    </w:p>
    <w:p>
      <w:pPr>
        <w:spacing w:after="0" w:line="156"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Pursuant to the Order of the Health Officer of the County of Santa Clara directing all individuals to shelter-in-place, which was issued on March 16, 2020, in response to impact of COVID-19 pandemic (as updated, the “Order”), we were unable to access our facility in San Jose or NPI’s facility until June 1, 2020. As a result, we were unable to manufacture sufficient ARTAS procedure kits during this period and were limited to shipping procedure kits from existing inventory. While we currently have access to our San Jose facility and NPI’s facility has re-opened and we are able to manufacture ARTAS procedure kits, we cannot predict whether these facilities will be closed again by the Order of the Health Officer of the County of Santa Clara, or California State public health orders in response to the future COVID-19 developments in the County or State.</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140"/>
          </w:cols>
          <w:pgMar w:left="320" w:top="492" w:right="4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231F20"/>
        </w:rPr>
        <w:t>ITEM 2. UNREGISTERED SALES OF EQUITY SECURITIES AND USE OF PROCEEDS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Unregistered Sales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231F20"/>
        </w:rPr>
        <w:t>There were no unregistered securities issued and sold during the three and six months ended June 30, 2020.</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3. DEFAULTS UPON SENIOR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231F20"/>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4. MINE SAFETY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231F20"/>
        </w:rPr>
        <w:t>Not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ITEM 5. 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6851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139"/>
          </w:cols>
          <w:pgMar w:left="320" w:top="307" w:right="1440" w:bottom="1440" w:gutter="0" w:footer="0" w:header="0"/>
        </w:sectPr>
      </w:pPr>
    </w:p>
    <w:bookmarkStart w:id="61" w:name="page62"/>
    <w:bookmarkEnd w:id="61"/>
    <w:p>
      <w:pPr>
        <w:ind w:left="469"/>
        <w:spacing w:after="0"/>
        <w:rPr>
          <w:sz w:val="20"/>
          <w:szCs w:val="20"/>
          <w:color w:val="auto"/>
        </w:rPr>
      </w:pPr>
      <w:r>
        <w:rPr>
          <w:rFonts w:ascii="Arial" w:cs="Arial" w:eastAsia="Arial" w:hAnsi="Arial"/>
          <w:sz w:val="15"/>
          <w:szCs w:val="15"/>
          <w:b w:val="1"/>
          <w:bCs w:val="1"/>
          <w:color w:val="231F20"/>
        </w:rPr>
        <w:t>ITEM 6. EXHIBITS</w:t>
      </w:r>
    </w:p>
    <w:p>
      <w:pPr>
        <w:spacing w:after="0" w:line="173" w:lineRule="exact"/>
        <w:rPr>
          <w:sz w:val="20"/>
          <w:szCs w:val="20"/>
          <w:color w:val="auto"/>
        </w:rPr>
      </w:pPr>
    </w:p>
    <w:tbl>
      <w:tblPr>
        <w:tblLayout w:type="fixed"/>
        <w:tblInd w:w="289" w:type="dxa"/>
        <w:tblCellMar>
          <w:top w:w="0" w:type="dxa"/>
          <w:left w:w="0" w:type="dxa"/>
          <w:bottom w:w="0" w:type="dxa"/>
          <w:right w:w="0" w:type="dxa"/>
        </w:tblCellMar>
      </w:tblPr>
      <w:tr>
        <w:trPr>
          <w:trHeight w:val="138"/>
        </w:trPr>
        <w:tc>
          <w:tcPr>
            <w:tcW w:w="2260" w:type="dxa"/>
            <w:vAlign w:val="bottom"/>
          </w:tcPr>
          <w:p>
            <w:pPr>
              <w:jc w:val="center"/>
              <w:ind w:right="1039"/>
              <w:spacing w:after="0"/>
              <w:rPr>
                <w:sz w:val="20"/>
                <w:szCs w:val="20"/>
                <w:color w:val="auto"/>
              </w:rPr>
            </w:pPr>
            <w:r>
              <w:rPr>
                <w:rFonts w:ascii="Arial" w:cs="Arial" w:eastAsia="Arial" w:hAnsi="Arial"/>
                <w:sz w:val="12"/>
                <w:szCs w:val="12"/>
                <w:b w:val="1"/>
                <w:bCs w:val="1"/>
                <w:color w:val="auto"/>
                <w:w w:val="99"/>
              </w:rPr>
              <w:t>Exhibit</w:t>
            </w:r>
          </w:p>
        </w:tc>
        <w:tc>
          <w:tcPr>
            <w:tcW w:w="3560" w:type="dxa"/>
            <w:vAlign w:val="bottom"/>
            <w:vMerge w:val="restart"/>
          </w:tcPr>
          <w:p>
            <w:pPr>
              <w:ind w:left="1480"/>
              <w:spacing w:after="0"/>
              <w:rPr>
                <w:sz w:val="20"/>
                <w:szCs w:val="20"/>
                <w:color w:val="auto"/>
              </w:rPr>
            </w:pPr>
            <w:r>
              <w:rPr>
                <w:rFonts w:ascii="Arial" w:cs="Arial" w:eastAsia="Arial" w:hAnsi="Arial"/>
                <w:sz w:val="12"/>
                <w:szCs w:val="12"/>
                <w:b w:val="1"/>
                <w:bCs w:val="1"/>
                <w:color w:val="auto"/>
              </w:rPr>
              <w:t>Description</w:t>
            </w:r>
          </w:p>
        </w:tc>
        <w:tc>
          <w:tcPr>
            <w:tcW w:w="2100" w:type="dxa"/>
            <w:vAlign w:val="bottom"/>
            <w:vMerge w:val="restart"/>
          </w:tcPr>
          <w:p>
            <w:pPr>
              <w:ind w:left="1480"/>
              <w:spacing w:after="0"/>
              <w:rPr>
                <w:sz w:val="20"/>
                <w:szCs w:val="20"/>
                <w:color w:val="auto"/>
              </w:rPr>
            </w:pPr>
            <w:r>
              <w:rPr>
                <w:rFonts w:ascii="Arial" w:cs="Arial" w:eastAsia="Arial" w:hAnsi="Arial"/>
                <w:sz w:val="12"/>
                <w:szCs w:val="12"/>
                <w:b w:val="1"/>
                <w:bCs w:val="1"/>
                <w:color w:val="auto"/>
              </w:rPr>
              <w:t>Form</w:t>
            </w:r>
          </w:p>
        </w:tc>
        <w:tc>
          <w:tcPr>
            <w:tcW w:w="8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Date</w:t>
            </w:r>
          </w:p>
        </w:tc>
        <w:tc>
          <w:tcPr>
            <w:tcW w:w="9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Number</w:t>
            </w:r>
          </w:p>
        </w:tc>
        <w:tc>
          <w:tcPr>
            <w:tcW w:w="820" w:type="dxa"/>
            <w:vAlign w:val="bottom"/>
          </w:tcPr>
          <w:p>
            <w:pPr>
              <w:jc w:val="center"/>
              <w:ind w:left="99"/>
              <w:spacing w:after="0"/>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145"/>
        </w:trPr>
        <w:tc>
          <w:tcPr>
            <w:tcW w:w="2260" w:type="dxa"/>
            <w:vAlign w:val="bottom"/>
            <w:tcBorders>
              <w:bottom w:val="single" w:sz="8" w:color="auto"/>
            </w:tcBorders>
          </w:tcPr>
          <w:p>
            <w:pPr>
              <w:jc w:val="center"/>
              <w:ind w:right="1039"/>
              <w:spacing w:after="0"/>
              <w:rPr>
                <w:sz w:val="20"/>
                <w:szCs w:val="20"/>
                <w:color w:val="auto"/>
              </w:rPr>
            </w:pPr>
            <w:r>
              <w:rPr>
                <w:rFonts w:ascii="Arial" w:cs="Arial" w:eastAsia="Arial" w:hAnsi="Arial"/>
                <w:sz w:val="12"/>
                <w:szCs w:val="12"/>
                <w:b w:val="1"/>
                <w:bCs w:val="1"/>
                <w:color w:val="auto"/>
                <w:w w:val="96"/>
              </w:rPr>
              <w:t>Number</w:t>
            </w:r>
          </w:p>
        </w:tc>
        <w:tc>
          <w:tcPr>
            <w:tcW w:w="3560" w:type="dxa"/>
            <w:vAlign w:val="bottom"/>
            <w:tcBorders>
              <w:bottom w:val="single" w:sz="8" w:color="auto"/>
            </w:tcBorders>
            <w:vMerge w:val="continue"/>
          </w:tcPr>
          <w:p>
            <w:pPr>
              <w:spacing w:after="0"/>
              <w:rPr>
                <w:sz w:val="12"/>
                <w:szCs w:val="12"/>
                <w:color w:val="auto"/>
              </w:rPr>
            </w:pPr>
          </w:p>
        </w:tc>
        <w:tc>
          <w:tcPr>
            <w:tcW w:w="21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jc w:val="center"/>
              <w:ind w:left="79"/>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049"/>
          </w:cols>
          <w:pgMar w:left="311" w:top="307" w:right="539" w:bottom="1440" w:gutter="0" w:footer="0" w:header="0"/>
        </w:sectPr>
      </w:pPr>
    </w:p>
    <w:tbl>
      <w:tblPr>
        <w:tblLayout w:type="fixed"/>
        <w:tblInd w:w="589" w:type="dxa"/>
        <w:tblCellMar>
          <w:top w:w="0" w:type="dxa"/>
          <w:left w:w="0" w:type="dxa"/>
          <w:bottom w:w="0" w:type="dxa"/>
          <w:right w:w="0" w:type="dxa"/>
        </w:tblCellMar>
      </w:tblP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3.1</w:t>
            </w:r>
          </w:p>
        </w:tc>
        <w:tc>
          <w:tcPr>
            <w:tcW w:w="5940" w:type="dxa"/>
            <w:vAlign w:val="bottom"/>
            <w:gridSpan w:val="18"/>
          </w:tcPr>
          <w:p>
            <w:pPr>
              <w:spacing w:after="0"/>
              <w:rPr>
                <w:rFonts w:ascii="Arial" w:cs="Arial" w:eastAsia="Arial" w:hAnsi="Arial"/>
                <w:sz w:val="15"/>
                <w:szCs w:val="15"/>
                <w:u w:val="single" w:color="auto"/>
                <w:color w:val="0000EE"/>
              </w:rPr>
            </w:pPr>
            <w:hyperlink r:id="rId84">
              <w:r>
                <w:rPr>
                  <w:rFonts w:ascii="Arial" w:cs="Arial" w:eastAsia="Arial" w:hAnsi="Arial"/>
                  <w:sz w:val="15"/>
                  <w:szCs w:val="15"/>
                  <w:u w:val="single" w:color="auto"/>
                  <w:color w:val="0000EE"/>
                </w:rPr>
                <w:t>Amended and Restated Certificate of Incorporation of Restoration Robotics, Inc.</w:t>
              </w:r>
            </w:hyperlink>
          </w:p>
        </w:tc>
        <w:tc>
          <w:tcPr>
            <w:tcW w:w="780" w:type="dxa"/>
            <w:vAlign w:val="bottom"/>
          </w:tcPr>
          <w:p>
            <w:pPr>
              <w:jc w:val="center"/>
              <w:spacing w:after="0"/>
              <w:rPr>
                <w:sz w:val="20"/>
                <w:szCs w:val="20"/>
                <w:color w:val="auto"/>
              </w:rPr>
            </w:pPr>
            <w:r>
              <w:rPr>
                <w:rFonts w:ascii="Arial" w:cs="Arial" w:eastAsia="Arial" w:hAnsi="Arial"/>
                <w:sz w:val="15"/>
                <w:szCs w:val="15"/>
                <w:color w:val="auto"/>
              </w:rPr>
              <w:t>8-K</w:t>
            </w:r>
          </w:p>
        </w:tc>
        <w:tc>
          <w:tcPr>
            <w:tcW w:w="1080" w:type="dxa"/>
            <w:vAlign w:val="bottom"/>
          </w:tcPr>
          <w:p>
            <w:pPr>
              <w:jc w:val="center"/>
              <w:spacing w:after="0"/>
              <w:rPr>
                <w:sz w:val="20"/>
                <w:szCs w:val="20"/>
                <w:color w:val="auto"/>
              </w:rPr>
            </w:pPr>
            <w:r>
              <w:rPr>
                <w:rFonts w:ascii="Arial" w:cs="Arial" w:eastAsia="Arial" w:hAnsi="Arial"/>
                <w:sz w:val="15"/>
                <w:szCs w:val="15"/>
                <w:color w:val="auto"/>
                <w:w w:val="89"/>
              </w:rPr>
              <w:t>10-17-17</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6"/>
              </w:rPr>
              <w:t>3.1</w:t>
            </w:r>
          </w:p>
        </w:tc>
      </w:tr>
      <w:tr>
        <w:trPr>
          <w:trHeight w:val="158"/>
        </w:trPr>
        <w:tc>
          <w:tcPr>
            <w:tcW w:w="840" w:type="dxa"/>
            <w:vAlign w:val="bottom"/>
          </w:tcPr>
          <w:p>
            <w:pPr>
              <w:jc w:val="center"/>
              <w:ind w:right="204"/>
              <w:spacing w:after="0" w:line="159" w:lineRule="exact"/>
              <w:rPr>
                <w:sz w:val="20"/>
                <w:szCs w:val="20"/>
                <w:color w:val="auto"/>
              </w:rPr>
            </w:pPr>
            <w:r>
              <w:rPr>
                <w:rFonts w:ascii="Arial" w:cs="Arial" w:eastAsia="Arial" w:hAnsi="Arial"/>
                <w:sz w:val="15"/>
                <w:szCs w:val="15"/>
                <w:color w:val="auto"/>
                <w:w w:val="95"/>
              </w:rPr>
              <w:t>3.2</w:t>
            </w:r>
          </w:p>
        </w:tc>
        <w:tc>
          <w:tcPr>
            <w:tcW w:w="4980" w:type="dxa"/>
            <w:vAlign w:val="bottom"/>
            <w:tcBorders>
              <w:bottom w:val="single" w:sz="8" w:color="0000EE"/>
            </w:tcBorders>
            <w:gridSpan w:val="8"/>
          </w:tcPr>
          <w:p>
            <w:pPr>
              <w:spacing w:after="0" w:line="159" w:lineRule="exact"/>
              <w:rPr>
                <w:rFonts w:ascii="Arial" w:cs="Arial" w:eastAsia="Arial" w:hAnsi="Arial"/>
                <w:sz w:val="15"/>
                <w:szCs w:val="15"/>
                <w:color w:val="0000EE"/>
                <w:w w:val="93"/>
              </w:rPr>
            </w:pPr>
            <w:hyperlink r:id="rId85">
              <w:r>
                <w:rPr>
                  <w:rFonts w:ascii="Arial" w:cs="Arial" w:eastAsia="Arial" w:hAnsi="Arial"/>
                  <w:sz w:val="15"/>
                  <w:szCs w:val="15"/>
                  <w:color w:val="0000EE"/>
                  <w:w w:val="93"/>
                </w:rPr>
                <w:t>Certificate of Amendment of Certificate of Incorporation of Restoration Robotics,</w:t>
              </w:r>
            </w:hyperlink>
          </w:p>
        </w:tc>
        <w:tc>
          <w:tcPr>
            <w:tcW w:w="960" w:type="dxa"/>
            <w:vAlign w:val="bottom"/>
            <w:gridSpan w:val="10"/>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59" w:lineRule="exact"/>
              <w:rPr>
                <w:sz w:val="20"/>
                <w:szCs w:val="20"/>
                <w:color w:val="auto"/>
              </w:rPr>
            </w:pPr>
            <w:r>
              <w:rPr>
                <w:rFonts w:ascii="Arial" w:cs="Arial" w:eastAsia="Arial" w:hAnsi="Arial"/>
                <w:sz w:val="15"/>
                <w:szCs w:val="15"/>
                <w:color w:val="auto"/>
                <w:w w:val="88"/>
              </w:rPr>
              <w:t>11-7-19</w:t>
            </w:r>
          </w:p>
        </w:tc>
        <w:tc>
          <w:tcPr>
            <w:tcW w:w="540" w:type="dxa"/>
            <w:vAlign w:val="bottom"/>
          </w:tcPr>
          <w:p>
            <w:pPr>
              <w:jc w:val="center"/>
              <w:ind w:left="204"/>
              <w:spacing w:after="0" w:line="159" w:lineRule="exact"/>
              <w:rPr>
                <w:sz w:val="20"/>
                <w:szCs w:val="20"/>
                <w:color w:val="auto"/>
              </w:rPr>
            </w:pPr>
            <w:r>
              <w:rPr>
                <w:rFonts w:ascii="Arial" w:cs="Arial" w:eastAsia="Arial" w:hAnsi="Arial"/>
                <w:sz w:val="15"/>
                <w:szCs w:val="15"/>
                <w:color w:val="auto"/>
                <w:w w:val="86"/>
              </w:rPr>
              <w:t>3.1</w:t>
            </w:r>
          </w:p>
        </w:tc>
      </w:tr>
      <w:tr>
        <w:trPr>
          <w:trHeight w:val="162"/>
        </w:trPr>
        <w:tc>
          <w:tcPr>
            <w:tcW w:w="840" w:type="dxa"/>
            <w:vAlign w:val="bottom"/>
          </w:tcPr>
          <w:p>
            <w:pPr>
              <w:spacing w:after="0"/>
              <w:rPr>
                <w:sz w:val="14"/>
                <w:szCs w:val="14"/>
                <w:color w:val="auto"/>
              </w:rPr>
            </w:pPr>
          </w:p>
        </w:tc>
        <w:tc>
          <w:tcPr>
            <w:tcW w:w="240" w:type="dxa"/>
            <w:vAlign w:val="bottom"/>
            <w:tcBorders>
              <w:bottom w:val="single" w:sz="8" w:color="0000EE"/>
            </w:tcBorders>
          </w:tcPr>
          <w:p>
            <w:pPr>
              <w:spacing w:after="0" w:line="162" w:lineRule="exact"/>
              <w:rPr>
                <w:rFonts w:ascii="Arial" w:cs="Arial" w:eastAsia="Arial" w:hAnsi="Arial"/>
                <w:sz w:val="15"/>
                <w:szCs w:val="15"/>
                <w:color w:val="0000EE"/>
                <w:w w:val="90"/>
              </w:rPr>
            </w:pPr>
            <w:hyperlink r:id="rId85">
              <w:r>
                <w:rPr>
                  <w:rFonts w:ascii="Arial" w:cs="Arial" w:eastAsia="Arial" w:hAnsi="Arial"/>
                  <w:sz w:val="15"/>
                  <w:szCs w:val="15"/>
                  <w:color w:val="0000EE"/>
                  <w:w w:val="90"/>
                </w:rPr>
                <w:t>Inc.</w:t>
              </w:r>
            </w:hyperlink>
          </w:p>
        </w:tc>
        <w:tc>
          <w:tcPr>
            <w:tcW w:w="5700" w:type="dxa"/>
            <w:vAlign w:val="bottom"/>
            <w:gridSpan w:val="17"/>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5"/>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3.3</w:t>
            </w:r>
          </w:p>
        </w:tc>
        <w:tc>
          <w:tcPr>
            <w:tcW w:w="5940" w:type="dxa"/>
            <w:vAlign w:val="bottom"/>
            <w:gridSpan w:val="18"/>
          </w:tcPr>
          <w:p>
            <w:pPr>
              <w:spacing w:after="0"/>
              <w:rPr>
                <w:rFonts w:ascii="Arial" w:cs="Arial" w:eastAsia="Arial" w:hAnsi="Arial"/>
                <w:sz w:val="15"/>
                <w:szCs w:val="15"/>
                <w:u w:val="single" w:color="auto"/>
                <w:color w:val="0000EE"/>
              </w:rPr>
            </w:pPr>
            <w:hyperlink r:id="rId86">
              <w:r>
                <w:rPr>
                  <w:rFonts w:ascii="Arial" w:cs="Arial" w:eastAsia="Arial" w:hAnsi="Arial"/>
                  <w:sz w:val="15"/>
                  <w:szCs w:val="15"/>
                  <w:u w:val="single" w:color="auto"/>
                  <w:color w:val="0000EE"/>
                </w:rPr>
                <w:t>Second Amended and Restated Bylaws of Venus Concept Inc.</w:t>
              </w:r>
            </w:hyperlink>
          </w:p>
        </w:tc>
        <w:tc>
          <w:tcPr>
            <w:tcW w:w="780" w:type="dxa"/>
            <w:vAlign w:val="bottom"/>
          </w:tcPr>
          <w:p>
            <w:pPr>
              <w:jc w:val="center"/>
              <w:spacing w:after="0"/>
              <w:rPr>
                <w:sz w:val="20"/>
                <w:szCs w:val="20"/>
                <w:color w:val="auto"/>
              </w:rPr>
            </w:pPr>
            <w:r>
              <w:rPr>
                <w:rFonts w:ascii="Arial" w:cs="Arial" w:eastAsia="Arial" w:hAnsi="Arial"/>
                <w:sz w:val="15"/>
                <w:szCs w:val="15"/>
                <w:color w:val="auto"/>
              </w:rPr>
              <w:t>8-K</w:t>
            </w:r>
          </w:p>
        </w:tc>
        <w:tc>
          <w:tcPr>
            <w:tcW w:w="1080" w:type="dxa"/>
            <w:vAlign w:val="bottom"/>
          </w:tcPr>
          <w:p>
            <w:pPr>
              <w:jc w:val="center"/>
              <w:spacing w:after="0"/>
              <w:rPr>
                <w:sz w:val="20"/>
                <w:szCs w:val="20"/>
                <w:color w:val="auto"/>
              </w:rPr>
            </w:pPr>
            <w:r>
              <w:rPr>
                <w:rFonts w:ascii="Arial" w:cs="Arial" w:eastAsia="Arial" w:hAnsi="Arial"/>
                <w:sz w:val="15"/>
                <w:szCs w:val="15"/>
                <w:color w:val="auto"/>
                <w:w w:val="88"/>
              </w:rPr>
              <w:t>11-7-19</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6"/>
              </w:rPr>
              <w:t>3.2</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4.1</w:t>
            </w:r>
          </w:p>
        </w:tc>
        <w:tc>
          <w:tcPr>
            <w:tcW w:w="5940" w:type="dxa"/>
            <w:vAlign w:val="bottom"/>
            <w:gridSpan w:val="18"/>
          </w:tcPr>
          <w:p>
            <w:pPr>
              <w:spacing w:after="0"/>
              <w:rPr>
                <w:rFonts w:ascii="Arial" w:cs="Arial" w:eastAsia="Arial" w:hAnsi="Arial"/>
                <w:sz w:val="15"/>
                <w:szCs w:val="15"/>
                <w:color w:val="0000EE"/>
              </w:rPr>
            </w:pPr>
            <w:hyperlink r:id="rId87">
              <w:r>
                <w:rPr>
                  <w:rFonts w:ascii="Arial" w:cs="Arial" w:eastAsia="Arial" w:hAnsi="Arial"/>
                  <w:sz w:val="15"/>
                  <w:szCs w:val="15"/>
                  <w:u w:val="single" w:color="auto"/>
                  <w:color w:val="0000EE"/>
                </w:rPr>
                <w:t>Description of Securities</w:t>
              </w:r>
            </w:hyperlink>
            <w:r>
              <w:rPr>
                <w:rFonts w:ascii="Arial" w:cs="Arial" w:eastAsia="Arial" w:hAnsi="Arial"/>
                <w:sz w:val="15"/>
                <w:szCs w:val="15"/>
                <w:color w:val="000000"/>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10-Q</w:t>
            </w: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5-14-20</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6"/>
              </w:rPr>
              <w:t>4.1</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4.2</w:t>
            </w:r>
          </w:p>
        </w:tc>
        <w:tc>
          <w:tcPr>
            <w:tcW w:w="5940" w:type="dxa"/>
            <w:vAlign w:val="bottom"/>
            <w:gridSpan w:val="18"/>
          </w:tcPr>
          <w:p>
            <w:pPr>
              <w:spacing w:after="0"/>
              <w:rPr>
                <w:rFonts w:ascii="Arial" w:cs="Arial" w:eastAsia="Arial" w:hAnsi="Arial"/>
                <w:sz w:val="15"/>
                <w:szCs w:val="15"/>
                <w:color w:val="0000EE"/>
              </w:rPr>
            </w:pPr>
            <w:hyperlink r:id="rId88">
              <w:r>
                <w:rPr>
                  <w:rFonts w:ascii="Arial" w:cs="Arial" w:eastAsia="Arial" w:hAnsi="Arial"/>
                  <w:sz w:val="15"/>
                  <w:szCs w:val="15"/>
                  <w:u w:val="single" w:color="auto"/>
                  <w:color w:val="0000EE"/>
                </w:rPr>
                <w:t>Form of Common Stock Certificate</w:t>
              </w:r>
              <w:r>
                <w:rPr>
                  <w:rFonts w:ascii="Arial" w:cs="Arial" w:eastAsia="Arial" w:hAnsi="Arial"/>
                  <w:sz w:val="15"/>
                  <w:szCs w:val="15"/>
                  <w:color w:val="0000EE"/>
                </w:rPr>
                <w:t>.</w:t>
              </w:r>
            </w:hyperlink>
          </w:p>
        </w:tc>
        <w:tc>
          <w:tcPr>
            <w:tcW w:w="780" w:type="dxa"/>
            <w:vAlign w:val="bottom"/>
          </w:tcPr>
          <w:p>
            <w:pPr>
              <w:jc w:val="center"/>
              <w:spacing w:after="0"/>
              <w:rPr>
                <w:sz w:val="20"/>
                <w:szCs w:val="20"/>
                <w:color w:val="auto"/>
              </w:rPr>
            </w:pPr>
            <w:r>
              <w:rPr>
                <w:rFonts w:ascii="Arial" w:cs="Arial" w:eastAsia="Arial" w:hAnsi="Arial"/>
                <w:sz w:val="15"/>
                <w:szCs w:val="15"/>
                <w:color w:val="auto"/>
                <w:w w:val="95"/>
              </w:rPr>
              <w:t>S-1/A</w:t>
            </w: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6"/>
              </w:rPr>
              <w:t>4.2</w:t>
            </w: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4.3</w:t>
            </w:r>
          </w:p>
        </w:tc>
        <w:tc>
          <w:tcPr>
            <w:tcW w:w="5940" w:type="dxa"/>
            <w:vAlign w:val="bottom"/>
            <w:gridSpan w:val="18"/>
          </w:tcPr>
          <w:p>
            <w:pPr>
              <w:spacing w:after="0"/>
              <w:rPr>
                <w:rFonts w:ascii="Arial" w:cs="Arial" w:eastAsia="Arial" w:hAnsi="Arial"/>
                <w:sz w:val="15"/>
                <w:szCs w:val="15"/>
                <w:u w:val="single" w:color="auto"/>
                <w:color w:val="0000EE"/>
              </w:rPr>
            </w:pPr>
            <w:hyperlink r:id="rId89">
              <w:r>
                <w:rPr>
                  <w:rFonts w:ascii="Arial" w:cs="Arial" w:eastAsia="Arial" w:hAnsi="Arial"/>
                  <w:sz w:val="15"/>
                  <w:szCs w:val="15"/>
                  <w:u w:val="single" w:color="auto"/>
                  <w:color w:val="0000EE"/>
                </w:rPr>
                <w:t>Form of 2020 Warrant.</w:t>
              </w:r>
            </w:hyperlink>
          </w:p>
        </w:tc>
        <w:tc>
          <w:tcPr>
            <w:tcW w:w="780" w:type="dxa"/>
            <w:vAlign w:val="bottom"/>
          </w:tcPr>
          <w:p>
            <w:pPr>
              <w:jc w:val="center"/>
              <w:spacing w:after="0"/>
              <w:rPr>
                <w:sz w:val="20"/>
                <w:szCs w:val="20"/>
                <w:color w:val="auto"/>
              </w:rPr>
            </w:pPr>
            <w:r>
              <w:rPr>
                <w:rFonts w:ascii="Arial" w:cs="Arial" w:eastAsia="Arial" w:hAnsi="Arial"/>
                <w:sz w:val="15"/>
                <w:szCs w:val="15"/>
                <w:color w:val="auto"/>
              </w:rPr>
              <w:t>10-K</w:t>
            </w: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6"/>
              </w:rPr>
              <w:t>4.3</w:t>
            </w:r>
          </w:p>
        </w:tc>
      </w:tr>
      <w:tr>
        <w:trPr>
          <w:trHeight w:val="158"/>
        </w:trPr>
        <w:tc>
          <w:tcPr>
            <w:tcW w:w="840" w:type="dxa"/>
            <w:vAlign w:val="bottom"/>
          </w:tcPr>
          <w:p>
            <w:pPr>
              <w:jc w:val="center"/>
              <w:ind w:right="204"/>
              <w:spacing w:after="0" w:line="159" w:lineRule="exact"/>
              <w:rPr>
                <w:sz w:val="20"/>
                <w:szCs w:val="20"/>
                <w:color w:val="auto"/>
              </w:rPr>
            </w:pPr>
            <w:r>
              <w:rPr>
                <w:rFonts w:ascii="Arial" w:cs="Arial" w:eastAsia="Arial" w:hAnsi="Arial"/>
                <w:sz w:val="15"/>
                <w:szCs w:val="15"/>
                <w:color w:val="auto"/>
                <w:w w:val="95"/>
              </w:rPr>
              <w:t>4.4</w:t>
            </w:r>
          </w:p>
        </w:tc>
        <w:tc>
          <w:tcPr>
            <w:tcW w:w="5940" w:type="dxa"/>
            <w:vAlign w:val="bottom"/>
            <w:gridSpan w:val="18"/>
          </w:tcPr>
          <w:p>
            <w:pPr>
              <w:spacing w:after="0" w:line="159" w:lineRule="exact"/>
              <w:rPr>
                <w:rFonts w:ascii="Arial" w:cs="Arial" w:eastAsia="Arial" w:hAnsi="Arial"/>
                <w:sz w:val="15"/>
                <w:szCs w:val="15"/>
                <w:color w:val="0000EE"/>
                <w:w w:val="95"/>
              </w:rPr>
            </w:pPr>
            <w:hyperlink r:id="rId90">
              <w:r>
                <w:rPr>
                  <w:rFonts w:ascii="Arial" w:cs="Arial" w:eastAsia="Arial" w:hAnsi="Arial"/>
                  <w:sz w:val="15"/>
                  <w:szCs w:val="15"/>
                  <w:color w:val="0000EE"/>
                  <w:w w:val="95"/>
                </w:rPr>
                <w:t>Equity Purchase Agreement, dated as of June 16, 2020, by and between Venus Concept Inc.</w:t>
              </w:r>
            </w:hyperlink>
          </w:p>
        </w:tc>
        <w:tc>
          <w:tcPr>
            <w:tcW w:w="780" w:type="dxa"/>
            <w:vAlign w:val="bottom"/>
          </w:tcPr>
          <w:p>
            <w:pPr>
              <w:jc w:val="center"/>
              <w:spacing w:after="0" w:line="159"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59" w:lineRule="exact"/>
              <w:rPr>
                <w:sz w:val="20"/>
                <w:szCs w:val="20"/>
                <w:color w:val="auto"/>
              </w:rPr>
            </w:pPr>
            <w:r>
              <w:rPr>
                <w:rFonts w:ascii="Arial" w:cs="Arial" w:eastAsia="Arial" w:hAnsi="Arial"/>
                <w:sz w:val="15"/>
                <w:szCs w:val="15"/>
                <w:color w:val="auto"/>
                <w:w w:val="92"/>
              </w:rPr>
              <w:t>6-16-20</w:t>
            </w:r>
          </w:p>
        </w:tc>
        <w:tc>
          <w:tcPr>
            <w:tcW w:w="540" w:type="dxa"/>
            <w:vAlign w:val="bottom"/>
          </w:tcPr>
          <w:p>
            <w:pPr>
              <w:jc w:val="center"/>
              <w:ind w:left="204"/>
              <w:spacing w:after="0" w:line="159" w:lineRule="exact"/>
              <w:rPr>
                <w:sz w:val="20"/>
                <w:szCs w:val="20"/>
                <w:color w:val="auto"/>
              </w:rPr>
            </w:pPr>
            <w:r>
              <w:rPr>
                <w:rFonts w:ascii="Arial" w:cs="Arial" w:eastAsia="Arial" w:hAnsi="Arial"/>
                <w:sz w:val="15"/>
                <w:szCs w:val="15"/>
                <w:color w:val="auto"/>
                <w:w w:val="88"/>
              </w:rPr>
              <w:t>10.1</w:t>
            </w:r>
          </w:p>
        </w:tc>
      </w:tr>
      <w:tr>
        <w:trPr>
          <w:trHeight w:val="162"/>
        </w:trPr>
        <w:tc>
          <w:tcPr>
            <w:tcW w:w="84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3"/>
          </w:tcPr>
          <w:p>
            <w:pPr>
              <w:spacing w:after="0" w:line="162" w:lineRule="exact"/>
              <w:rPr>
                <w:rFonts w:ascii="Arial" w:cs="Arial" w:eastAsia="Arial" w:hAnsi="Arial"/>
                <w:sz w:val="15"/>
                <w:szCs w:val="15"/>
                <w:color w:val="0000EE"/>
                <w:w w:val="93"/>
              </w:rPr>
            </w:pPr>
            <w:hyperlink r:id="rId90">
              <w:r>
                <w:rPr>
                  <w:rFonts w:ascii="Arial" w:cs="Arial" w:eastAsia="Arial" w:hAnsi="Arial"/>
                  <w:sz w:val="15"/>
                  <w:szCs w:val="15"/>
                  <w:color w:val="0000EE"/>
                  <w:w w:val="93"/>
                </w:rPr>
                <w:t>and Lincoln Park Capital Fund, LLC.</w:t>
              </w:r>
            </w:hyperlink>
          </w:p>
        </w:tc>
        <w:tc>
          <w:tcPr>
            <w:tcW w:w="3280" w:type="dxa"/>
            <w:vAlign w:val="bottom"/>
            <w:tcBorders>
              <w:top w:val="single" w:sz="8" w:color="0000EE"/>
            </w:tcBorders>
            <w:gridSpan w:val="9"/>
          </w:tcPr>
          <w:p>
            <w:pPr>
              <w:spacing w:after="0"/>
              <w:rPr>
                <w:sz w:val="14"/>
                <w:szCs w:val="14"/>
                <w:color w:val="auto"/>
              </w:rPr>
            </w:pPr>
          </w:p>
        </w:tc>
        <w:tc>
          <w:tcPr>
            <w:tcW w:w="380" w:type="dxa"/>
            <w:vAlign w:val="bottom"/>
            <w:gridSpan w:val="6"/>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jc w:val="center"/>
              <w:ind w:right="204"/>
              <w:spacing w:after="0" w:line="162" w:lineRule="exact"/>
              <w:rPr>
                <w:sz w:val="20"/>
                <w:szCs w:val="20"/>
                <w:color w:val="auto"/>
              </w:rPr>
            </w:pPr>
            <w:r>
              <w:rPr>
                <w:rFonts w:ascii="Arial" w:cs="Arial" w:eastAsia="Arial" w:hAnsi="Arial"/>
                <w:sz w:val="15"/>
                <w:szCs w:val="15"/>
                <w:color w:val="auto"/>
                <w:w w:val="95"/>
              </w:rPr>
              <w:t>4.5</w:t>
            </w:r>
          </w:p>
        </w:tc>
        <w:tc>
          <w:tcPr>
            <w:tcW w:w="5940" w:type="dxa"/>
            <w:vAlign w:val="bottom"/>
            <w:gridSpan w:val="18"/>
          </w:tcPr>
          <w:p>
            <w:pPr>
              <w:spacing w:after="0" w:line="162" w:lineRule="exact"/>
              <w:rPr>
                <w:rFonts w:ascii="Arial" w:cs="Arial" w:eastAsia="Arial" w:hAnsi="Arial"/>
                <w:sz w:val="15"/>
                <w:szCs w:val="15"/>
                <w:color w:val="0000EE"/>
                <w:w w:val="97"/>
              </w:rPr>
            </w:pPr>
            <w:hyperlink r:id="rId91">
              <w:r>
                <w:rPr>
                  <w:rFonts w:ascii="Arial" w:cs="Arial" w:eastAsia="Arial" w:hAnsi="Arial"/>
                  <w:sz w:val="15"/>
                  <w:szCs w:val="15"/>
                  <w:color w:val="0000EE"/>
                  <w:w w:val="97"/>
                </w:rPr>
                <w:t>Registration Rights Agreement, dated as of June 16, 2020, by and between Venus Concept</w:t>
              </w:r>
            </w:hyperlink>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62" w:lineRule="exact"/>
              <w:rPr>
                <w:sz w:val="20"/>
                <w:szCs w:val="20"/>
                <w:color w:val="auto"/>
              </w:rPr>
            </w:pPr>
            <w:r>
              <w:rPr>
                <w:rFonts w:ascii="Arial" w:cs="Arial" w:eastAsia="Arial" w:hAnsi="Arial"/>
                <w:sz w:val="15"/>
                <w:szCs w:val="15"/>
                <w:color w:val="auto"/>
                <w:w w:val="92"/>
              </w:rPr>
              <w:t>6-16-20</w:t>
            </w:r>
          </w:p>
        </w:tc>
        <w:tc>
          <w:tcPr>
            <w:tcW w:w="540" w:type="dxa"/>
            <w:vAlign w:val="bottom"/>
          </w:tcPr>
          <w:p>
            <w:pPr>
              <w:jc w:val="center"/>
              <w:ind w:left="204"/>
              <w:spacing w:after="0" w:line="162" w:lineRule="exact"/>
              <w:rPr>
                <w:sz w:val="20"/>
                <w:szCs w:val="20"/>
                <w:color w:val="auto"/>
              </w:rPr>
            </w:pPr>
            <w:r>
              <w:rPr>
                <w:rFonts w:ascii="Arial" w:cs="Arial" w:eastAsia="Arial" w:hAnsi="Arial"/>
                <w:sz w:val="15"/>
                <w:szCs w:val="15"/>
                <w:color w:val="auto"/>
                <w:w w:val="88"/>
              </w:rPr>
              <w:t>10.2</w:t>
            </w:r>
          </w:p>
        </w:tc>
      </w:tr>
      <w:tr>
        <w:trPr>
          <w:trHeight w:val="162"/>
        </w:trPr>
        <w:tc>
          <w:tcPr>
            <w:tcW w:w="840" w:type="dxa"/>
            <w:vAlign w:val="bottom"/>
          </w:tcPr>
          <w:p>
            <w:pPr>
              <w:spacing w:after="0"/>
              <w:rPr>
                <w:sz w:val="14"/>
                <w:szCs w:val="14"/>
                <w:color w:val="auto"/>
              </w:rPr>
            </w:pPr>
          </w:p>
        </w:tc>
        <w:tc>
          <w:tcPr>
            <w:tcW w:w="5480" w:type="dxa"/>
            <w:vAlign w:val="bottom"/>
            <w:tcBorders>
              <w:top w:val="single" w:sz="8" w:color="0000EE"/>
            </w:tcBorders>
            <w:gridSpan w:val="10"/>
          </w:tcPr>
          <w:p>
            <w:pPr>
              <w:spacing w:after="0" w:line="162" w:lineRule="exact"/>
              <w:rPr>
                <w:rFonts w:ascii="Arial" w:cs="Arial" w:eastAsia="Arial" w:hAnsi="Arial"/>
                <w:sz w:val="15"/>
                <w:szCs w:val="15"/>
                <w:color w:val="0000EE"/>
              </w:rPr>
            </w:pPr>
            <w:hyperlink r:id="rId91">
              <w:r>
                <w:rPr>
                  <w:rFonts w:ascii="Arial" w:cs="Arial" w:eastAsia="Arial" w:hAnsi="Arial"/>
                  <w:sz w:val="15"/>
                  <w:szCs w:val="15"/>
                  <w:color w:val="0000EE"/>
                </w:rPr>
                <w:t>Inc. and Lincoln Park Capital Fund, LLC.</w:t>
              </w:r>
            </w:hyperlink>
          </w:p>
        </w:tc>
        <w:tc>
          <w:tcPr>
            <w:tcW w:w="46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840" w:type="dxa"/>
            <w:vAlign w:val="bottom"/>
          </w:tcPr>
          <w:p>
            <w:pPr>
              <w:jc w:val="center"/>
              <w:ind w:right="204"/>
              <w:spacing w:after="0" w:line="162" w:lineRule="exact"/>
              <w:rPr>
                <w:sz w:val="20"/>
                <w:szCs w:val="20"/>
                <w:color w:val="auto"/>
              </w:rPr>
            </w:pPr>
            <w:r>
              <w:rPr>
                <w:rFonts w:ascii="Arial" w:cs="Arial" w:eastAsia="Arial" w:hAnsi="Arial"/>
                <w:sz w:val="15"/>
                <w:szCs w:val="15"/>
                <w:color w:val="auto"/>
                <w:w w:val="95"/>
              </w:rPr>
              <w:t>10.1</w:t>
            </w:r>
          </w:p>
        </w:tc>
        <w:tc>
          <w:tcPr>
            <w:tcW w:w="5760" w:type="dxa"/>
            <w:vAlign w:val="bottom"/>
            <w:tcBorders>
              <w:bottom w:val="single" w:sz="8" w:color="0000EE"/>
            </w:tcBorders>
            <w:gridSpan w:val="17"/>
          </w:tcPr>
          <w:p>
            <w:pPr>
              <w:spacing w:after="0" w:line="162" w:lineRule="exact"/>
              <w:rPr>
                <w:rFonts w:ascii="Arial" w:cs="Arial" w:eastAsia="Arial" w:hAnsi="Arial"/>
                <w:sz w:val="15"/>
                <w:szCs w:val="15"/>
                <w:color w:val="0000EE"/>
                <w:w w:val="91"/>
              </w:rPr>
            </w:pPr>
            <w:hyperlink r:id="rId92">
              <w:r>
                <w:rPr>
                  <w:rFonts w:ascii="Arial" w:cs="Arial" w:eastAsia="Arial" w:hAnsi="Arial"/>
                  <w:sz w:val="15"/>
                  <w:szCs w:val="15"/>
                  <w:color w:val="0000EE"/>
                  <w:w w:val="91"/>
                </w:rPr>
                <w:t>Twelfth Amendment to Credit Agreement, dated April 29, 2020, by and among Venus Concept</w:t>
              </w:r>
            </w:hyperlink>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62" w:lineRule="exact"/>
              <w:rPr>
                <w:sz w:val="20"/>
                <w:szCs w:val="20"/>
                <w:color w:val="auto"/>
              </w:rPr>
            </w:pPr>
            <w:r>
              <w:rPr>
                <w:rFonts w:ascii="Arial" w:cs="Arial" w:eastAsia="Arial" w:hAnsi="Arial"/>
                <w:sz w:val="15"/>
                <w:szCs w:val="15"/>
                <w:color w:val="auto"/>
                <w:w w:val="92"/>
              </w:rPr>
              <w:t>4-30-20</w:t>
            </w:r>
          </w:p>
        </w:tc>
        <w:tc>
          <w:tcPr>
            <w:tcW w:w="540" w:type="dxa"/>
            <w:vAlign w:val="bottom"/>
          </w:tcPr>
          <w:p>
            <w:pPr>
              <w:jc w:val="center"/>
              <w:ind w:left="204"/>
              <w:spacing w:after="0" w:line="162" w:lineRule="exact"/>
              <w:rPr>
                <w:sz w:val="20"/>
                <w:szCs w:val="20"/>
                <w:color w:val="auto"/>
              </w:rPr>
            </w:pPr>
            <w:r>
              <w:rPr>
                <w:rFonts w:ascii="Arial" w:cs="Arial" w:eastAsia="Arial" w:hAnsi="Arial"/>
                <w:sz w:val="15"/>
                <w:szCs w:val="15"/>
                <w:color w:val="auto"/>
                <w:w w:val="88"/>
              </w:rPr>
              <w:t>10.1</w:t>
            </w:r>
          </w:p>
        </w:tc>
      </w:tr>
      <w:tr>
        <w:trPr>
          <w:trHeight w:val="162"/>
        </w:trPr>
        <w:tc>
          <w:tcPr>
            <w:tcW w:w="840" w:type="dxa"/>
            <w:vAlign w:val="bottom"/>
          </w:tcPr>
          <w:p>
            <w:pPr>
              <w:spacing w:after="0"/>
              <w:rPr>
                <w:sz w:val="14"/>
                <w:szCs w:val="14"/>
                <w:color w:val="auto"/>
              </w:rPr>
            </w:pPr>
          </w:p>
        </w:tc>
        <w:tc>
          <w:tcPr>
            <w:tcW w:w="5940" w:type="dxa"/>
            <w:vAlign w:val="bottom"/>
            <w:gridSpan w:val="18"/>
          </w:tcPr>
          <w:p>
            <w:pPr>
              <w:spacing w:after="0" w:line="162" w:lineRule="exact"/>
              <w:rPr>
                <w:rFonts w:ascii="Arial" w:cs="Arial" w:eastAsia="Arial" w:hAnsi="Arial"/>
                <w:sz w:val="15"/>
                <w:szCs w:val="15"/>
                <w:color w:val="0000EE"/>
                <w:w w:val="93"/>
              </w:rPr>
            </w:pPr>
            <w:hyperlink r:id="rId92">
              <w:r>
                <w:rPr>
                  <w:rFonts w:ascii="Arial" w:cs="Arial" w:eastAsia="Arial" w:hAnsi="Arial"/>
                  <w:sz w:val="15"/>
                  <w:szCs w:val="15"/>
                  <w:color w:val="0000EE"/>
                  <w:w w:val="93"/>
                </w:rPr>
                <w:t>Canada Corp., Venus Concept USA Inc., Venus Concept Ltd., Venus Concept Inc. and Madryn</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4"/>
        </w:trPr>
        <w:tc>
          <w:tcPr>
            <w:tcW w:w="840" w:type="dxa"/>
            <w:vAlign w:val="bottom"/>
          </w:tcPr>
          <w:p>
            <w:pPr>
              <w:spacing w:after="0"/>
              <w:rPr>
                <w:sz w:val="16"/>
                <w:szCs w:val="16"/>
                <w:color w:val="auto"/>
              </w:rPr>
            </w:pPr>
          </w:p>
        </w:tc>
        <w:tc>
          <w:tcPr>
            <w:tcW w:w="5740" w:type="dxa"/>
            <w:vAlign w:val="bottom"/>
            <w:tcBorders>
              <w:top w:val="single" w:sz="8" w:color="0000EE"/>
            </w:tcBorders>
            <w:gridSpan w:val="16"/>
          </w:tcPr>
          <w:p>
            <w:pPr>
              <w:spacing w:after="0"/>
              <w:rPr>
                <w:rFonts w:ascii="Arial" w:cs="Arial" w:eastAsia="Arial" w:hAnsi="Arial"/>
                <w:sz w:val="15"/>
                <w:szCs w:val="15"/>
                <w:u w:val="single" w:color="auto"/>
                <w:color w:val="0000EE"/>
              </w:rPr>
            </w:pPr>
            <w:hyperlink r:id="rId92">
              <w:r>
                <w:rPr>
                  <w:rFonts w:ascii="Arial" w:cs="Arial" w:eastAsia="Arial" w:hAnsi="Arial"/>
                  <w:sz w:val="15"/>
                  <w:szCs w:val="15"/>
                  <w:u w:val="single" w:color="auto"/>
                  <w:color w:val="0000EE"/>
                </w:rPr>
                <w:t>Health Partners, LP, as administrative agent, and certain of its affiliates, as lenders.</w:t>
              </w:r>
            </w:hyperlink>
          </w:p>
        </w:tc>
        <w:tc>
          <w:tcPr>
            <w:tcW w:w="20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8"/>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10.2</w:t>
            </w:r>
          </w:p>
        </w:tc>
        <w:tc>
          <w:tcPr>
            <w:tcW w:w="5440" w:type="dxa"/>
            <w:vAlign w:val="bottom"/>
            <w:tcBorders>
              <w:bottom w:val="single" w:sz="8" w:color="0000EE"/>
            </w:tcBorders>
            <w:gridSpan w:val="9"/>
          </w:tcPr>
          <w:p>
            <w:pPr>
              <w:spacing w:after="0"/>
              <w:rPr>
                <w:rFonts w:ascii="Arial" w:cs="Arial" w:eastAsia="Arial" w:hAnsi="Arial"/>
                <w:sz w:val="15"/>
                <w:szCs w:val="15"/>
                <w:color w:val="0000EE"/>
                <w:w w:val="90"/>
              </w:rPr>
            </w:pPr>
            <w:hyperlink r:id="rId93">
              <w:r>
                <w:rPr>
                  <w:rFonts w:ascii="Arial" w:cs="Arial" w:eastAsia="Arial" w:hAnsi="Arial"/>
                  <w:sz w:val="15"/>
                  <w:szCs w:val="15"/>
                  <w:color w:val="0000EE"/>
                  <w:w w:val="90"/>
                </w:rPr>
                <w:t>Thirteenth Amendment to Credit Agreement dated as of June 30, 2020, by and among the</w:t>
              </w:r>
            </w:hyperlink>
          </w:p>
        </w:tc>
        <w:tc>
          <w:tcPr>
            <w:tcW w:w="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rPr>
              <w:t>8-K</w:t>
            </w:r>
          </w:p>
        </w:tc>
        <w:tc>
          <w:tcPr>
            <w:tcW w:w="1080" w:type="dxa"/>
            <w:vAlign w:val="bottom"/>
          </w:tcPr>
          <w:p>
            <w:pPr>
              <w:jc w:val="center"/>
              <w:spacing w:after="0"/>
              <w:rPr>
                <w:sz w:val="20"/>
                <w:szCs w:val="20"/>
                <w:color w:val="auto"/>
              </w:rPr>
            </w:pPr>
            <w:r>
              <w:rPr>
                <w:rFonts w:ascii="Arial" w:cs="Arial" w:eastAsia="Arial" w:hAnsi="Arial"/>
                <w:sz w:val="15"/>
                <w:szCs w:val="15"/>
                <w:color w:val="auto"/>
                <w:w w:val="96"/>
              </w:rPr>
              <w:t>7-2-20</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8"/>
              </w:rPr>
              <w:t>10.1</w:t>
            </w:r>
          </w:p>
        </w:tc>
      </w:tr>
      <w:tr>
        <w:trPr>
          <w:trHeight w:val="194"/>
        </w:trPr>
        <w:tc>
          <w:tcPr>
            <w:tcW w:w="840" w:type="dxa"/>
            <w:vAlign w:val="bottom"/>
          </w:tcPr>
          <w:p>
            <w:pPr>
              <w:spacing w:after="0"/>
              <w:rPr>
                <w:sz w:val="16"/>
                <w:szCs w:val="16"/>
                <w:color w:val="auto"/>
              </w:rPr>
            </w:pPr>
          </w:p>
        </w:tc>
        <w:tc>
          <w:tcPr>
            <w:tcW w:w="5940" w:type="dxa"/>
            <w:vAlign w:val="bottom"/>
            <w:gridSpan w:val="18"/>
          </w:tcPr>
          <w:p>
            <w:pPr>
              <w:spacing w:after="0"/>
              <w:rPr>
                <w:rFonts w:ascii="Arial" w:cs="Arial" w:eastAsia="Arial" w:hAnsi="Arial"/>
                <w:sz w:val="15"/>
                <w:szCs w:val="15"/>
                <w:u w:val="single" w:color="auto"/>
                <w:color w:val="0000EE"/>
                <w:w w:val="95"/>
              </w:rPr>
            </w:pPr>
            <w:hyperlink r:id="rId93">
              <w:r>
                <w:rPr>
                  <w:rFonts w:ascii="Arial" w:cs="Arial" w:eastAsia="Arial" w:hAnsi="Arial"/>
                  <w:sz w:val="15"/>
                  <w:szCs w:val="15"/>
                  <w:u w:val="single" w:color="auto"/>
                  <w:color w:val="0000EE"/>
                  <w:w w:val="95"/>
                </w:rPr>
                <w:t>Company, certain of the Company’s direct and indirect subsidiaries, the Lenders and Madryn.</w:t>
              </w:r>
            </w:hyperlink>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85"/>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10.8</w:t>
            </w:r>
          </w:p>
        </w:tc>
        <w:tc>
          <w:tcPr>
            <w:tcW w:w="5480" w:type="dxa"/>
            <w:vAlign w:val="bottom"/>
            <w:tcBorders>
              <w:bottom w:val="single" w:sz="8" w:color="0000EE"/>
            </w:tcBorders>
            <w:gridSpan w:val="10"/>
          </w:tcPr>
          <w:p>
            <w:pPr>
              <w:spacing w:after="0"/>
              <w:rPr>
                <w:rFonts w:ascii="Arial" w:cs="Arial" w:eastAsia="Arial" w:hAnsi="Arial"/>
                <w:sz w:val="15"/>
                <w:szCs w:val="15"/>
                <w:color w:val="0000EE"/>
                <w:w w:val="92"/>
              </w:rPr>
            </w:pPr>
            <w:hyperlink r:id="rId94">
              <w:r>
                <w:rPr>
                  <w:rFonts w:ascii="Arial" w:cs="Arial" w:eastAsia="Arial" w:hAnsi="Arial"/>
                  <w:sz w:val="15"/>
                  <w:szCs w:val="15"/>
                  <w:color w:val="0000EE"/>
                  <w:w w:val="92"/>
                </w:rPr>
                <w:t>SBA Payroll Protection Program Note dated April 21, 2020, by Venus Concept Inc. and in</w:t>
              </w:r>
            </w:hyperlink>
          </w:p>
        </w:tc>
        <w:tc>
          <w:tcPr>
            <w:tcW w:w="46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rPr>
              <w:t>8-K</w:t>
            </w: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4-30-20</w:t>
            </w:r>
          </w:p>
        </w:tc>
        <w:tc>
          <w:tcPr>
            <w:tcW w:w="540" w:type="dxa"/>
            <w:vAlign w:val="bottom"/>
          </w:tcPr>
          <w:p>
            <w:pPr>
              <w:jc w:val="center"/>
              <w:ind w:left="204"/>
              <w:spacing w:after="0"/>
              <w:rPr>
                <w:sz w:val="20"/>
                <w:szCs w:val="20"/>
                <w:color w:val="auto"/>
              </w:rPr>
            </w:pPr>
            <w:r>
              <w:rPr>
                <w:rFonts w:ascii="Arial" w:cs="Arial" w:eastAsia="Arial" w:hAnsi="Arial"/>
                <w:sz w:val="15"/>
                <w:szCs w:val="15"/>
                <w:color w:val="auto"/>
                <w:w w:val="88"/>
              </w:rPr>
              <w:t>10.2</w:t>
            </w:r>
          </w:p>
        </w:tc>
      </w:tr>
      <w:tr>
        <w:trPr>
          <w:trHeight w:val="162"/>
        </w:trPr>
        <w:tc>
          <w:tcPr>
            <w:tcW w:w="840" w:type="dxa"/>
            <w:vAlign w:val="bottom"/>
          </w:tcPr>
          <w:p>
            <w:pPr>
              <w:spacing w:after="0"/>
              <w:rPr>
                <w:sz w:val="14"/>
                <w:szCs w:val="14"/>
                <w:color w:val="auto"/>
              </w:rPr>
            </w:pPr>
          </w:p>
        </w:tc>
        <w:tc>
          <w:tcPr>
            <w:tcW w:w="5940" w:type="dxa"/>
            <w:vAlign w:val="bottom"/>
            <w:gridSpan w:val="18"/>
          </w:tcPr>
          <w:p>
            <w:pPr>
              <w:spacing w:after="0" w:line="162" w:lineRule="exact"/>
              <w:rPr>
                <w:rFonts w:ascii="Arial" w:cs="Arial" w:eastAsia="Arial" w:hAnsi="Arial"/>
                <w:sz w:val="15"/>
                <w:szCs w:val="15"/>
                <w:color w:val="0000EE"/>
              </w:rPr>
            </w:pPr>
            <w:hyperlink r:id="rId94">
              <w:r>
                <w:rPr>
                  <w:rFonts w:ascii="Arial" w:cs="Arial" w:eastAsia="Arial" w:hAnsi="Arial"/>
                  <w:sz w:val="15"/>
                  <w:szCs w:val="15"/>
                  <w:color w:val="0000EE"/>
                </w:rPr>
                <w:t>favor of City National Bank of Florida.</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840" w:type="dxa"/>
            <w:vAlign w:val="bottom"/>
          </w:tcPr>
          <w:p>
            <w:pPr>
              <w:jc w:val="center"/>
              <w:ind w:right="204"/>
              <w:spacing w:after="0" w:line="162" w:lineRule="exact"/>
              <w:rPr>
                <w:sz w:val="20"/>
                <w:szCs w:val="20"/>
                <w:color w:val="auto"/>
              </w:rPr>
            </w:pPr>
            <w:r>
              <w:rPr>
                <w:rFonts w:ascii="Arial" w:cs="Arial" w:eastAsia="Arial" w:hAnsi="Arial"/>
                <w:sz w:val="15"/>
                <w:szCs w:val="15"/>
                <w:color w:val="auto"/>
                <w:w w:val="95"/>
              </w:rPr>
              <w:t>31.1</w:t>
            </w:r>
          </w:p>
        </w:tc>
        <w:tc>
          <w:tcPr>
            <w:tcW w:w="5940" w:type="dxa"/>
            <w:vAlign w:val="bottom"/>
            <w:gridSpan w:val="18"/>
          </w:tcPr>
          <w:p>
            <w:pPr>
              <w:spacing w:after="0" w:line="162" w:lineRule="exact"/>
              <w:rPr>
                <w:rFonts w:ascii="Arial" w:cs="Arial" w:eastAsia="Arial" w:hAnsi="Arial"/>
                <w:sz w:val="15"/>
                <w:szCs w:val="15"/>
                <w:color w:val="0000EE"/>
                <w:w w:val="97"/>
              </w:rPr>
            </w:pPr>
            <w:hyperlink w:anchor="page64">
              <w:r>
                <w:rPr>
                  <w:rFonts w:ascii="Arial" w:cs="Arial" w:eastAsia="Arial" w:hAnsi="Arial"/>
                  <w:sz w:val="15"/>
                  <w:szCs w:val="15"/>
                  <w:color w:val="0000EE"/>
                  <w:w w:val="97"/>
                </w:rPr>
                <w:t>Certification of Principal Executive Officer Pursuant to Rules 13a-14(a) and 15d-14(a) under</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640" w:type="dxa"/>
            <w:vAlign w:val="bottom"/>
            <w:tcBorders>
              <w:top w:val="single" w:sz="8" w:color="0000EE"/>
            </w:tcBorders>
            <w:gridSpan w:val="15"/>
          </w:tcPr>
          <w:p>
            <w:pPr>
              <w:spacing w:after="0" w:line="162" w:lineRule="exact"/>
              <w:rPr>
                <w:rFonts w:ascii="Arial" w:cs="Arial" w:eastAsia="Arial" w:hAnsi="Arial"/>
                <w:sz w:val="15"/>
                <w:szCs w:val="15"/>
                <w:color w:val="0000EE"/>
                <w:w w:val="92"/>
              </w:rPr>
            </w:pPr>
            <w:hyperlink w:anchor="page64">
              <w:r>
                <w:rPr>
                  <w:rFonts w:ascii="Arial" w:cs="Arial" w:eastAsia="Arial" w:hAnsi="Arial"/>
                  <w:sz w:val="15"/>
                  <w:szCs w:val="15"/>
                  <w:color w:val="0000EE"/>
                  <w:w w:val="92"/>
                </w:rPr>
                <w:t>the Securities Exchange Act of 1934, as Adopted Pursuant to Section 302 of the Sarbanes-</w:t>
              </w:r>
            </w:hyperlink>
          </w:p>
        </w:tc>
        <w:tc>
          <w:tcPr>
            <w:tcW w:w="30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180" w:type="dxa"/>
            <w:vAlign w:val="bottom"/>
            <w:tcBorders>
              <w:top w:val="single" w:sz="8" w:color="0000EE"/>
              <w:bottom w:val="single" w:sz="8" w:color="0000EE"/>
            </w:tcBorders>
            <w:gridSpan w:val="2"/>
          </w:tcPr>
          <w:p>
            <w:pPr>
              <w:spacing w:after="0" w:line="162" w:lineRule="exact"/>
              <w:rPr>
                <w:rFonts w:ascii="Arial" w:cs="Arial" w:eastAsia="Arial" w:hAnsi="Arial"/>
                <w:sz w:val="15"/>
                <w:szCs w:val="15"/>
                <w:color w:val="0000EE"/>
                <w:w w:val="94"/>
              </w:rPr>
            </w:pPr>
            <w:hyperlink w:anchor="page64">
              <w:r>
                <w:rPr>
                  <w:rFonts w:ascii="Arial" w:cs="Arial" w:eastAsia="Arial" w:hAnsi="Arial"/>
                  <w:sz w:val="15"/>
                  <w:szCs w:val="15"/>
                  <w:color w:val="0000EE"/>
                  <w:w w:val="94"/>
                </w:rPr>
                <w:t>Oxley Act of 2002.</w:t>
              </w:r>
            </w:hyperlink>
          </w:p>
        </w:tc>
        <w:tc>
          <w:tcPr>
            <w:tcW w:w="4300" w:type="dxa"/>
            <w:vAlign w:val="bottom"/>
            <w:tcBorders>
              <w:top w:val="single" w:sz="8" w:color="0000EE"/>
            </w:tcBorders>
            <w:gridSpan w:val="8"/>
          </w:tcPr>
          <w:p>
            <w:pPr>
              <w:spacing w:after="0"/>
              <w:rPr>
                <w:sz w:val="14"/>
                <w:szCs w:val="14"/>
                <w:color w:val="auto"/>
              </w:rPr>
            </w:pPr>
          </w:p>
        </w:tc>
        <w:tc>
          <w:tcPr>
            <w:tcW w:w="46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jc w:val="center"/>
              <w:ind w:right="204"/>
              <w:spacing w:after="0" w:line="162" w:lineRule="exact"/>
              <w:rPr>
                <w:sz w:val="20"/>
                <w:szCs w:val="20"/>
                <w:color w:val="auto"/>
              </w:rPr>
            </w:pPr>
            <w:r>
              <w:rPr>
                <w:rFonts w:ascii="Arial" w:cs="Arial" w:eastAsia="Arial" w:hAnsi="Arial"/>
                <w:sz w:val="15"/>
                <w:szCs w:val="15"/>
                <w:color w:val="auto"/>
                <w:w w:val="95"/>
              </w:rPr>
              <w:t>31.2</w:t>
            </w:r>
          </w:p>
        </w:tc>
        <w:tc>
          <w:tcPr>
            <w:tcW w:w="5600" w:type="dxa"/>
            <w:vAlign w:val="bottom"/>
            <w:tcBorders>
              <w:bottom w:val="single" w:sz="8" w:color="0000EE"/>
            </w:tcBorders>
            <w:gridSpan w:val="14"/>
          </w:tcPr>
          <w:p>
            <w:pPr>
              <w:spacing w:after="0" w:line="162" w:lineRule="exact"/>
              <w:rPr>
                <w:rFonts w:ascii="Arial" w:cs="Arial" w:eastAsia="Arial" w:hAnsi="Arial"/>
                <w:sz w:val="15"/>
                <w:szCs w:val="15"/>
                <w:color w:val="0000EE"/>
                <w:w w:val="92"/>
              </w:rPr>
            </w:pPr>
            <w:hyperlink w:anchor="page66">
              <w:r>
                <w:rPr>
                  <w:rFonts w:ascii="Arial" w:cs="Arial" w:eastAsia="Arial" w:hAnsi="Arial"/>
                  <w:sz w:val="15"/>
                  <w:szCs w:val="15"/>
                  <w:color w:val="0000EE"/>
                  <w:w w:val="92"/>
                </w:rPr>
                <w:t>Certification of Principal Financial Officer Pursuant to Rules 13a-14(a) and 15d-14(a) under</w:t>
              </w:r>
            </w:hyperlink>
          </w:p>
        </w:tc>
        <w:tc>
          <w:tcPr>
            <w:tcW w:w="34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5940" w:type="dxa"/>
            <w:vAlign w:val="bottom"/>
            <w:gridSpan w:val="18"/>
          </w:tcPr>
          <w:p>
            <w:pPr>
              <w:spacing w:after="0" w:line="162" w:lineRule="exact"/>
              <w:rPr>
                <w:rFonts w:ascii="Arial" w:cs="Arial" w:eastAsia="Arial" w:hAnsi="Arial"/>
                <w:sz w:val="15"/>
                <w:szCs w:val="15"/>
                <w:color w:val="0000EE"/>
                <w:w w:val="97"/>
              </w:rPr>
            </w:pPr>
            <w:hyperlink w:anchor="page66">
              <w:r>
                <w:rPr>
                  <w:rFonts w:ascii="Arial" w:cs="Arial" w:eastAsia="Arial" w:hAnsi="Arial"/>
                  <w:sz w:val="15"/>
                  <w:szCs w:val="15"/>
                  <w:color w:val="0000EE"/>
                  <w:w w:val="97"/>
                </w:rPr>
                <w:t>the Securities Exchange Act of 1934, as Adopted Pursuant to Section 302 of the Sarbanes-</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180" w:type="dxa"/>
            <w:vAlign w:val="bottom"/>
            <w:tcBorders>
              <w:top w:val="single" w:sz="8" w:color="0000EE"/>
              <w:bottom w:val="single" w:sz="8" w:color="0000EE"/>
            </w:tcBorders>
            <w:gridSpan w:val="2"/>
          </w:tcPr>
          <w:p>
            <w:pPr>
              <w:spacing w:after="0" w:line="162" w:lineRule="exact"/>
              <w:rPr>
                <w:rFonts w:ascii="Arial" w:cs="Arial" w:eastAsia="Arial" w:hAnsi="Arial"/>
                <w:sz w:val="15"/>
                <w:szCs w:val="15"/>
                <w:color w:val="0000EE"/>
                <w:w w:val="94"/>
              </w:rPr>
            </w:pPr>
            <w:hyperlink w:anchor="page66">
              <w:r>
                <w:rPr>
                  <w:rFonts w:ascii="Arial" w:cs="Arial" w:eastAsia="Arial" w:hAnsi="Arial"/>
                  <w:sz w:val="15"/>
                  <w:szCs w:val="15"/>
                  <w:color w:val="0000EE"/>
                  <w:w w:val="94"/>
                </w:rPr>
                <w:t>Oxley Act of 2002.</w:t>
              </w:r>
            </w:hyperlink>
          </w:p>
        </w:tc>
        <w:tc>
          <w:tcPr>
            <w:tcW w:w="4300" w:type="dxa"/>
            <w:vAlign w:val="bottom"/>
            <w:tcBorders>
              <w:top w:val="single" w:sz="8" w:color="0000EE"/>
            </w:tcBorders>
            <w:gridSpan w:val="8"/>
          </w:tcPr>
          <w:p>
            <w:pPr>
              <w:spacing w:after="0"/>
              <w:rPr>
                <w:sz w:val="14"/>
                <w:szCs w:val="14"/>
                <w:color w:val="auto"/>
              </w:rPr>
            </w:pPr>
          </w:p>
        </w:tc>
        <w:tc>
          <w:tcPr>
            <w:tcW w:w="46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jc w:val="center"/>
              <w:ind w:right="224"/>
              <w:spacing w:after="0" w:line="162" w:lineRule="exact"/>
              <w:rPr>
                <w:sz w:val="20"/>
                <w:szCs w:val="20"/>
                <w:color w:val="auto"/>
              </w:rPr>
            </w:pPr>
            <w:r>
              <w:rPr>
                <w:rFonts w:ascii="Arial" w:cs="Arial" w:eastAsia="Arial" w:hAnsi="Arial"/>
                <w:sz w:val="15"/>
                <w:szCs w:val="15"/>
                <w:color w:val="auto"/>
                <w:w w:val="96"/>
              </w:rPr>
              <w:t>32.1*</w:t>
            </w:r>
          </w:p>
        </w:tc>
        <w:tc>
          <w:tcPr>
            <w:tcW w:w="5940" w:type="dxa"/>
            <w:vAlign w:val="bottom"/>
            <w:gridSpan w:val="18"/>
          </w:tcPr>
          <w:p>
            <w:pPr>
              <w:spacing w:after="0" w:line="162" w:lineRule="exact"/>
              <w:rPr>
                <w:rFonts w:ascii="Arial" w:cs="Arial" w:eastAsia="Arial" w:hAnsi="Arial"/>
                <w:sz w:val="15"/>
                <w:szCs w:val="15"/>
                <w:color w:val="0000EE"/>
                <w:w w:val="98"/>
              </w:rPr>
            </w:pPr>
            <w:hyperlink w:anchor="page68">
              <w:r>
                <w:rPr>
                  <w:rFonts w:ascii="Arial" w:cs="Arial" w:eastAsia="Arial" w:hAnsi="Arial"/>
                  <w:sz w:val="15"/>
                  <w:szCs w:val="15"/>
                  <w:color w:val="0000EE"/>
                  <w:w w:val="98"/>
                </w:rPr>
                <w:t>Certification of Principal Executive Officer Pursuant to 18 U.S.C. Section 1350, as Adopted</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7"/>
          </w:tcPr>
          <w:p>
            <w:pPr>
              <w:spacing w:after="0" w:line="162" w:lineRule="exact"/>
              <w:rPr>
                <w:rFonts w:ascii="Arial" w:cs="Arial" w:eastAsia="Arial" w:hAnsi="Arial"/>
                <w:sz w:val="15"/>
                <w:szCs w:val="15"/>
                <w:color w:val="0000EE"/>
                <w:w w:val="91"/>
              </w:rPr>
            </w:pPr>
            <w:hyperlink w:anchor="page68">
              <w:r>
                <w:rPr>
                  <w:rFonts w:ascii="Arial" w:cs="Arial" w:eastAsia="Arial" w:hAnsi="Arial"/>
                  <w:sz w:val="15"/>
                  <w:szCs w:val="15"/>
                  <w:color w:val="0000EE"/>
                  <w:w w:val="91"/>
                </w:rPr>
                <w:t>Pursuant to Section 906 of the Sarbanes-Oxley Act of 2002.</w:t>
              </w:r>
            </w:hyperlink>
          </w:p>
        </w:tc>
        <w:tc>
          <w:tcPr>
            <w:tcW w:w="1920" w:type="dxa"/>
            <w:vAlign w:val="bottom"/>
            <w:tcBorders>
              <w:top w:val="single" w:sz="8" w:color="0000EE"/>
            </w:tcBorders>
            <w:gridSpan w:val="6"/>
          </w:tcPr>
          <w:p>
            <w:pPr>
              <w:spacing w:after="0"/>
              <w:rPr>
                <w:sz w:val="14"/>
                <w:szCs w:val="14"/>
                <w:color w:val="auto"/>
              </w:rPr>
            </w:pPr>
          </w:p>
        </w:tc>
        <w:tc>
          <w:tcPr>
            <w:tcW w:w="360" w:type="dxa"/>
            <w:vAlign w:val="bottom"/>
            <w:gridSpan w:val="5"/>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jc w:val="center"/>
              <w:ind w:right="224"/>
              <w:spacing w:after="0" w:line="162" w:lineRule="exact"/>
              <w:rPr>
                <w:sz w:val="20"/>
                <w:szCs w:val="20"/>
                <w:color w:val="auto"/>
              </w:rPr>
            </w:pPr>
            <w:r>
              <w:rPr>
                <w:rFonts w:ascii="Arial" w:cs="Arial" w:eastAsia="Arial" w:hAnsi="Arial"/>
                <w:sz w:val="15"/>
                <w:szCs w:val="15"/>
                <w:color w:val="auto"/>
                <w:w w:val="96"/>
              </w:rPr>
              <w:t>32.2*</w:t>
            </w:r>
          </w:p>
        </w:tc>
        <w:tc>
          <w:tcPr>
            <w:tcW w:w="5940" w:type="dxa"/>
            <w:vAlign w:val="bottom"/>
            <w:gridSpan w:val="18"/>
          </w:tcPr>
          <w:p>
            <w:pPr>
              <w:spacing w:after="0" w:line="162" w:lineRule="exact"/>
              <w:rPr>
                <w:rFonts w:ascii="Arial" w:cs="Arial" w:eastAsia="Arial" w:hAnsi="Arial"/>
                <w:sz w:val="15"/>
                <w:szCs w:val="15"/>
                <w:color w:val="0000EE"/>
                <w:w w:val="99"/>
              </w:rPr>
            </w:pPr>
            <w:hyperlink w:anchor="page70">
              <w:r>
                <w:rPr>
                  <w:rFonts w:ascii="Arial" w:cs="Arial" w:eastAsia="Arial" w:hAnsi="Arial"/>
                  <w:sz w:val="15"/>
                  <w:szCs w:val="15"/>
                  <w:color w:val="0000EE"/>
                  <w:w w:val="99"/>
                </w:rPr>
                <w:t>Certification of Principal Financial Officer Pursuant to 18 U.S.C. Section 1350, as Adopted</w:t>
              </w:r>
            </w:hyperlink>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6"/>
          </w:tcPr>
          <w:p>
            <w:pPr>
              <w:spacing w:after="0" w:line="162" w:lineRule="exact"/>
              <w:rPr>
                <w:rFonts w:ascii="Arial" w:cs="Arial" w:eastAsia="Arial" w:hAnsi="Arial"/>
                <w:sz w:val="15"/>
                <w:szCs w:val="15"/>
                <w:color w:val="0000EE"/>
                <w:w w:val="91"/>
              </w:rPr>
            </w:pPr>
            <w:hyperlink w:anchor="page70">
              <w:r>
                <w:rPr>
                  <w:rFonts w:ascii="Arial" w:cs="Arial" w:eastAsia="Arial" w:hAnsi="Arial"/>
                  <w:sz w:val="15"/>
                  <w:szCs w:val="15"/>
                  <w:color w:val="0000EE"/>
                  <w:w w:val="91"/>
                </w:rPr>
                <w:t>Pursuant to Section 906 of the Sarbanes-Oxley Act of 2002.</w:t>
              </w:r>
            </w:hyperlink>
          </w:p>
        </w:tc>
        <w:tc>
          <w:tcPr>
            <w:tcW w:w="1900" w:type="dxa"/>
            <w:vAlign w:val="bottom"/>
            <w:tcBorders>
              <w:top w:val="single" w:sz="8" w:color="0000EE"/>
            </w:tcBorders>
            <w:gridSpan w:val="5"/>
          </w:tcPr>
          <w:p>
            <w:pPr>
              <w:spacing w:after="0"/>
              <w:rPr>
                <w:sz w:val="14"/>
                <w:szCs w:val="14"/>
                <w:color w:val="auto"/>
              </w:rPr>
            </w:pPr>
          </w:p>
        </w:tc>
        <w:tc>
          <w:tcPr>
            <w:tcW w:w="400" w:type="dxa"/>
            <w:vAlign w:val="bottom"/>
            <w:gridSpan w:val="7"/>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5"/>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101.INS</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Instance Document</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1"/>
              </w:rPr>
              <w:t>101.SCH</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Taxonomy Extension Schema Document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5"/>
              </w:rPr>
              <w:t>101.CAL</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4"/>
              </w:rPr>
              <w:t>101.DEF</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2"/>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7"/>
              </w:rPr>
              <w:t>101.LAB</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Taxonomy Extension Label Linkbase Document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1"/>
        </w:trPr>
        <w:tc>
          <w:tcPr>
            <w:tcW w:w="840" w:type="dxa"/>
            <w:vAlign w:val="bottom"/>
          </w:tcPr>
          <w:p>
            <w:pPr>
              <w:jc w:val="center"/>
              <w:ind w:right="204"/>
              <w:spacing w:after="0"/>
              <w:rPr>
                <w:sz w:val="20"/>
                <w:szCs w:val="20"/>
                <w:color w:val="auto"/>
              </w:rPr>
            </w:pPr>
            <w:r>
              <w:rPr>
                <w:rFonts w:ascii="Arial" w:cs="Arial" w:eastAsia="Arial" w:hAnsi="Arial"/>
                <w:sz w:val="15"/>
                <w:szCs w:val="15"/>
                <w:color w:val="auto"/>
                <w:w w:val="93"/>
              </w:rPr>
              <w:t>101.PRE</w:t>
            </w:r>
          </w:p>
        </w:tc>
        <w:tc>
          <w:tcPr>
            <w:tcW w:w="5940" w:type="dxa"/>
            <w:vAlign w:val="bottom"/>
            <w:gridSpan w:val="18"/>
          </w:tcPr>
          <w:p>
            <w:pPr>
              <w:spacing w:after="0"/>
              <w:rPr>
                <w:sz w:val="20"/>
                <w:szCs w:val="20"/>
                <w:color w:val="auto"/>
              </w:rPr>
            </w:pPr>
            <w:r>
              <w:rPr>
                <w:rFonts w:ascii="Arial" w:cs="Arial" w:eastAsia="Arial" w:hAnsi="Arial"/>
                <w:sz w:val="15"/>
                <w:szCs w:val="15"/>
                <w:color w:val="auto"/>
              </w:rPr>
              <w:t>XBRL Taxonomy Extension Presentation Linkbase Document</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X</w:t>
      </w:r>
    </w:p>
    <w:p>
      <w:pPr>
        <w:spacing w:after="0" w:line="182" w:lineRule="exact"/>
        <w:rPr>
          <w:sz w:val="20"/>
          <w:szCs w:val="20"/>
          <w:color w:val="auto"/>
        </w:rPr>
      </w:pPr>
    </w:p>
    <w:p>
      <w:pPr>
        <w:sectPr>
          <w:pgSz w:w="11900" w:h="16838" w:orient="portrait"/>
          <w:cols w:equalWidth="0" w:num="2">
            <w:col w:w="9769" w:space="640"/>
            <w:col w:w="640"/>
          </w:cols>
          <w:pgMar w:left="311" w:top="307" w:right="539" w:bottom="1440" w:gutter="0" w:footer="0" w:header="0"/>
          <w:type w:val="continuous"/>
        </w:sectPr>
      </w:pPr>
    </w:p>
    <w:p>
      <w:pPr>
        <w:ind w:left="9" w:hanging="9"/>
        <w:spacing w:after="0" w:line="293" w:lineRule="auto"/>
        <w:tabs>
          <w:tab w:leader="none" w:pos="63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19" w:lineRule="exact"/>
        <w:rPr>
          <w:sz w:val="20"/>
          <w:szCs w:val="20"/>
          <w:color w:val="auto"/>
        </w:rPr>
      </w:pPr>
    </w:p>
    <w:p>
      <w:pPr>
        <w:jc w:val="center"/>
        <w:ind w:right="-228"/>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6851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49"/>
          </w:cols>
          <w:pgMar w:left="311" w:top="307" w:right="5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Venus Concept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20"/>
                <w:szCs w:val="20"/>
                <w:color w:val="auto"/>
              </w:rPr>
            </w:pPr>
            <w:r>
              <w:rPr>
                <w:rFonts w:ascii="Arial" w:cs="Arial" w:eastAsia="Arial" w:hAnsi="Arial"/>
                <w:sz w:val="15"/>
                <w:szCs w:val="15"/>
                <w:color w:val="auto"/>
              </w:rPr>
              <w:t>Date: August 13, 2020</w:t>
            </w:r>
          </w:p>
        </w:tc>
        <w:tc>
          <w:tcPr>
            <w:tcW w:w="3300" w:type="dxa"/>
            <w:vAlign w:val="bottom"/>
          </w:tcPr>
          <w:p>
            <w:pPr>
              <w:ind w:left="2940"/>
              <w:spacing w:after="0"/>
              <w:rPr>
                <w:sz w:val="20"/>
                <w:szCs w:val="20"/>
                <w:color w:val="auto"/>
              </w:rPr>
            </w:pPr>
            <w:r>
              <w:rPr>
                <w:rFonts w:ascii="Arial" w:cs="Arial" w:eastAsia="Arial" w:hAnsi="Arial"/>
                <w:sz w:val="15"/>
                <w:szCs w:val="15"/>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Domenic Serafino</w:t>
            </w:r>
          </w:p>
        </w:tc>
      </w:tr>
      <w:tr>
        <w:trPr>
          <w:trHeight w:val="182"/>
        </w:trPr>
        <w:tc>
          <w:tcPr>
            <w:tcW w:w="34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0"/>
              </w:rPr>
              <w:t>Domenic Serafino</w:t>
            </w:r>
          </w:p>
        </w:tc>
      </w:tr>
      <w:tr>
        <w:trPr>
          <w:trHeight w:val="195"/>
        </w:trPr>
        <w:tc>
          <w:tcPr>
            <w:tcW w:w="3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2"/>
              </w:rPr>
              <w:t>Chief Executive Officer</w:t>
            </w:r>
          </w:p>
        </w:tc>
      </w:tr>
      <w:tr>
        <w:trPr>
          <w:trHeight w:val="387"/>
        </w:trPr>
        <w:tc>
          <w:tcPr>
            <w:tcW w:w="3460" w:type="dxa"/>
            <w:vAlign w:val="bottom"/>
          </w:tcPr>
          <w:p>
            <w:pPr>
              <w:spacing w:after="0"/>
              <w:rPr>
                <w:sz w:val="20"/>
                <w:szCs w:val="20"/>
                <w:color w:val="auto"/>
              </w:rPr>
            </w:pPr>
            <w:r>
              <w:rPr>
                <w:rFonts w:ascii="Arial" w:cs="Arial" w:eastAsia="Arial" w:hAnsi="Arial"/>
                <w:sz w:val="15"/>
                <w:szCs w:val="15"/>
                <w:color w:val="auto"/>
              </w:rPr>
              <w:t>Date: August 13, 2020</w:t>
            </w:r>
          </w:p>
        </w:tc>
        <w:tc>
          <w:tcPr>
            <w:tcW w:w="3300" w:type="dxa"/>
            <w:vAlign w:val="bottom"/>
          </w:tcPr>
          <w:p>
            <w:pPr>
              <w:ind w:left="2940"/>
              <w:spacing w:after="0"/>
              <w:rPr>
                <w:sz w:val="20"/>
                <w:szCs w:val="20"/>
                <w:color w:val="auto"/>
              </w:rPr>
            </w:pPr>
            <w:r>
              <w:rPr>
                <w:rFonts w:ascii="Arial" w:cs="Arial" w:eastAsia="Arial" w:hAnsi="Arial"/>
                <w:sz w:val="15"/>
                <w:szCs w:val="15"/>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Domenic Della Penna</w:t>
            </w:r>
          </w:p>
        </w:tc>
      </w:tr>
      <w:tr>
        <w:trPr>
          <w:trHeight w:val="182"/>
        </w:trPr>
        <w:tc>
          <w:tcPr>
            <w:tcW w:w="34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1"/>
              </w:rPr>
              <w:t>Domenic Della Penna</w:t>
            </w:r>
          </w:p>
        </w:tc>
      </w:tr>
      <w:tr>
        <w:trPr>
          <w:trHeight w:val="195"/>
        </w:trPr>
        <w:tc>
          <w:tcPr>
            <w:tcW w:w="3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5"/>
                <w:szCs w:val="15"/>
                <w:b w:val="1"/>
                <w:bCs w:val="1"/>
                <w:color w:val="auto"/>
                <w:w w:val="94"/>
              </w:rPr>
              <w:t>Chief Financial Officer</w:t>
            </w:r>
          </w:p>
        </w:tc>
      </w:tr>
      <w:tr>
        <w:trPr>
          <w:trHeight w:val="545"/>
        </w:trPr>
        <w:tc>
          <w:tcPr>
            <w:tcW w:w="3460" w:type="dxa"/>
            <w:vAlign w:val="bottom"/>
          </w:tcPr>
          <w:p>
            <w:pPr>
              <w:spacing w:after="0"/>
              <w:rPr>
                <w:sz w:val="24"/>
                <w:szCs w:val="24"/>
                <w:color w:val="auto"/>
              </w:rPr>
            </w:pPr>
          </w:p>
        </w:tc>
        <w:tc>
          <w:tcPr>
            <w:tcW w:w="3300" w:type="dxa"/>
            <w:vAlign w:val="bottom"/>
          </w:tcPr>
          <w:p>
            <w:pPr>
              <w:jc w:val="right"/>
              <w:ind w:right="984"/>
              <w:spacing w:after="0"/>
              <w:rPr>
                <w:sz w:val="20"/>
                <w:szCs w:val="20"/>
                <w:color w:val="auto"/>
              </w:rPr>
            </w:pPr>
            <w:r>
              <w:rPr>
                <w:rFonts w:ascii="Arial" w:cs="Arial" w:eastAsia="Arial" w:hAnsi="Arial"/>
                <w:sz w:val="15"/>
                <w:szCs w:val="15"/>
                <w:color w:val="auto"/>
              </w:rPr>
              <w:t>62</w:t>
            </w:r>
          </w:p>
        </w:tc>
        <w:tc>
          <w:tcPr>
            <w:tcW w:w="4500" w:type="dxa"/>
            <w:vAlign w:val="bottom"/>
          </w:tcPr>
          <w:p>
            <w:pPr>
              <w:spacing w:after="0"/>
              <w:rPr>
                <w:sz w:val="24"/>
                <w:szCs w:val="24"/>
                <w:color w:val="auto"/>
              </w:rPr>
            </w:pPr>
          </w:p>
        </w:tc>
      </w:tr>
    </w:tbl>
    <w:p>
      <w:pPr>
        <w:sectPr>
          <w:pgSz w:w="11900" w:h="16838" w:orient="portrait"/>
          <w:cols w:equalWidth="0" w:num="1">
            <w:col w:w="11260"/>
          </w:cols>
          <w:pgMar w:left="320" w:top="307" w:right="319" w:bottom="1440" w:gutter="0" w:footer="0" w:header="0"/>
        </w:sectPr>
      </w:pPr>
    </w:p>
    <w:bookmarkStart w:id="63" w:name="page64"/>
    <w:bookmarkEnd w:id="63"/>
    <w:p>
      <w:pPr>
        <w:jc w:val="right"/>
        <w:spacing w:after="0"/>
        <w:rPr>
          <w:sz w:val="20"/>
          <w:szCs w:val="20"/>
          <w:color w:val="auto"/>
        </w:rPr>
      </w:pPr>
      <w:r>
        <w:rPr>
          <w:rFonts w:ascii="Arial" w:cs="Arial" w:eastAsia="Arial" w:hAnsi="Arial"/>
          <w:sz w:val="15"/>
          <w:szCs w:val="15"/>
          <w:b w:val="1"/>
          <w:bCs w:val="1"/>
          <w:color w:val="auto"/>
        </w:rPr>
        <w:t>Exhibit 31.1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PURSUANT TO SECTION 302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Domenic Serafino, certify that:</w:t>
      </w:r>
    </w:p>
    <w:p>
      <w:pPr>
        <w:spacing w:after="0" w:line="191"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Venus Concept Inc.;</w:t>
      </w:r>
    </w:p>
    <w:p>
      <w:pPr>
        <w:spacing w:after="0" w:line="190" w:lineRule="exact"/>
        <w:rPr>
          <w:rFonts w:ascii="Arial" w:cs="Arial" w:eastAsia="Arial" w:hAnsi="Arial"/>
          <w:sz w:val="15"/>
          <w:szCs w:val="15"/>
          <w:color w:val="auto"/>
        </w:rPr>
      </w:pPr>
    </w:p>
    <w:p>
      <w:pPr>
        <w:ind w:left="460" w:right="40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4"/>
          <w:szCs w:val="14"/>
          <w:color w:val="auto"/>
        </w:rPr>
      </w:pPr>
    </w:p>
    <w:p>
      <w:pPr>
        <w:ind w:left="460" w:right="240" w:hanging="457"/>
        <w:spacing w:after="0" w:line="278"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460" w:right="6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4"/>
          <w:szCs w:val="14"/>
          <w:color w:val="auto"/>
        </w:rPr>
      </w:pPr>
    </w:p>
    <w:p>
      <w:pPr>
        <w:ind w:left="940" w:right="320" w:hanging="460"/>
        <w:spacing w:after="0" w:line="265"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ind w:left="940" w:right="440" w:hanging="460"/>
        <w:spacing w:after="0" w:line="265"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940" w:right="46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ind w:left="940" w:right="24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5"/>
          <w:szCs w:val="15"/>
          <w:color w:val="auto"/>
        </w:rPr>
      </w:pPr>
    </w:p>
    <w:p>
      <w:pPr>
        <w:ind w:left="460" w:right="1420" w:hanging="457"/>
        <w:spacing w:after="0" w:line="31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4"/>
          <w:szCs w:val="14"/>
          <w:color w:val="auto"/>
        </w:rPr>
      </w:pPr>
    </w:p>
    <w:p>
      <w:pPr>
        <w:ind w:left="940" w:right="60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left="940" w:right="820" w:hanging="460"/>
        <w:spacing w:after="0" w:line="278" w:lineRule="auto"/>
        <w:tabs>
          <w:tab w:leader="none" w:pos="9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27"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315595</wp:posOffset>
            </wp:positionV>
            <wp:extent cx="716851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760"/>
          </w:cols>
          <w:pgMar w:left="580" w:top="681" w:right="559" w:bottom="1440" w:gutter="0" w:footer="0" w:header="0"/>
        </w:sectPr>
      </w:pPr>
    </w:p>
    <w:bookmarkStart w:id="64" w:name="page65"/>
    <w:bookmarkEnd w:id="64"/>
    <w:p>
      <w:pPr>
        <w:spacing w:after="0"/>
        <w:tabs>
          <w:tab w:leader="none" w:pos="4140" w:val="left"/>
          <w:tab w:leader="none" w:pos="5280" w:val="left"/>
        </w:tabs>
        <w:rPr>
          <w:sz w:val="20"/>
          <w:szCs w:val="20"/>
          <w:color w:val="auto"/>
        </w:rPr>
      </w:pPr>
      <w:r>
        <w:rPr>
          <w:rFonts w:ascii="Arial" w:cs="Arial" w:eastAsia="Arial" w:hAnsi="Arial"/>
          <w:sz w:val="15"/>
          <w:szCs w:val="15"/>
          <w:color w:val="auto"/>
        </w:rPr>
        <w:t>Date: August 13,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DOMENIC SERAFINO</w:t>
      </w:r>
    </w:p>
    <w:p>
      <w:pPr>
        <w:spacing w:after="0" w:line="28"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Name: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-106680</wp:posOffset>
            </wp:positionV>
            <wp:extent cx="24301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spacing w:after="0" w:line="2"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Chief Executive Officer</w:t>
      </w:r>
    </w:p>
    <w:p>
      <w:pPr>
        <w:spacing w:after="0" w:line="21" w:lineRule="exact"/>
        <w:rPr>
          <w:sz w:val="20"/>
          <w:szCs w:val="20"/>
          <w:color w:val="auto"/>
        </w:rPr>
      </w:pPr>
    </w:p>
    <w:p>
      <w:pPr>
        <w:jc w:val="right"/>
        <w:ind w:right="2819"/>
        <w:spacing w:after="0"/>
        <w:rPr>
          <w:sz w:val="20"/>
          <w:szCs w:val="20"/>
          <w:color w:val="auto"/>
        </w:rPr>
      </w:pPr>
      <w:r>
        <w:rPr>
          <w:rFonts w:ascii="Arial" w:cs="Arial" w:eastAsia="Arial" w:hAnsi="Arial"/>
          <w:sz w:val="15"/>
          <w:szCs w:val="15"/>
          <w:b w:val="1"/>
          <w:bCs w:val="1"/>
          <w:color w:val="auto"/>
        </w:rPr>
        <w:t>(Principal Executive Officer)</w:t>
      </w:r>
    </w:p>
    <w:p>
      <w:pPr>
        <w:sectPr>
          <w:pgSz w:w="11900" w:h="16838" w:orient="portrait"/>
          <w:cols w:equalWidth="0" w:num="1">
            <w:col w:w="9879"/>
          </w:cols>
          <w:pgMar w:left="580" w:top="504"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5"/>
          <w:szCs w:val="15"/>
          <w:b w:val="1"/>
          <w:bCs w:val="1"/>
          <w:color w:val="auto"/>
        </w:rPr>
        <w:t>Exhibit 31.2</w:t>
      </w:r>
    </w:p>
    <w:p>
      <w:pPr>
        <w:spacing w:after="0" w:line="282" w:lineRule="exact"/>
        <w:rPr>
          <w:sz w:val="20"/>
          <w:szCs w:val="20"/>
          <w:color w:val="auto"/>
        </w:rPr>
      </w:pPr>
    </w:p>
    <w:p>
      <w:pPr>
        <w:ind w:left="2080" w:right="2160" w:firstLine="564"/>
        <w:spacing w:after="0" w:line="284" w:lineRule="auto"/>
        <w:rPr>
          <w:sz w:val="20"/>
          <w:szCs w:val="20"/>
          <w:color w:val="auto"/>
        </w:rPr>
      </w:pPr>
      <w:r>
        <w:rPr>
          <w:rFonts w:ascii="Arial" w:cs="Arial" w:eastAsia="Arial" w:hAnsi="Arial"/>
          <w:sz w:val="15"/>
          <w:szCs w:val="15"/>
          <w:b w:val="1"/>
          <w:bCs w:val="1"/>
          <w:color w:val="auto"/>
        </w:rPr>
        <w:t>CERTIFICATION OF CHIEF FINANCIAL OFFICER PURSUANT TO SECTION 302 OF THE SARBANES-OXLEY ACT OF 2002</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I, Domenic Della Penna, certify that:</w:t>
      </w:r>
    </w:p>
    <w:p>
      <w:pPr>
        <w:spacing w:after="0" w:line="191" w:lineRule="exact"/>
        <w:rPr>
          <w:sz w:val="20"/>
          <w:szCs w:val="20"/>
          <w:color w:val="auto"/>
        </w:rPr>
      </w:pPr>
    </w:p>
    <w:p>
      <w:pPr>
        <w:ind w:left="460" w:hanging="457"/>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Venus Concept Inc.;</w:t>
      </w:r>
    </w:p>
    <w:p>
      <w:pPr>
        <w:spacing w:after="0" w:line="190" w:lineRule="exact"/>
        <w:rPr>
          <w:rFonts w:ascii="Arial" w:cs="Arial" w:eastAsia="Arial" w:hAnsi="Arial"/>
          <w:sz w:val="15"/>
          <w:szCs w:val="15"/>
          <w:color w:val="auto"/>
        </w:rPr>
      </w:pPr>
    </w:p>
    <w:p>
      <w:pPr>
        <w:ind w:left="460" w:right="400" w:hanging="457"/>
        <w:spacing w:after="0" w:line="315"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4"/>
          <w:szCs w:val="14"/>
          <w:color w:val="auto"/>
        </w:rPr>
      </w:pPr>
    </w:p>
    <w:p>
      <w:pPr>
        <w:ind w:left="460" w:right="240" w:hanging="457"/>
        <w:spacing w:after="0" w:line="278"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460" w:right="80" w:hanging="457"/>
        <w:spacing w:after="0" w:line="315"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4"/>
          <w:szCs w:val="14"/>
          <w:color w:val="auto"/>
        </w:rPr>
      </w:pPr>
    </w:p>
    <w:p>
      <w:pPr>
        <w:ind w:left="940" w:right="320" w:hanging="460"/>
        <w:spacing w:after="0" w:line="265"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ind w:left="940" w:right="440" w:hanging="460"/>
        <w:spacing w:after="0" w:line="265"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940" w:right="460" w:hanging="460"/>
        <w:spacing w:after="0" w:line="278"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ind w:left="940" w:right="240" w:hanging="460"/>
        <w:spacing w:after="0" w:line="278"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5"/>
          <w:szCs w:val="15"/>
          <w:color w:val="auto"/>
        </w:rPr>
      </w:pPr>
    </w:p>
    <w:p>
      <w:pPr>
        <w:ind w:left="460" w:right="1420" w:hanging="457"/>
        <w:spacing w:after="0" w:line="315"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4"/>
          <w:szCs w:val="14"/>
          <w:color w:val="auto"/>
        </w:rPr>
      </w:pPr>
    </w:p>
    <w:p>
      <w:pPr>
        <w:ind w:left="940" w:right="600" w:hanging="460"/>
        <w:spacing w:after="0" w:line="278"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left="940" w:right="820" w:hanging="460"/>
        <w:spacing w:after="0" w:line="278" w:lineRule="auto"/>
        <w:tabs>
          <w:tab w:leader="none" w:pos="9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62865</wp:posOffset>
            </wp:positionV>
            <wp:extent cx="716851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0760"/>
          </w:cols>
          <w:pgMar w:left="580" w:top="931" w:right="559" w:bottom="1440" w:gutter="0" w:footer="0" w:header="0"/>
        </w:sectPr>
      </w:pPr>
    </w:p>
    <w:bookmarkStart w:id="66" w:name="page67"/>
    <w:bookmarkEnd w:id="66"/>
    <w:p>
      <w:pPr>
        <w:spacing w:after="0"/>
        <w:tabs>
          <w:tab w:leader="none" w:pos="4140" w:val="left"/>
          <w:tab w:leader="none" w:pos="4900" w:val="left"/>
        </w:tabs>
        <w:rPr>
          <w:sz w:val="20"/>
          <w:szCs w:val="20"/>
          <w:color w:val="auto"/>
        </w:rPr>
      </w:pPr>
      <w:r>
        <w:rPr>
          <w:rFonts w:ascii="Arial" w:cs="Arial" w:eastAsia="Arial" w:hAnsi="Arial"/>
          <w:sz w:val="15"/>
          <w:szCs w:val="15"/>
          <w:color w:val="auto"/>
        </w:rPr>
        <w:t>Date: August 13,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DOMENIC DELLA PENNA</w:t>
      </w:r>
    </w:p>
    <w:p>
      <w:pPr>
        <w:spacing w:after="0" w:line="28"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-99695</wp:posOffset>
            </wp:positionV>
            <wp:extent cx="24301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2430145" cy="6985"/>
                    </a:xfrm>
                    <a:prstGeom prst="rect">
                      <a:avLst/>
                    </a:prstGeom>
                    <a:noFill/>
                  </pic:spPr>
                </pic:pic>
              </a:graphicData>
            </a:graphic>
          </wp:anchor>
        </w:drawing>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Chief Financial Officer</w:t>
      </w:r>
    </w:p>
    <w:p>
      <w:pPr>
        <w:spacing w:after="0" w:line="21" w:lineRule="exact"/>
        <w:rPr>
          <w:sz w:val="20"/>
          <w:szCs w:val="20"/>
          <w:color w:val="auto"/>
        </w:rPr>
      </w:pPr>
    </w:p>
    <w:p>
      <w:pPr>
        <w:jc w:val="right"/>
        <w:ind w:right="2959"/>
        <w:spacing w:after="0"/>
        <w:rPr>
          <w:sz w:val="20"/>
          <w:szCs w:val="20"/>
          <w:color w:val="auto"/>
        </w:rPr>
      </w:pPr>
      <w:r>
        <w:rPr>
          <w:rFonts w:ascii="Arial" w:cs="Arial" w:eastAsia="Arial" w:hAnsi="Arial"/>
          <w:sz w:val="15"/>
          <w:szCs w:val="15"/>
          <w:b w:val="1"/>
          <w:bCs w:val="1"/>
          <w:color w:val="auto"/>
        </w:rPr>
        <w:t>(Principal Financial Officer)</w:t>
      </w:r>
    </w:p>
    <w:p>
      <w:pPr>
        <w:sectPr>
          <w:pgSz w:w="11900" w:h="16838" w:orient="portrait"/>
          <w:cols w:equalWidth="0" w:num="1">
            <w:col w:w="9879"/>
          </w:cols>
          <w:pgMar w:left="580" w:top="504" w:right="1440" w:bottom="1440" w:gutter="0" w:footer="0" w:header="0"/>
        </w:sectPr>
      </w:pPr>
    </w:p>
    <w:bookmarkStart w:id="67" w:name="page68"/>
    <w:bookmarkEnd w:id="67"/>
    <w:p>
      <w:pPr>
        <w:ind w:left="10100"/>
        <w:spacing w:after="0"/>
        <w:rPr>
          <w:sz w:val="20"/>
          <w:szCs w:val="20"/>
          <w:color w:val="auto"/>
        </w:rPr>
      </w:pPr>
      <w:r>
        <w:rPr>
          <w:rFonts w:ascii="Arial" w:cs="Arial" w:eastAsia="Arial" w:hAnsi="Arial"/>
          <w:sz w:val="16"/>
          <w:szCs w:val="16"/>
          <w:b w:val="1"/>
          <w:bCs w:val="1"/>
          <w:color w:val="auto"/>
        </w:rPr>
        <w:t>Exhibit 32.1</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right="180" w:firstLine="866"/>
        <w:spacing w:after="0" w:line="257"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Domenic Serafino, the Chief Executive Officer of Venus Concept Inc.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certify, that, to my knowledge:</w:t>
      </w:r>
    </w:p>
    <w:p>
      <w:pPr>
        <w:spacing w:after="0" w:line="145" w:lineRule="exact"/>
        <w:rPr>
          <w:sz w:val="20"/>
          <w:szCs w:val="20"/>
          <w:color w:val="auto"/>
        </w:rPr>
      </w:pPr>
    </w:p>
    <w:p>
      <w:pPr>
        <w:ind w:right="380" w:firstLine="857"/>
        <w:spacing w:after="0" w:line="262" w:lineRule="auto"/>
        <w:tabs>
          <w:tab w:leader="none" w:pos="208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June 30, 2020 (the “</w:t>
      </w:r>
      <w:r>
        <w:rPr>
          <w:rFonts w:ascii="Arial" w:cs="Arial" w:eastAsia="Arial" w:hAnsi="Arial"/>
          <w:sz w:val="17"/>
          <w:szCs w:val="17"/>
          <w:b w:val="1"/>
          <w:bCs w:val="1"/>
          <w:color w:val="auto"/>
        </w:rPr>
        <w:t>Report</w:t>
      </w:r>
      <w:r>
        <w:rPr>
          <w:rFonts w:ascii="Arial" w:cs="Arial" w:eastAsia="Arial" w:hAnsi="Arial"/>
          <w:sz w:val="17"/>
          <w:szCs w:val="17"/>
          <w:color w:val="auto"/>
        </w:rPr>
        <w:t>”) of the Company fully complies with the requirements of Section 13(a) of the Securities Exchange Act of 1934; and</w:t>
      </w:r>
    </w:p>
    <w:p>
      <w:pPr>
        <w:spacing w:after="0" w:line="145" w:lineRule="exact"/>
        <w:rPr>
          <w:rFonts w:ascii="Arial" w:cs="Arial" w:eastAsia="Arial" w:hAnsi="Arial"/>
          <w:sz w:val="17"/>
          <w:szCs w:val="17"/>
          <w:color w:val="auto"/>
        </w:rPr>
      </w:pPr>
    </w:p>
    <w:p>
      <w:pPr>
        <w:ind w:left="2080" w:hanging="1223"/>
        <w:spacing w:after="0"/>
        <w:tabs>
          <w:tab w:leader="none" w:pos="2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6851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20"/>
          </w:cols>
          <w:pgMar w:left="320" w:top="995" w:right="559" w:bottom="1440" w:gutter="0" w:footer="0" w:header="0"/>
        </w:sectPr>
      </w:pPr>
    </w:p>
    <w:bookmarkStart w:id="68" w:name="page69"/>
    <w:bookmarkEnd w:id="68"/>
    <w:p>
      <w:pPr>
        <w:spacing w:after="0"/>
        <w:tabs>
          <w:tab w:leader="none" w:pos="3320" w:val="left"/>
          <w:tab w:leader="none" w:pos="4560" w:val="left"/>
        </w:tabs>
        <w:rPr>
          <w:sz w:val="20"/>
          <w:szCs w:val="20"/>
          <w:color w:val="auto"/>
        </w:rPr>
      </w:pPr>
      <w:r>
        <w:rPr>
          <w:rFonts w:ascii="Arial" w:cs="Arial" w:eastAsia="Arial" w:hAnsi="Arial"/>
          <w:sz w:val="17"/>
          <w:szCs w:val="17"/>
          <w:color w:val="auto"/>
        </w:rPr>
        <w:t>Date: August 13,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DOMENIC SERAFINO</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Name: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-111760</wp:posOffset>
            </wp:positionV>
            <wp:extent cx="246634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2466340" cy="6985"/>
                    </a:xfrm>
                    <a:prstGeom prst="rect">
                      <a:avLst/>
                    </a:prstGeom>
                    <a:noFill/>
                  </pic:spPr>
                </pic:pic>
              </a:graphicData>
            </a:graphic>
          </wp:anchor>
        </w:drawing>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Chief Executive Officer</w:t>
      </w:r>
    </w:p>
    <w:p>
      <w:pPr>
        <w:spacing w:after="0" w:line="16" w:lineRule="exact"/>
        <w:rPr>
          <w:sz w:val="20"/>
          <w:szCs w:val="20"/>
          <w:color w:val="auto"/>
        </w:rPr>
      </w:pPr>
    </w:p>
    <w:p>
      <w:pPr>
        <w:jc w:val="right"/>
        <w:ind w:right="3399"/>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9839"/>
          </w:cols>
          <w:pgMar w:left="620" w:top="511" w:right="1440" w:bottom="1440" w:gutter="0" w:footer="0" w:header="0"/>
        </w:sectPr>
      </w:pPr>
    </w:p>
    <w:bookmarkStart w:id="69" w:name="page70"/>
    <w:bookmarkEnd w:id="69"/>
    <w:p>
      <w:pPr>
        <w:ind w:left="1010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Certification of Principal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right="60" w:firstLine="866"/>
        <w:spacing w:after="0" w:line="257"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Domenic Della Pena, the Chief Financial Officer of Venus Concept Inc.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certify, that, to my knowledge:</w:t>
      </w:r>
    </w:p>
    <w:p>
      <w:pPr>
        <w:spacing w:after="0" w:line="145" w:lineRule="exact"/>
        <w:rPr>
          <w:sz w:val="20"/>
          <w:szCs w:val="20"/>
          <w:color w:val="auto"/>
        </w:rPr>
      </w:pPr>
    </w:p>
    <w:p>
      <w:pPr>
        <w:ind w:right="380" w:firstLine="857"/>
        <w:spacing w:after="0" w:line="262" w:lineRule="auto"/>
        <w:tabs>
          <w:tab w:leader="none" w:pos="208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June 30, 2020 (the “</w:t>
      </w:r>
      <w:r>
        <w:rPr>
          <w:rFonts w:ascii="Arial" w:cs="Arial" w:eastAsia="Arial" w:hAnsi="Arial"/>
          <w:sz w:val="17"/>
          <w:szCs w:val="17"/>
          <w:b w:val="1"/>
          <w:bCs w:val="1"/>
          <w:color w:val="auto"/>
        </w:rPr>
        <w:t>Report</w:t>
      </w:r>
      <w:r>
        <w:rPr>
          <w:rFonts w:ascii="Arial" w:cs="Arial" w:eastAsia="Arial" w:hAnsi="Arial"/>
          <w:sz w:val="17"/>
          <w:szCs w:val="17"/>
          <w:color w:val="auto"/>
        </w:rPr>
        <w:t>”) of the Company fully complies with the requirements of Section 13(a) of the Securities Exchange Act of 1934; and</w:t>
      </w:r>
    </w:p>
    <w:p>
      <w:pPr>
        <w:spacing w:after="0" w:line="145" w:lineRule="exact"/>
        <w:rPr>
          <w:rFonts w:ascii="Arial" w:cs="Arial" w:eastAsia="Arial" w:hAnsi="Arial"/>
          <w:sz w:val="17"/>
          <w:szCs w:val="17"/>
          <w:color w:val="auto"/>
        </w:rPr>
      </w:pPr>
    </w:p>
    <w:p>
      <w:pPr>
        <w:ind w:left="2080" w:hanging="1223"/>
        <w:spacing w:after="0"/>
        <w:tabs>
          <w:tab w:leader="none" w:pos="2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6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3988435</wp:posOffset>
            </wp:positionV>
            <wp:extent cx="716851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68515" cy="14605"/>
                    </a:xfrm>
                    <a:prstGeom prst="rect">
                      <a:avLst/>
                    </a:prstGeom>
                    <a:noFill/>
                  </pic:spPr>
                </pic:pic>
              </a:graphicData>
            </a:graphic>
          </wp:anchor>
        </w:drawing>
      </w:r>
    </w:p>
    <w:p>
      <w:pPr>
        <w:sectPr>
          <w:pgSz w:w="11900" w:h="16838" w:orient="portrait"/>
          <w:cols w:equalWidth="0" w:num="1">
            <w:col w:w="11020"/>
          </w:cols>
          <w:pgMar w:left="320" w:top="757" w:right="559" w:bottom="1440" w:gutter="0" w:footer="0" w:header="0"/>
        </w:sectPr>
      </w:pPr>
    </w:p>
    <w:bookmarkStart w:id="70" w:name="page71"/>
    <w:bookmarkEnd w:id="70"/>
    <w:p>
      <w:pPr>
        <w:spacing w:after="0" w:line="94" w:lineRule="exact"/>
        <w:rPr>
          <w:sz w:val="20"/>
          <w:szCs w:val="20"/>
          <w:color w:val="auto"/>
        </w:rPr>
      </w:pPr>
    </w:p>
    <w:p>
      <w:pPr>
        <w:spacing w:after="0"/>
        <w:tabs>
          <w:tab w:leader="none" w:pos="3380" w:val="left"/>
          <w:tab w:leader="none" w:pos="4200" w:val="left"/>
        </w:tabs>
        <w:rPr>
          <w:sz w:val="20"/>
          <w:szCs w:val="20"/>
          <w:color w:val="auto"/>
        </w:rPr>
      </w:pPr>
      <w:r>
        <w:rPr>
          <w:rFonts w:ascii="Arial" w:cs="Arial" w:eastAsia="Arial" w:hAnsi="Arial"/>
          <w:sz w:val="17"/>
          <w:szCs w:val="17"/>
          <w:color w:val="auto"/>
        </w:rPr>
        <w:t>Date: August 13,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DOMENIC DELLA PENNA</w:t>
      </w:r>
    </w:p>
    <w:p>
      <w:pPr>
        <w:spacing w:after="0" w:line="39" w:lineRule="exact"/>
        <w:rPr>
          <w:sz w:val="20"/>
          <w:szCs w:val="20"/>
          <w:color w:val="auto"/>
        </w:rPr>
      </w:pPr>
    </w:p>
    <w:p>
      <w:pPr>
        <w:jc w:val="right"/>
        <w:ind w:right="3459"/>
        <w:spacing w:after="0"/>
        <w:rPr>
          <w:sz w:val="20"/>
          <w:szCs w:val="20"/>
          <w:color w:val="auto"/>
        </w:rPr>
      </w:pPr>
      <w:r>
        <w:rPr>
          <w:rFonts w:ascii="Arial" w:cs="Arial" w:eastAsia="Arial" w:hAnsi="Arial"/>
          <w:sz w:val="17"/>
          <w:szCs w:val="17"/>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-118745</wp:posOffset>
            </wp:positionV>
            <wp:extent cx="254571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2545715" cy="6985"/>
                    </a:xfrm>
                    <a:prstGeom prst="rect">
                      <a:avLst/>
                    </a:prstGeom>
                    <a:noFill/>
                  </pic:spPr>
                </pic:pic>
              </a:graphicData>
            </a:graphic>
          </wp:anchor>
        </w:drawing>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Chief Financial Officer</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(Principal Financial Officer)</w:t>
      </w:r>
    </w:p>
    <w:sectPr>
      <w:pgSz w:w="11900" w:h="16838" w:orient="portrait"/>
      <w:cols w:equalWidth="0" w:num="1">
        <w:col w:w="9839"/>
      </w:cols>
      <w:pgMar w:left="6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Roman"/>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84" Type="http://schemas.openxmlformats.org/officeDocument/2006/relationships/hyperlink" Target="http://www.sec.gov/Archives/edgar/data/0001409269/000119312517311810/d448597dex31.htm" TargetMode="External"/><Relationship Id="rId85" Type="http://schemas.openxmlformats.org/officeDocument/2006/relationships/hyperlink" Target="http://www.sec.gov/Archives/edgar/data/0001409269/000119312519286952/d827576dex31.htm" TargetMode="External"/><Relationship Id="rId86" Type="http://schemas.openxmlformats.org/officeDocument/2006/relationships/hyperlink" Target="http://www.sec.gov/Archives/edgar/data/0001409269/000119312519286952/d827576dex32.htm" TargetMode="External"/><Relationship Id="rId87" Type="http://schemas.openxmlformats.org/officeDocument/2006/relationships/hyperlink" Target="http://www.sec.gov/Archives/edgar/data/1409269/000156459020025485/vero-ex41_74.htm" TargetMode="External"/><Relationship Id="rId88" Type="http://schemas.openxmlformats.org/officeDocument/2006/relationships/hyperlink" Target="http://www.sec.gov/Archives/edgar/data/0001409269/000119312517286792/d412930dex42.htm" TargetMode="External"/><Relationship Id="rId89" Type="http://schemas.openxmlformats.org/officeDocument/2006/relationships/hyperlink" Target="http://www.sec.gov/Archives/edgar/data/0001409269/000156459020014222/vero-ex43_458.htm" TargetMode="External"/><Relationship Id="rId90" Type="http://schemas.openxmlformats.org/officeDocument/2006/relationships/hyperlink" Target="http://www.sec.gov/Archives/edgar/data/1409269/000119312520170539/d853569dex101.htm" TargetMode="External"/><Relationship Id="rId91" Type="http://schemas.openxmlformats.org/officeDocument/2006/relationships/hyperlink" Target="http://www.sec.gov/Archives/edgar/data/1409269/000119312520170539/d853569dex102.htm" TargetMode="External"/><Relationship Id="rId92" Type="http://schemas.openxmlformats.org/officeDocument/2006/relationships/hyperlink" Target="http://www.sec.gov/Archives/edgar/data/0001409269/000119312520127865/d867207dex101.htm" TargetMode="External"/><Relationship Id="rId93" Type="http://schemas.openxmlformats.org/officeDocument/2006/relationships/hyperlink" Target="http://www.sec.gov/Archives/edgar/data/1409269/000119312520186843/d919443dex101.htm" TargetMode="External"/><Relationship Id="rId94" Type="http://schemas.openxmlformats.org/officeDocument/2006/relationships/hyperlink" Target="http://www.sec.gov/Archives/edgar/data/0001409269/000119312520127865/d8672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2020-08-13T15:43:06Z</dcterms:created>
  <dcterms:modified xsi:type="dcterms:W3CDTF">2020-08-13T15:43:06Z</dcterms:modified>
</cp:coreProperties>
</file>