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96520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20" w:right="1720" w:hanging="3712"/>
        <w:spacing w:after="0" w:line="345" w:lineRule="auto"/>
        <w:tabs>
          <w:tab w:leader="none" w:pos="5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52" w:lineRule="exact"/>
        <w:rPr>
          <w:sz w:val="24"/>
          <w:szCs w:val="24"/>
          <w:color w:val="auto"/>
        </w:rPr>
      </w:pPr>
    </w:p>
    <w:p>
      <w:pPr>
        <w:ind w:left="3320" w:right="1720" w:hanging="3312"/>
        <w:spacing w:after="0" w:line="328" w:lineRule="auto"/>
        <w:tabs>
          <w:tab w:leader="none" w:pos="51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spacing w:after="0" w:line="1" w:lineRule="exact"/>
        <w:rPr>
          <w:rFonts w:ascii="MS PGothic" w:cs="MS PGothic" w:eastAsia="MS PGothic" w:hAnsi="MS PGothic"/>
          <w:sz w:val="18"/>
          <w:szCs w:val="18"/>
          <w:color w:val="auto"/>
          <w:highlight w:val="black"/>
        </w:rPr>
      </w:pPr>
    </w:p>
    <w:p>
      <w:pPr>
        <w:ind w:left="42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Venus Concept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4" w:lineRule="exact"/>
        <w:rPr>
          <w:sz w:val="24"/>
          <w:szCs w:val="24"/>
          <w:color w:val="auto"/>
        </w:rPr>
      </w:pPr>
    </w:p>
    <w:tbl>
      <w:tblPr>
        <w:tblLayout w:type="fixed"/>
        <w:tblInd w:w="440" w:type="dxa"/>
        <w:tblCellMar>
          <w:top w:w="0" w:type="dxa"/>
          <w:left w:w="0" w:type="dxa"/>
          <w:bottom w:w="0" w:type="dxa"/>
          <w:right w:w="0" w:type="dxa"/>
        </w:tblCellMar>
      </w:tblPr>
      <w:tr>
        <w:trPr>
          <w:trHeight w:val="218"/>
        </w:trPr>
        <w:tc>
          <w:tcPr>
            <w:tcW w:w="3540" w:type="dxa"/>
            <w:vAlign w:val="bottom"/>
          </w:tcPr>
          <w:p>
            <w:pPr>
              <w:jc w:val="center"/>
              <w:ind w:left="122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40" w:type="dxa"/>
            <w:vAlign w:val="bottom"/>
          </w:tcPr>
          <w:p>
            <w:pPr>
              <w:jc w:val="center"/>
              <w:ind w:right="643"/>
              <w:spacing w:after="0"/>
              <w:rPr>
                <w:sz w:val="20"/>
                <w:szCs w:val="20"/>
                <w:color w:val="auto"/>
              </w:rPr>
            </w:pPr>
            <w:r>
              <w:rPr>
                <w:rFonts w:ascii="Times New Roman" w:cs="Times New Roman" w:eastAsia="Times New Roman" w:hAnsi="Times New Roman"/>
                <w:sz w:val="18"/>
                <w:szCs w:val="18"/>
                <w:b w:val="1"/>
                <w:bCs w:val="1"/>
                <w:color w:val="auto"/>
                <w:w w:val="98"/>
              </w:rPr>
              <w:t>06-1681204</w:t>
            </w:r>
          </w:p>
        </w:tc>
      </w:tr>
      <w:tr>
        <w:trPr>
          <w:trHeight w:val="135"/>
        </w:trPr>
        <w:tc>
          <w:tcPr>
            <w:tcW w:w="3540" w:type="dxa"/>
            <w:vAlign w:val="bottom"/>
          </w:tcPr>
          <w:p>
            <w:pPr>
              <w:jc w:val="center"/>
              <w:ind w:left="1244"/>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40" w:type="dxa"/>
            <w:vAlign w:val="bottom"/>
          </w:tcPr>
          <w:p>
            <w:pPr>
              <w:jc w:val="center"/>
              <w:ind w:right="643"/>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3540" w:type="dxa"/>
            <w:vAlign w:val="bottom"/>
          </w:tcPr>
          <w:p>
            <w:pPr>
              <w:jc w:val="center"/>
              <w:ind w:left="1224"/>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140" w:type="dxa"/>
            <w:vAlign w:val="bottom"/>
          </w:tcPr>
          <w:p>
            <w:pPr>
              <w:jc w:val="center"/>
              <w:ind w:right="643"/>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4"/>
        </w:trPr>
        <w:tc>
          <w:tcPr>
            <w:tcW w:w="3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235 Yorkland Blvd., Suite 900</w:t>
            </w:r>
          </w:p>
        </w:tc>
        <w:tc>
          <w:tcPr>
            <w:tcW w:w="4140" w:type="dxa"/>
            <w:vAlign w:val="bottom"/>
          </w:tcPr>
          <w:p>
            <w:pPr>
              <w:spacing w:after="0"/>
              <w:rPr>
                <w:sz w:val="22"/>
                <w:szCs w:val="22"/>
                <w:color w:val="auto"/>
              </w:rPr>
            </w:pPr>
          </w:p>
        </w:tc>
      </w:tr>
      <w:tr>
        <w:trPr>
          <w:trHeight w:val="216"/>
        </w:trPr>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2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Toronto, Ontario M2J 4Y8</w:t>
            </w:r>
          </w:p>
        </w:tc>
        <w:tc>
          <w:tcPr>
            <w:tcW w:w="4140" w:type="dxa"/>
            <w:vAlign w:val="bottom"/>
          </w:tcPr>
          <w:p>
            <w:pPr>
              <w:spacing w:after="0"/>
              <w:rPr>
                <w:sz w:val="18"/>
                <w:szCs w:val="18"/>
                <w:color w:val="auto"/>
              </w:rPr>
            </w:pPr>
          </w:p>
        </w:tc>
      </w:tr>
      <w:tr>
        <w:trPr>
          <w:trHeight w:val="218"/>
        </w:trPr>
        <w:tc>
          <w:tcPr>
            <w:tcW w:w="3540" w:type="dxa"/>
            <w:vAlign w:val="bottom"/>
          </w:tcPr>
          <w:p>
            <w:pPr>
              <w:spacing w:after="0"/>
              <w:rPr>
                <w:sz w:val="18"/>
                <w:szCs w:val="18"/>
                <w:color w:val="auto"/>
              </w:rPr>
            </w:pPr>
          </w:p>
        </w:tc>
        <w:tc>
          <w:tcPr>
            <w:tcW w:w="2480" w:type="dxa"/>
            <w:vAlign w:val="bottom"/>
            <w:gridSpan w:val="4"/>
          </w:tcPr>
          <w:p>
            <w:pPr>
              <w:jc w:val="center"/>
              <w:ind w:left="914"/>
              <w:spacing w:after="0"/>
              <w:rPr>
                <w:sz w:val="20"/>
                <w:szCs w:val="20"/>
                <w:color w:val="auto"/>
              </w:rPr>
            </w:pPr>
            <w:r>
              <w:rPr>
                <w:rFonts w:ascii="Times New Roman" w:cs="Times New Roman" w:eastAsia="Times New Roman" w:hAnsi="Times New Roman"/>
                <w:sz w:val="18"/>
                <w:szCs w:val="18"/>
                <w:b w:val="1"/>
                <w:bCs w:val="1"/>
                <w:color w:val="auto"/>
                <w:w w:val="99"/>
              </w:rPr>
              <w:t>(877) 848-8430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166"/>
        </w:trPr>
        <w:tc>
          <w:tcPr>
            <w:tcW w:w="10560" w:type="dxa"/>
            <w:vAlign w:val="bottom"/>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(Address including zip code, and telephone number including area code, of registrant’s principal executive offices)</w:t>
            </w:r>
          </w:p>
        </w:tc>
      </w:tr>
      <w:tr>
        <w:trPr>
          <w:trHeight w:val="264"/>
        </w:trPr>
        <w:tc>
          <w:tcPr>
            <w:tcW w:w="3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2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Restoration Robotics, Inc</w:t>
            </w:r>
          </w:p>
        </w:tc>
        <w:tc>
          <w:tcPr>
            <w:tcW w:w="4140" w:type="dxa"/>
            <w:vAlign w:val="bottom"/>
          </w:tcPr>
          <w:p>
            <w:pPr>
              <w:spacing w:after="0"/>
              <w:rPr>
                <w:sz w:val="22"/>
                <w:szCs w:val="22"/>
                <w:color w:val="auto"/>
              </w:rPr>
            </w:pPr>
          </w:p>
        </w:tc>
      </w:tr>
      <w:tr>
        <w:trPr>
          <w:trHeight w:val="216"/>
        </w:trPr>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128 Baytech Drive</w:t>
            </w:r>
          </w:p>
        </w:tc>
        <w:tc>
          <w:tcPr>
            <w:tcW w:w="4140" w:type="dxa"/>
            <w:vAlign w:val="bottom"/>
          </w:tcPr>
          <w:p>
            <w:pPr>
              <w:spacing w:after="0"/>
              <w:rPr>
                <w:sz w:val="18"/>
                <w:szCs w:val="18"/>
                <w:color w:val="auto"/>
              </w:rPr>
            </w:pPr>
          </w:p>
        </w:tc>
      </w:tr>
      <w:tr>
        <w:trPr>
          <w:trHeight w:val="216"/>
        </w:trPr>
        <w:tc>
          <w:tcPr>
            <w:tcW w:w="3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San Jose, CA 95134</w:t>
            </w:r>
          </w:p>
        </w:tc>
        <w:tc>
          <w:tcPr>
            <w:tcW w:w="4140" w:type="dxa"/>
            <w:vAlign w:val="bottom"/>
          </w:tcPr>
          <w:p>
            <w:pPr>
              <w:spacing w:after="0"/>
              <w:rPr>
                <w:sz w:val="18"/>
                <w:szCs w:val="18"/>
                <w:color w:val="auto"/>
              </w:rPr>
            </w:pPr>
          </w:p>
        </w:tc>
      </w:tr>
      <w:tr>
        <w:trPr>
          <w:trHeight w:val="238"/>
        </w:trPr>
        <w:tc>
          <w:tcPr>
            <w:tcW w:w="1056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r>
              <w:rPr>
                <w:rFonts w:ascii="Times New Roman" w:cs="Times New Roman" w:eastAsia="Times New Roman" w:hAnsi="Times New Roman"/>
                <w:sz w:val="18"/>
                <w:szCs w:val="18"/>
                <w:color w:val="auto"/>
                <w:w w:val="99"/>
              </w:rPr>
              <w:t>)</w:t>
            </w:r>
          </w:p>
        </w:tc>
      </w:tr>
      <w:tr>
        <w:trPr>
          <w:trHeight w:val="108"/>
        </w:trPr>
        <w:tc>
          <w:tcPr>
            <w:tcW w:w="35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140" w:type="dxa"/>
            <w:vAlign w:val="bottom"/>
          </w:tcPr>
          <w:p>
            <w:pPr>
              <w:spacing w:after="0"/>
              <w:rPr>
                <w:sz w:val="9"/>
                <w:szCs w:val="9"/>
                <w:color w:val="auto"/>
              </w:rPr>
            </w:pPr>
          </w:p>
        </w:tc>
      </w:tr>
      <w:tr>
        <w:trPr>
          <w:trHeight w:val="258"/>
        </w:trPr>
        <w:tc>
          <w:tcPr>
            <w:tcW w:w="3540" w:type="dxa"/>
            <w:vAlign w:val="bottom"/>
          </w:tcPr>
          <w:p>
            <w:pPr>
              <w:spacing w:after="0"/>
              <w:rPr>
                <w:sz w:val="22"/>
                <w:szCs w:val="22"/>
                <w:color w:val="auto"/>
              </w:rPr>
            </w:pPr>
          </w:p>
        </w:tc>
        <w:tc>
          <w:tcPr>
            <w:tcW w:w="7020" w:type="dxa"/>
            <w:vAlign w:val="bottom"/>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297"/>
        </w:trPr>
        <w:tc>
          <w:tcPr>
            <w:tcW w:w="3540" w:type="dxa"/>
            <w:vAlign w:val="bottom"/>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41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jc w:val="center"/>
              <w:ind w:left="564"/>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color w:val="auto"/>
              </w:rPr>
              <w:t>VERO</w:t>
            </w:r>
          </w:p>
        </w:tc>
        <w:tc>
          <w:tcPr>
            <w:tcW w:w="41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94" w:lineRule="exact"/>
        <w:rPr>
          <w:sz w:val="24"/>
          <w:szCs w:val="24"/>
          <w:color w:val="auto"/>
        </w:rPr>
      </w:pPr>
    </w:p>
    <w:p>
      <w:pPr>
        <w:ind w:right="160" w:firstLine="518"/>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207" w:lineRule="exact"/>
        <w:tabs>
          <w:tab w:leader="none" w:pos="820" w:val="left"/>
        </w:tabs>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8"/>
          <w:szCs w:val="18"/>
          <w:color w:val="auto"/>
        </w:rPr>
        <w:t>☐</w:t>
      </w:r>
    </w:p>
    <w:p>
      <w:pPr>
        <w:spacing w:after="0" w:line="82" w:lineRule="exact"/>
        <w:rPr>
          <w:sz w:val="24"/>
          <w:szCs w:val="24"/>
          <w:color w:val="auto"/>
        </w:rPr>
      </w:pPr>
    </w:p>
    <w:p>
      <w:pPr>
        <w:ind w:right="40" w:firstLine="518"/>
        <w:spacing w:after="0" w:line="22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firstLine="518"/>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9"/>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28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86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528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220" w:firstLine="518"/>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 w:lineRule="exact"/>
        <w:rPr>
          <w:sz w:val="24"/>
          <w:szCs w:val="24"/>
          <w:color w:val="auto"/>
        </w:rPr>
      </w:pPr>
    </w:p>
    <w:p>
      <w:pPr>
        <w:ind w:left="520" w:right="2300"/>
        <w:spacing w:after="0" w:line="27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7, 2019, the registrant had 29,667,622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377825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16" w:right="2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720" w:type="dxa"/>
            <w:vAlign w:val="bottom"/>
            <w:gridSpan w:val="5"/>
            <w:vMerge w:val="restart"/>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Information</w:t>
              </w:r>
            </w:hyperlink>
          </w:p>
        </w:tc>
        <w:tc>
          <w:tcPr>
            <w:tcW w:w="7640" w:type="dxa"/>
            <w:vAlign w:val="bottom"/>
            <w:gridSpan w:val="15"/>
            <w:vMerge w:val="restart"/>
          </w:tcPr>
          <w:p>
            <w:pPr>
              <w:spacing w:after="0"/>
              <w:rPr>
                <w:sz w:val="15"/>
                <w:szCs w:val="15"/>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4"/>
                <w:szCs w:val="14"/>
                <w:color w:val="auto"/>
              </w:rPr>
            </w:pPr>
          </w:p>
        </w:tc>
        <w:tc>
          <w:tcPr>
            <w:tcW w:w="1720" w:type="dxa"/>
            <w:vAlign w:val="bottom"/>
            <w:tcBorders>
              <w:bottom w:val="single" w:sz="8" w:color="0000EE"/>
            </w:tcBorders>
            <w:gridSpan w:val="5"/>
            <w:vMerge w:val="continue"/>
          </w:tcPr>
          <w:p>
            <w:pPr>
              <w:spacing w:after="0"/>
              <w:rPr>
                <w:sz w:val="14"/>
                <w:szCs w:val="14"/>
                <w:color w:val="auto"/>
              </w:rPr>
            </w:pPr>
          </w:p>
        </w:tc>
        <w:tc>
          <w:tcPr>
            <w:tcW w:w="7640" w:type="dxa"/>
            <w:vAlign w:val="bottom"/>
            <w:gridSpan w:val="15"/>
            <w:vMerge w:val="continue"/>
          </w:tcPr>
          <w:p>
            <w:pPr>
              <w:spacing w:after="0"/>
              <w:rPr>
                <w:sz w:val="14"/>
                <w:szCs w:val="14"/>
                <w:color w:val="auto"/>
              </w:rPr>
            </w:pPr>
          </w:p>
        </w:tc>
        <w:tc>
          <w:tcPr>
            <w:tcW w:w="680" w:type="dxa"/>
            <w:vAlign w:val="bottom"/>
            <w:tcBorders>
              <w:top w:val="single" w:sz="8" w:color="auto"/>
            </w:tcBorders>
          </w:tcPr>
          <w:p>
            <w:pPr>
              <w:jc w:val="right"/>
              <w:spacing w:after="0" w:line="170"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45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Condensed Consolidated Financial Statements (unaudited)</w:t>
              </w:r>
            </w:hyperlink>
          </w:p>
        </w:tc>
        <w:tc>
          <w:tcPr>
            <w:tcW w:w="4840" w:type="dxa"/>
            <w:vAlign w:val="bottom"/>
            <w:gridSpan w:val="5"/>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w:t>
              </w:r>
            </w:hyperlink>
          </w:p>
        </w:tc>
        <w:tc>
          <w:tcPr>
            <w:tcW w:w="6420" w:type="dxa"/>
            <w:vAlign w:val="bottom"/>
            <w:gridSpan w:val="10"/>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Statements of Comprehensive Loss</w:t>
              </w:r>
            </w:hyperlink>
          </w:p>
        </w:tc>
        <w:tc>
          <w:tcPr>
            <w:tcW w:w="4960" w:type="dxa"/>
            <w:vAlign w:val="bottom"/>
            <w:gridSpan w:val="6"/>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Stockholders’ Equity (Deficit)</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w:t>
              </w:r>
            </w:hyperlink>
          </w:p>
        </w:tc>
        <w:tc>
          <w:tcPr>
            <w:tcW w:w="4300" w:type="dxa"/>
            <w:vAlign w:val="bottom"/>
            <w:gridSpan w:val="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360" w:type="dxa"/>
            <w:vAlign w:val="bottom"/>
            <w:gridSpan w:val="20"/>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Condensed Consolidated Financial Statements</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80" w:type="dxa"/>
            <w:vAlign w:val="bottom"/>
            <w:gridSpan w:val="2"/>
            <w:vMerge w:val="continu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vMerge w:val="continue"/>
          </w:tcPr>
          <w:p>
            <w:pPr>
              <w:spacing w:after="0"/>
              <w:rPr>
                <w:sz w:val="17"/>
                <w:szCs w:val="17"/>
                <w:color w:val="auto"/>
              </w:rPr>
            </w:pPr>
          </w:p>
        </w:tc>
        <w:tc>
          <w:tcPr>
            <w:tcW w:w="68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b w:val="1"/>
                <w:bCs w:val="1"/>
                <w:color w:val="0000EE"/>
                <w:w w:val="99"/>
              </w:rPr>
            </w:pPr>
            <w:hyperlink w:anchor="page26">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46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b w:val="1"/>
                <w:bCs w:val="1"/>
                <w:color w:val="0000EE"/>
                <w:w w:val="99"/>
              </w:rPr>
            </w:pPr>
            <w:hyperlink w:anchor="page36">
              <w:r>
                <w:rPr>
                  <w:rFonts w:ascii="Times New Roman" w:cs="Times New Roman" w:eastAsia="Times New Roman" w:hAnsi="Times New Roman"/>
                  <w:sz w:val="18"/>
                  <w:szCs w:val="18"/>
                  <w:b w:val="1"/>
                  <w:bCs w:val="1"/>
                  <w:color w:val="0000EE"/>
                  <w:w w:val="99"/>
                </w:rPr>
                <w:t>Quantitative and Qualitative Disclosures About Market Risk</w:t>
              </w:r>
            </w:hyperlink>
          </w:p>
        </w:tc>
        <w:tc>
          <w:tcPr>
            <w:tcW w:w="4680" w:type="dxa"/>
            <w:vAlign w:val="bottom"/>
            <w:gridSpan w:val="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b w:val="1"/>
                <w:bCs w:val="1"/>
                <w:color w:val="0000EE"/>
                <w:w w:val="98"/>
              </w:rPr>
            </w:pPr>
            <w:hyperlink w:anchor="page36">
              <w:r>
                <w:rPr>
                  <w:rFonts w:ascii="Times New Roman" w:cs="Times New Roman" w:eastAsia="Times New Roman" w:hAnsi="Times New Roman"/>
                  <w:sz w:val="18"/>
                  <w:szCs w:val="18"/>
                  <w:b w:val="1"/>
                  <w:bCs w:val="1"/>
                  <w:color w:val="0000EE"/>
                  <w:w w:val="98"/>
                </w:rPr>
                <w:t>Controls and Procedures</w:t>
              </w:r>
            </w:hyperlink>
          </w:p>
        </w:tc>
        <w:tc>
          <w:tcPr>
            <w:tcW w:w="7440" w:type="dxa"/>
            <w:vAlign w:val="bottom"/>
            <w:gridSpan w:val="13"/>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60" w:type="dxa"/>
            <w:vAlign w:val="bottom"/>
            <w:gridSpan w:val="20"/>
          </w:tcPr>
          <w:p>
            <w:pPr>
              <w:spacing w:after="0" w:line="196" w:lineRule="exact"/>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OTHER INFORMATION</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w:t>
            </w:r>
          </w:p>
        </w:tc>
        <w:tc>
          <w:tcPr>
            <w:tcW w:w="20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b w:val="1"/>
                <w:bCs w:val="1"/>
                <w:color w:val="0000EE"/>
              </w:rPr>
            </w:pPr>
            <w:hyperlink w:anchor="page37">
              <w:r>
                <w:rPr>
                  <w:rFonts w:ascii="Times New Roman" w:cs="Times New Roman" w:eastAsia="Times New Roman" w:hAnsi="Times New Roman"/>
                  <w:sz w:val="18"/>
                  <w:szCs w:val="18"/>
                  <w:b w:val="1"/>
                  <w:bCs w:val="1"/>
                  <w:color w:val="0000EE"/>
                </w:rPr>
                <w:t>Legal Proceedings</w:t>
              </w:r>
            </w:hyperlink>
          </w:p>
        </w:tc>
        <w:tc>
          <w:tcPr>
            <w:tcW w:w="7340" w:type="dxa"/>
            <w:vAlign w:val="bottom"/>
            <w:gridSpan w:val="12"/>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1A.</w:t>
            </w:r>
          </w:p>
        </w:tc>
        <w:tc>
          <w:tcPr>
            <w:tcW w:w="14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b w:val="1"/>
                <w:bCs w:val="1"/>
                <w:color w:val="0000EE"/>
              </w:rPr>
            </w:pPr>
            <w:hyperlink w:anchor="page38">
              <w:r>
                <w:rPr>
                  <w:rFonts w:ascii="Times New Roman" w:cs="Times New Roman" w:eastAsia="Times New Roman" w:hAnsi="Times New Roman"/>
                  <w:sz w:val="18"/>
                  <w:szCs w:val="18"/>
                  <w:b w:val="1"/>
                  <w:bCs w:val="1"/>
                  <w:color w:val="0000EE"/>
                </w:rPr>
                <w:t>Risk Factors</w:t>
              </w:r>
            </w:hyperlink>
          </w:p>
        </w:tc>
        <w:tc>
          <w:tcPr>
            <w:tcW w:w="7960" w:type="dxa"/>
            <w:vAlign w:val="bottom"/>
            <w:gridSpan w:val="17"/>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120" w:type="dxa"/>
            <w:vAlign w:val="bottom"/>
            <w:gridSpan w:val="7"/>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2"/>
            <w:vMerge w:val="continue"/>
          </w:tcPr>
          <w:p>
            <w:pPr>
              <w:spacing w:after="0"/>
              <w:rPr>
                <w:sz w:val="17"/>
                <w:szCs w:val="17"/>
                <w:color w:val="auto"/>
              </w:rPr>
            </w:pPr>
          </w:p>
        </w:tc>
        <w:tc>
          <w:tcPr>
            <w:tcW w:w="458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b w:val="1"/>
                <w:bCs w:val="1"/>
                <w:color w:val="0000EE"/>
                <w:w w:val="99"/>
              </w:rPr>
            </w:pPr>
            <w:hyperlink w:anchor="page69">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4780" w:type="dxa"/>
            <w:vAlign w:val="bottom"/>
            <w:gridSpan w:val="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3.</w:t>
            </w:r>
          </w:p>
        </w:tc>
        <w:tc>
          <w:tcPr>
            <w:tcW w:w="24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9"/>
              </w:rPr>
            </w:pPr>
            <w:hyperlink w:anchor="page69">
              <w:r>
                <w:rPr>
                  <w:rFonts w:ascii="Times New Roman" w:cs="Times New Roman" w:eastAsia="Times New Roman" w:hAnsi="Times New Roman"/>
                  <w:sz w:val="18"/>
                  <w:szCs w:val="18"/>
                  <w:b w:val="1"/>
                  <w:bCs w:val="1"/>
                  <w:color w:val="0000EE"/>
                  <w:w w:val="99"/>
                </w:rPr>
                <w:t>Defaults Upon Senior Securities</w:t>
              </w:r>
            </w:hyperlink>
          </w:p>
        </w:tc>
        <w:tc>
          <w:tcPr>
            <w:tcW w:w="6900" w:type="dxa"/>
            <w:vAlign w:val="bottom"/>
            <w:gridSpan w:val="11"/>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4.</w:t>
            </w:r>
          </w:p>
        </w:tc>
        <w:tc>
          <w:tcPr>
            <w:tcW w:w="9360" w:type="dxa"/>
            <w:vAlign w:val="bottom"/>
            <w:gridSpan w:val="20"/>
          </w:tcPr>
          <w:p>
            <w:pPr>
              <w:spacing w:after="0" w:line="196" w:lineRule="exact"/>
              <w:rPr>
                <w:rFonts w:ascii="Times New Roman" w:cs="Times New Roman" w:eastAsia="Times New Roman" w:hAnsi="Times New Roman"/>
                <w:sz w:val="18"/>
                <w:szCs w:val="18"/>
                <w:b w:val="1"/>
                <w:bCs w:val="1"/>
                <w:color w:val="0000EE"/>
              </w:rPr>
            </w:pPr>
            <w:hyperlink w:anchor="page69">
              <w:r>
                <w:rPr>
                  <w:rFonts w:ascii="Times New Roman" w:cs="Times New Roman" w:eastAsia="Times New Roman" w:hAnsi="Times New Roman"/>
                  <w:sz w:val="18"/>
                  <w:szCs w:val="18"/>
                  <w:b w:val="1"/>
                  <w:bCs w:val="1"/>
                  <w:color w:val="0000EE"/>
                </w:rPr>
                <w:t>Mine Safety Disclosures</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5.</w:t>
            </w:r>
          </w:p>
        </w:tc>
        <w:tc>
          <w:tcPr>
            <w:tcW w:w="1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b w:val="1"/>
                <w:bCs w:val="1"/>
                <w:color w:val="0000EE"/>
                <w:w w:val="99"/>
              </w:rPr>
            </w:pPr>
            <w:hyperlink w:anchor="page69">
              <w:r>
                <w:rPr>
                  <w:rFonts w:ascii="Times New Roman" w:cs="Times New Roman" w:eastAsia="Times New Roman" w:hAnsi="Times New Roman"/>
                  <w:sz w:val="18"/>
                  <w:szCs w:val="18"/>
                  <w:b w:val="1"/>
                  <w:bCs w:val="1"/>
                  <w:color w:val="0000EE"/>
                  <w:w w:val="99"/>
                </w:rPr>
                <w:t>Other Information</w:t>
              </w:r>
            </w:hyperlink>
          </w:p>
        </w:tc>
        <w:tc>
          <w:tcPr>
            <w:tcW w:w="380" w:type="dxa"/>
            <w:vAlign w:val="bottom"/>
            <w:tcBorders>
              <w:top w:val="single" w:sz="8" w:color="0000EE"/>
            </w:tcBorders>
            <w:gridSpan w:val="2"/>
          </w:tcPr>
          <w:p>
            <w:pPr>
              <w:spacing w:after="0"/>
              <w:rPr>
                <w:sz w:val="17"/>
                <w:szCs w:val="17"/>
                <w:color w:val="auto"/>
              </w:rPr>
            </w:pPr>
          </w:p>
        </w:tc>
        <w:tc>
          <w:tcPr>
            <w:tcW w:w="7520" w:type="dxa"/>
            <w:vAlign w:val="bottom"/>
            <w:gridSpan w:val="14"/>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Item 6.</w:t>
            </w:r>
          </w:p>
        </w:tc>
        <w:tc>
          <w:tcPr>
            <w:tcW w:w="9360" w:type="dxa"/>
            <w:vAlign w:val="bottom"/>
            <w:gridSpan w:val="20"/>
          </w:tcPr>
          <w:p>
            <w:pPr>
              <w:spacing w:after="0" w:line="196" w:lineRule="exact"/>
              <w:rPr>
                <w:rFonts w:ascii="Times New Roman" w:cs="Times New Roman" w:eastAsia="Times New Roman" w:hAnsi="Times New Roman"/>
                <w:sz w:val="18"/>
                <w:szCs w:val="18"/>
                <w:b w:val="1"/>
                <w:bCs w:val="1"/>
                <w:color w:val="0000EE"/>
              </w:rPr>
            </w:pPr>
            <w:hyperlink w:anchor="page70">
              <w:r>
                <w:rPr>
                  <w:rFonts w:ascii="Times New Roman" w:cs="Times New Roman" w:eastAsia="Times New Roman" w:hAnsi="Times New Roman"/>
                  <w:sz w:val="18"/>
                  <w:szCs w:val="18"/>
                  <w:b w:val="1"/>
                  <w:bCs w:val="1"/>
                  <w:color w:val="0000EE"/>
                </w:rPr>
                <w:t>Exhibits</w:t>
              </w:r>
            </w:hyperlink>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196"/>
        </w:trPr>
        <w:tc>
          <w:tcPr>
            <w:tcW w:w="1380" w:type="dxa"/>
            <w:vAlign w:val="bottom"/>
            <w:gridSpan w:val="2"/>
          </w:tcPr>
          <w:p>
            <w:pPr>
              <w:spacing w:after="0" w:line="196" w:lineRule="exact"/>
              <w:rPr>
                <w:rFonts w:ascii="Times New Roman" w:cs="Times New Roman" w:eastAsia="Times New Roman" w:hAnsi="Times New Roman"/>
                <w:sz w:val="18"/>
                <w:szCs w:val="18"/>
                <w:b w:val="1"/>
                <w:bCs w:val="1"/>
                <w:color w:val="0000EE"/>
              </w:rPr>
            </w:pPr>
            <w:hyperlink w:anchor="page71">
              <w:r>
                <w:rPr>
                  <w:rFonts w:ascii="Times New Roman" w:cs="Times New Roman" w:eastAsia="Times New Roman" w:hAnsi="Times New Roman"/>
                  <w:sz w:val="18"/>
                  <w:szCs w:val="18"/>
                  <w:b w:val="1"/>
                  <w:bCs w:val="1"/>
                  <w:color w:val="0000EE"/>
                </w:rPr>
                <w:t>Signatures</w:t>
              </w:r>
            </w:hyperlink>
          </w:p>
        </w:tc>
        <w:tc>
          <w:tcPr>
            <w:tcW w:w="64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7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4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8,915</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receivable, net of allowance of $2,542 and $1,772 as of September 30, 2019 and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19,243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29,491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1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9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160" w:type="dxa"/>
            <w:vAlign w:val="bottom"/>
          </w:tcPr>
          <w:p>
            <w:pPr>
              <w:spacing w:after="0"/>
              <w:rPr>
                <w:sz w:val="18"/>
                <w:szCs w:val="18"/>
                <w:color w:val="auto"/>
              </w:rPr>
            </w:pPr>
          </w:p>
        </w:tc>
        <w:tc>
          <w:tcPr>
            <w:tcW w:w="3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Related party convertible promissory notes (Note 8)</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1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Subordinated promissory notes (Note 8)</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Current portion of long-term debt, net of discount of $789 and $617 as of September 30, 2019</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1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6"/>
                <w:szCs w:val="16"/>
                <w:color w:val="auto"/>
              </w:rPr>
              <w:t>and December 31, 2018, respectively</w:t>
            </w:r>
          </w:p>
        </w:tc>
        <w:tc>
          <w:tcPr>
            <w:tcW w:w="7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27,894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9,379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Long-term debt, net of discount of $485 and $746 as of September 30, 2019 and</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December 31, 2018</w:t>
            </w:r>
          </w:p>
        </w:tc>
        <w:tc>
          <w:tcPr>
            <w:tcW w:w="7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42,549</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29,391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6)</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Convertible preferred stock, $0.0001 par value; 10,000,000 shares authorized, and no shares issued</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outstanding as of September 30, 2019 and December 31, 2018</w:t>
            </w: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$0.0001 par value; 300,000,000 shares authorized as of September 30, 2019 and</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2018; 2,729,801 and 2,711,801 shares issued and outstanding as of</w:t>
            </w: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September 30, 2019 and December 31, 2018, respectively</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195,914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194,841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1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22"/>
        </w:trPr>
        <w:tc>
          <w:tcPr>
            <w:tcW w:w="7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(217,761)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(193,213)</w:t>
            </w:r>
          </w:p>
        </w:tc>
        <w:tc>
          <w:tcPr>
            <w:tcW w:w="0" w:type="dxa"/>
            <w:vAlign w:val="bottom"/>
          </w:tcPr>
          <w:p>
            <w:pPr>
              <w:spacing w:after="0"/>
              <w:rPr>
                <w:sz w:val="1"/>
                <w:szCs w:val="1"/>
                <w:color w:val="auto"/>
              </w:rPr>
            </w:pPr>
          </w:p>
        </w:tc>
      </w:tr>
      <w:tr>
        <w:trPr>
          <w:trHeight w:val="207"/>
        </w:trPr>
        <w:tc>
          <w:tcPr>
            <w:tcW w:w="71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7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(21,800)</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7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12,688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Merger related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24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8,597</w:t>
            </w: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25,592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(21,894)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(930)</w:t>
            </w:r>
          </w:p>
        </w:tc>
        <w:tc>
          <w:tcPr>
            <w:tcW w:w="3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(55)</w:t>
            </w: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(567)</w:t>
            </w:r>
          </w:p>
        </w:tc>
        <w:tc>
          <w:tcPr>
            <w:tcW w:w="0" w:type="dxa"/>
            <w:vAlign w:val="bottom"/>
          </w:tcPr>
          <w:p>
            <w:pPr>
              <w:spacing w:after="0"/>
              <w:rPr>
                <w:sz w:val="1"/>
                <w:szCs w:val="1"/>
                <w:color w:val="auto"/>
              </w:rPr>
            </w:pPr>
          </w:p>
        </w:tc>
      </w:tr>
      <w:tr>
        <w:trPr>
          <w:trHeight w:val="207"/>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24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240" w:type="dxa"/>
            <w:vAlign w:val="bottom"/>
            <w:tcBorders>
              <w:bottom w:val="single" w:sz="8" w:color="CFF0FC"/>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(2,621)</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before provision for income taxes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4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loss per share attributable to common stockholders, basic and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FF0FC"/>
            </w:tcBorders>
            <w:vMerge w:val="continue"/>
          </w:tcPr>
          <w:p>
            <w:pPr>
              <w:spacing w:after="0"/>
              <w:rPr>
                <w:sz w:val="20"/>
                <w:szCs w:val="20"/>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40" w:type="dxa"/>
            <w:vAlign w:val="bottom"/>
            <w:tcBorders>
              <w:bottom w:val="single" w:sz="8" w:color="CFF0FC"/>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loss per share attributable</w:t>
            </w: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9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 common stockholders, basic and diluted</w:t>
            </w: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2,728,888</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2,333,820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2,722,922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2,070,322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2100" w:type="dxa"/>
            <w:vAlign w:val="bottom"/>
            <w:gridSpan w:val="4"/>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9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8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1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w:t>
            </w:r>
          </w:p>
        </w:tc>
        <w:tc>
          <w:tcPr>
            <w:tcW w:w="700" w:type="dxa"/>
            <w:vAlign w:val="bottom"/>
            <w:shd w:val="clear" w:color="auto" w:fill="CFF0FC"/>
          </w:tcPr>
          <w:p>
            <w:pPr>
              <w:jc w:val="right"/>
              <w:ind w:right="54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(9,216)</w:t>
            </w:r>
          </w:p>
        </w:tc>
        <w:tc>
          <w:tcPr>
            <w:tcW w:w="24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9"/>
              </w:rPr>
              <w:t>(7,069)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(20,744)</w:t>
            </w:r>
          </w:p>
        </w:tc>
        <w:tc>
          <w:tcPr>
            <w:tcW w:w="100" w:type="dxa"/>
            <w:vAlign w:val="bottom"/>
            <w:shd w:val="clear" w:color="auto" w:fill="CFF0FC"/>
          </w:tcPr>
          <w:p>
            <w:pPr>
              <w:spacing w:after="0"/>
              <w:rPr>
                <w:sz w:val="18"/>
                <w:szCs w:val="18"/>
                <w:color w:val="auto"/>
              </w:rPr>
            </w:pPr>
          </w:p>
        </w:tc>
      </w:tr>
      <w:tr>
        <w:trPr>
          <w:trHeight w:val="213"/>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9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FF0FC"/>
          </w:tcPr>
          <w:p>
            <w:pPr>
              <w:spacing w:after="0"/>
              <w:rPr>
                <w:sz w:val="19"/>
                <w:szCs w:val="19"/>
                <w:color w:val="auto"/>
              </w:rPr>
            </w:pPr>
          </w:p>
        </w:tc>
      </w:tr>
      <w:tr>
        <w:trPr>
          <w:trHeight w:val="207"/>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Comprehensive loss</w:t>
            </w:r>
          </w:p>
        </w:tc>
        <w:tc>
          <w:tcPr>
            <w:tcW w:w="70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(9,173)</w:t>
            </w:r>
          </w:p>
        </w:tc>
        <w:tc>
          <w:tcPr>
            <w:tcW w:w="2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ind w:right="562"/>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9"/>
              </w:rPr>
              <w:t>(7,078)</w:t>
            </w:r>
          </w:p>
        </w:tc>
        <w:tc>
          <w:tcPr>
            <w:tcW w:w="24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(24,455)</w:t>
            </w:r>
          </w:p>
        </w:tc>
        <w:tc>
          <w:tcPr>
            <w:tcW w:w="2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(20,711)</w:t>
            </w:r>
          </w:p>
        </w:tc>
        <w:tc>
          <w:tcPr>
            <w:tcW w:w="100" w:type="dxa"/>
            <w:vAlign w:val="bottom"/>
          </w:tcPr>
          <w:p>
            <w:pPr>
              <w:spacing w:after="0"/>
              <w:rPr>
                <w:sz w:val="17"/>
                <w:szCs w:val="17"/>
                <w:color w:val="auto"/>
              </w:rPr>
            </w:pPr>
          </w:p>
        </w:tc>
      </w:tr>
      <w:tr>
        <w:trPr>
          <w:trHeight w:val="20"/>
        </w:trPr>
        <w:tc>
          <w:tcPr>
            <w:tcW w:w="59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4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40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2019</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2,723,801</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195,559</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(208,545)</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(12,982)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Release of restricted stock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(9,216)</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(9,216)</w:t>
            </w:r>
          </w:p>
        </w:tc>
        <w:tc>
          <w:tcPr>
            <w:tcW w:w="0" w:type="dxa"/>
            <w:vAlign w:val="bottom"/>
          </w:tcPr>
          <w:p>
            <w:pPr>
              <w:spacing w:after="0"/>
              <w:rPr>
                <w:sz w:val="1"/>
                <w:szCs w:val="1"/>
                <w:color w:val="auto"/>
              </w:rPr>
            </w:pPr>
          </w:p>
        </w:tc>
      </w:tr>
      <w:tr>
        <w:trPr>
          <w:trHeight w:val="156"/>
        </w:trPr>
        <w:tc>
          <w:tcPr>
            <w:tcW w:w="4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2019</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2,729,801</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195,914</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(217,761)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4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40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December 31, 2018</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2,711,801</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194,841</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(193,213)</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1,582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Release of restricted stock awards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18,000</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(24,548)</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(24,548)</w:t>
            </w:r>
          </w:p>
        </w:tc>
        <w:tc>
          <w:tcPr>
            <w:tcW w:w="0" w:type="dxa"/>
            <w:vAlign w:val="bottom"/>
          </w:tcPr>
          <w:p>
            <w:pPr>
              <w:spacing w:after="0"/>
              <w:rPr>
                <w:sz w:val="1"/>
                <w:szCs w:val="1"/>
                <w:color w:val="auto"/>
              </w:rPr>
            </w:pPr>
          </w:p>
        </w:tc>
      </w:tr>
      <w:tr>
        <w:trPr>
          <w:trHeight w:val="156"/>
        </w:trPr>
        <w:tc>
          <w:tcPr>
            <w:tcW w:w="4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2019</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2,729,801</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195,914</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(217,761)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(21,800)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4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40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June 30, 2018</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1,942,513</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178,799</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(178,162)</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603</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 exercises of vested options</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tcPr>
          <w:p>
            <w:pPr>
              <w:ind w:left="360"/>
              <w:spacing w:after="0" w:line="149" w:lineRule="exact"/>
              <w:rPr>
                <w:sz w:val="20"/>
                <w:szCs w:val="20"/>
                <w:color w:val="auto"/>
              </w:rPr>
            </w:pPr>
            <w:r>
              <w:rPr>
                <w:rFonts w:ascii="Times New Roman" w:cs="Times New Roman" w:eastAsia="Times New Roman" w:hAnsi="Times New Roman"/>
                <w:sz w:val="14"/>
                <w:szCs w:val="14"/>
                <w:color w:val="auto"/>
              </w:rPr>
              <w:t>our follow-on offering, net of underwriters'</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766,667</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15,614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15,615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offering costs of $1,635</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(7,069)</w:t>
            </w:r>
          </w:p>
        </w:tc>
        <w:tc>
          <w:tcPr>
            <w:tcW w:w="80" w:type="dxa"/>
            <w:vAlign w:val="bottom"/>
          </w:tcPr>
          <w:p>
            <w:pPr>
              <w:spacing w:after="0"/>
              <w:rPr>
                <w:sz w:val="14"/>
                <w:szCs w:val="14"/>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(7,069)</w:t>
            </w:r>
          </w:p>
        </w:tc>
        <w:tc>
          <w:tcPr>
            <w:tcW w:w="0" w:type="dxa"/>
            <w:vAlign w:val="bottom"/>
          </w:tcPr>
          <w:p>
            <w:pPr>
              <w:spacing w:after="0"/>
              <w:rPr>
                <w:sz w:val="1"/>
                <w:szCs w:val="1"/>
                <w:color w:val="auto"/>
              </w:rPr>
            </w:pPr>
          </w:p>
        </w:tc>
      </w:tr>
      <w:tr>
        <w:trPr>
          <w:trHeight w:val="156"/>
        </w:trPr>
        <w:tc>
          <w:tcPr>
            <w:tcW w:w="40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2018</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2,711,734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194,586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(185,231)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9,313</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2040" w:type="dxa"/>
            <w:vAlign w:val="bottom"/>
            <w:gridSpan w:val="3"/>
            <w:vMerge w:val="restart"/>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2040" w:type="dxa"/>
            <w:vAlign w:val="bottom"/>
            <w:tcBorders>
              <w:bottom w:val="single" w:sz="8" w:color="auto"/>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240" w:type="dxa"/>
            <w:vAlign w:val="bottom"/>
            <w:gridSpan w:val="2"/>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3"/>
                <w:szCs w:val="13"/>
                <w:color w:val="auto"/>
              </w:rPr>
            </w:pPr>
          </w:p>
        </w:tc>
        <w:tc>
          <w:tcPr>
            <w:tcW w:w="110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3"/>
                <w:szCs w:val="13"/>
                <w:color w:val="auto"/>
              </w:rPr>
            </w:pPr>
          </w:p>
        </w:tc>
        <w:tc>
          <w:tcPr>
            <w:tcW w:w="1080" w:type="dxa"/>
            <w:vAlign w:val="bottom"/>
            <w:gridSpan w:val="2"/>
          </w:tcPr>
          <w:p>
            <w:pPr>
              <w:jc w:val="center"/>
              <w:ind w:right="2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56"/>
        </w:trPr>
        <w:tc>
          <w:tcPr>
            <w:tcW w:w="4080" w:type="dxa"/>
            <w:vAlign w:val="bottom"/>
            <w:tcBorders>
              <w:top w:val="single" w:sz="8" w:color="CFF0FC"/>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Balance — December 31, 2017</w:t>
            </w:r>
          </w:p>
        </w:tc>
        <w:tc>
          <w:tcPr>
            <w:tcW w:w="10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1,929,352</w:t>
            </w:r>
          </w:p>
        </w:tc>
        <w:tc>
          <w:tcPr>
            <w:tcW w:w="2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177,757</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w:t>
            </w:r>
          </w:p>
        </w:tc>
        <w:tc>
          <w:tcPr>
            <w:tcW w:w="14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(164,487)</w:t>
            </w:r>
          </w:p>
        </w:tc>
        <w:tc>
          <w:tcPr>
            <w:tcW w:w="2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13,194</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pursuant to stock</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15,715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options exercises of vested options</w:t>
            </w:r>
          </w:p>
        </w:tc>
        <w:tc>
          <w:tcPr>
            <w:tcW w:w="10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80" w:type="dxa"/>
            <w:vAlign w:val="bottom"/>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warrants pursuant to</w:t>
            </w: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debt financing</w:t>
            </w:r>
          </w:p>
        </w:tc>
        <w:tc>
          <w:tcPr>
            <w:tcW w:w="124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080" w:type="dxa"/>
            <w:vAlign w:val="bottom"/>
            <w:shd w:val="clear" w:color="auto" w:fill="CFF0FC"/>
          </w:tcPr>
          <w:p>
            <w:pPr>
              <w:ind w:left="260"/>
              <w:spacing w:after="0" w:line="139" w:lineRule="exact"/>
              <w:rPr>
                <w:sz w:val="20"/>
                <w:szCs w:val="20"/>
                <w:color w:val="auto"/>
              </w:rPr>
            </w:pPr>
            <w:r>
              <w:rPr>
                <w:rFonts w:ascii="Times New Roman" w:cs="Times New Roman" w:eastAsia="Times New Roman" w:hAnsi="Times New Roman"/>
                <w:sz w:val="14"/>
                <w:szCs w:val="14"/>
                <w:color w:val="auto"/>
              </w:rPr>
              <w:t>Issuance of common stock in connection with</w:t>
            </w: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FF0FC"/>
          </w:tcPr>
          <w:p>
            <w:pPr>
              <w:ind w:left="360"/>
              <w:spacing w:after="0" w:line="149" w:lineRule="exact"/>
              <w:rPr>
                <w:sz w:val="20"/>
                <w:szCs w:val="20"/>
                <w:color w:val="auto"/>
              </w:rPr>
            </w:pPr>
            <w:r>
              <w:rPr>
                <w:rFonts w:ascii="Times New Roman" w:cs="Times New Roman" w:eastAsia="Times New Roman" w:hAnsi="Times New Roman"/>
                <w:sz w:val="14"/>
                <w:szCs w:val="14"/>
                <w:color w:val="auto"/>
              </w:rPr>
              <w:t>our follow-on offering, net of underwriters'</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766,667</w:t>
            </w:r>
          </w:p>
        </w:tc>
        <w:tc>
          <w:tcPr>
            <w:tcW w:w="2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15,614</w:t>
            </w: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15,615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commission and offering costs of $1,635</w:t>
            </w:r>
          </w:p>
        </w:tc>
        <w:tc>
          <w:tcPr>
            <w:tcW w:w="10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comprehensive gain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spacing w:after="0"/>
              <w:rPr>
                <w:sz w:val="14"/>
                <w:szCs w:val="14"/>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spacing w:after="0"/>
              <w:rPr>
                <w:sz w:val="14"/>
                <w:szCs w:val="14"/>
                <w:color w:val="auto"/>
              </w:rPr>
            </w:pP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(20,744)</w:t>
            </w: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(20,744)</w:t>
            </w:r>
          </w:p>
        </w:tc>
        <w:tc>
          <w:tcPr>
            <w:tcW w:w="0" w:type="dxa"/>
            <w:vAlign w:val="bottom"/>
          </w:tcPr>
          <w:p>
            <w:pPr>
              <w:spacing w:after="0"/>
              <w:rPr>
                <w:sz w:val="1"/>
                <w:szCs w:val="1"/>
                <w:color w:val="auto"/>
              </w:rPr>
            </w:pPr>
          </w:p>
        </w:tc>
      </w:tr>
      <w:tr>
        <w:trPr>
          <w:trHeight w:val="156"/>
        </w:trPr>
        <w:tc>
          <w:tcPr>
            <w:tcW w:w="408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 September 30, 2018</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2,711,734</w:t>
            </w:r>
          </w:p>
        </w:tc>
        <w:tc>
          <w:tcPr>
            <w:tcW w:w="22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194,586</w:t>
            </w:r>
          </w:p>
        </w:tc>
        <w:tc>
          <w:tcPr>
            <w:tcW w:w="2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(185,231)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9,313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58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79"/>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(24,548)</w:t>
            </w: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(20,744)</w:t>
            </w:r>
          </w:p>
        </w:tc>
        <w:tc>
          <w:tcPr>
            <w:tcW w:w="0" w:type="dxa"/>
            <w:vAlign w:val="bottom"/>
          </w:tcPr>
          <w:p>
            <w:pPr>
              <w:spacing w:after="0"/>
              <w:rPr>
                <w:sz w:val="1"/>
                <w:szCs w:val="1"/>
                <w:color w:val="auto"/>
              </w:rPr>
            </w:pPr>
          </w:p>
        </w:tc>
      </w:tr>
      <w:tr>
        <w:trPr>
          <w:trHeight w:val="22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Non-cash loss on extinguishment of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Provision for bad debt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Loss on disposal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(3,417)</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(321)</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(1,686)</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(262)</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(18,430)</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(21,226)</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(1,051)</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Proceeds from related party convertible promissory notes,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Proceeds from subordinated promissory notes</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Proceeds from exercised stock options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Proceeds from follow-on offering, net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Proceeds from long-term debt, net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6"/>
                <w:szCs w:val="16"/>
                <w:color w:val="auto"/>
              </w:rPr>
              <w:t>Principal payments on long-term debt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(13,300)</w:t>
            </w:r>
          </w:p>
        </w:tc>
        <w:tc>
          <w:tcPr>
            <w:tcW w:w="0" w:type="dxa"/>
            <w:vAlign w:val="bottom"/>
          </w:tcPr>
          <w:p>
            <w:pPr>
              <w:spacing w:after="0"/>
              <w:rPr>
                <w:sz w:val="1"/>
                <w:szCs w:val="1"/>
                <w:color w:val="auto"/>
              </w:rPr>
            </w:pPr>
          </w:p>
        </w:tc>
      </w:tr>
      <w:tr>
        <w:trPr>
          <w:trHeight w:val="207"/>
        </w:trPr>
        <w:tc>
          <w:tcPr>
            <w:tcW w:w="758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80" w:type="dxa"/>
            <w:vAlign w:val="bottom"/>
            <w:tcBorders>
              <w:bottom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11,483</w:t>
            </w:r>
          </w:p>
        </w:tc>
        <w:tc>
          <w:tcPr>
            <w:tcW w:w="2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22,291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58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(7,207)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8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16,205</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23,645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7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80" w:type="dxa"/>
            <w:vAlign w:val="bottom"/>
            <w:tcBorders>
              <w:bottom w:val="single" w:sz="8" w:color="CFF0FC"/>
            </w:tcBorders>
          </w:tcPr>
          <w:p>
            <w:pPr>
              <w:spacing w:after="0"/>
              <w:rPr>
                <w:sz w:val="21"/>
                <w:szCs w:val="21"/>
                <w:color w:val="auto"/>
              </w:rPr>
            </w:pPr>
          </w:p>
        </w:tc>
        <w:tc>
          <w:tcPr>
            <w:tcW w:w="1000" w:type="dxa"/>
            <w:vAlign w:val="bottom"/>
            <w:tcBorders>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8,998</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23,692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Interest paid during the period</w:t>
            </w:r>
          </w:p>
        </w:tc>
        <w:tc>
          <w:tcPr>
            <w:tcW w:w="1280" w:type="dxa"/>
            <w:vAlign w:val="bottom"/>
            <w:gridSpan w:val="2"/>
          </w:tcPr>
          <w:p>
            <w:pPr>
              <w:jc w:val="right"/>
              <w:ind w:right="84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w:t>
            </w:r>
          </w:p>
        </w:tc>
        <w:tc>
          <w:tcPr>
            <w:tcW w:w="280" w:type="dxa"/>
            <w:vAlign w:val="bottom"/>
          </w:tcPr>
          <w:p>
            <w:pPr>
              <w:spacing w:after="0"/>
              <w:rPr>
                <w:sz w:val="22"/>
                <w:szCs w:val="22"/>
                <w:color w:val="auto"/>
              </w:rPr>
            </w:pP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INFORMATION:</w:t>
            </w:r>
          </w:p>
        </w:tc>
        <w:tc>
          <w:tcPr>
            <w:tcW w:w="280" w:type="dxa"/>
            <w:vAlign w:val="bottom"/>
            <w:tcBorders>
              <w:top w:val="single" w:sz="8" w:color="CFF0FC"/>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5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75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Purchase of property and equipment included in accounts payable</w:t>
            </w:r>
          </w:p>
        </w:tc>
        <w:tc>
          <w:tcPr>
            <w:tcW w:w="280" w:type="dxa"/>
            <w:vAlign w:val="bottom"/>
          </w:tcPr>
          <w:p>
            <w:pPr>
              <w:spacing w:after="0"/>
              <w:rPr>
                <w:sz w:val="22"/>
                <w:szCs w:val="22"/>
                <w:color w:val="auto"/>
              </w:rPr>
            </w:pPr>
          </w:p>
        </w:tc>
        <w:tc>
          <w:tcPr>
            <w:tcW w:w="1000" w:type="dxa"/>
            <w:vAlign w:val="bottom"/>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560" w:type="dxa"/>
            <w:vAlign w:val="bottom"/>
            <w:gridSpan w:val="2"/>
          </w:tcPr>
          <w:p>
            <w:pPr>
              <w:jc w:val="right"/>
              <w:ind w:right="424"/>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5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Discounts and issuance costs in connection with long-term debt</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CFF0FC"/>
              <w:bottom w:val="single" w:sz="8" w:color="CFF0FC"/>
            </w:tcBorders>
            <w:shd w:val="clear" w:color="auto" w:fill="CFF0FC"/>
          </w:tcPr>
          <w:p>
            <w:pPr>
              <w:spacing w:after="0"/>
              <w:rPr>
                <w:sz w:val="17"/>
                <w:szCs w:val="17"/>
                <w:color w:val="auto"/>
              </w:rPr>
            </w:pPr>
          </w:p>
        </w:tc>
        <w:tc>
          <w:tcPr>
            <w:tcW w:w="20" w:type="dxa"/>
            <w:vAlign w:val="bottom"/>
            <w:tcBorders>
              <w:top w:val="single" w:sz="8" w:color="CFF0FC"/>
              <w:bottom w:val="single" w:sz="8" w:color="CFF0FC"/>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Issuance of warrants in connection with long-term debt</w:t>
            </w:r>
          </w:p>
        </w:tc>
        <w:tc>
          <w:tcPr>
            <w:tcW w:w="12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5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Transfer of equipment from inventory to property and equipment</w:t>
            </w:r>
          </w:p>
        </w:tc>
        <w:tc>
          <w:tcPr>
            <w:tcW w:w="28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auto"/>
              </w:rPr>
              <w:t>Discounts in connection with amendment of long-term debt</w:t>
            </w:r>
          </w:p>
        </w:tc>
        <w:tc>
          <w:tcPr>
            <w:tcW w:w="12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840"/>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11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for shares, per share data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121" w:lineRule="exact"/>
        <w:rPr>
          <w:sz w:val="20"/>
          <w:szCs w:val="20"/>
          <w:color w:val="auto"/>
        </w:rPr>
      </w:pPr>
    </w:p>
    <w:p>
      <w:pPr>
        <w:ind w:left="520" w:right="220"/>
        <w:spacing w:after="0" w:line="257" w:lineRule="auto"/>
        <w:rPr>
          <w:sz w:val="20"/>
          <w:szCs w:val="20"/>
          <w:color w:val="auto"/>
        </w:rPr>
      </w:pPr>
      <w:r>
        <w:rPr>
          <w:rFonts w:ascii="Times New Roman" w:cs="Times New Roman" w:eastAsia="Times New Roman" w:hAnsi="Times New Roman"/>
          <w:sz w:val="18"/>
          <w:szCs w:val="18"/>
          <w:color w:val="auto"/>
        </w:rPr>
        <w:t>Venus Concept Inc. formerly “Restoration Robotics, Inc.” is a medical device company incorporated in the state of Delaware on November 22, 2002 and headquartered in San Jose, California. The Company develops an image-guided robotic system that enables follicular unit extraction (FUE) and implantation functionality for use in the field of hair transplantation and markets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Robotic System in the United States and certain other countries. In these notes to the unaudited condensed consolidated financial statements, the “Company” and “Restoration Robotics” refers to Restoration Robotics, Inc. and its subsidiaries on a consolidated basis prior to the consummation of the Merger (as defined below).</w:t>
      </w:r>
    </w:p>
    <w:p>
      <w:pPr>
        <w:spacing w:after="0" w:line="200" w:lineRule="exact"/>
        <w:rPr>
          <w:sz w:val="20"/>
          <w:szCs w:val="20"/>
          <w:color w:val="auto"/>
        </w:rPr>
      </w:pPr>
    </w:p>
    <w:p>
      <w:pPr>
        <w:spacing w:after="0" w:line="3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Merger with Venus</w:t>
      </w:r>
    </w:p>
    <w:p>
      <w:pPr>
        <w:spacing w:after="0" w:line="121" w:lineRule="exact"/>
        <w:rPr>
          <w:sz w:val="20"/>
          <w:szCs w:val="20"/>
          <w:color w:val="auto"/>
        </w:rPr>
      </w:pPr>
    </w:p>
    <w:p>
      <w:pPr>
        <w:ind w:left="520" w:right="160"/>
        <w:spacing w:after="0" w:line="261" w:lineRule="auto"/>
        <w:rPr>
          <w:sz w:val="20"/>
          <w:szCs w:val="20"/>
          <w:color w:val="auto"/>
        </w:rPr>
      </w:pPr>
      <w:r>
        <w:rPr>
          <w:rFonts w:ascii="Times New Roman" w:cs="Times New Roman" w:eastAsia="Times New Roman" w:hAnsi="Times New Roman"/>
          <w:sz w:val="18"/>
          <w:szCs w:val="18"/>
          <w:color w:val="auto"/>
        </w:rPr>
        <w:t>On March 15, 2019, the Company entered into the Merger Agreement (the Merger Agreement) with Radiant Merger Sub Ltd., a company organized under the laws of Israel and a directly, wholly-owned subsidiary of the Company (Merger Sub), and Venus Concept Ltd., a company organized under the laws of Israel (Venus) to combine the companies in an all-stock transaction (the Merger). The Merger Agreement and the Merger have been approved by the Company’s board of directors and the board of directors of Venus.</w:t>
      </w:r>
    </w:p>
    <w:p>
      <w:pPr>
        <w:spacing w:after="0" w:line="72"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upon the terms and subject to the satisfaction or waiver of the conditions set forth therein, Merger Sub will be merged with and into Venus, with Venus continuing as the surviving corporation and a direct wholly-owned subsidiary of the Company.</w:t>
      </w:r>
    </w:p>
    <w:p>
      <w:pPr>
        <w:spacing w:after="0" w:line="54"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color w:val="auto"/>
        </w:rPr>
        <w:t>At the effective time of the Merger, each outstanding ordinary and preferred share of Venus, nominal value of New Israeli Shekels 0.001, other than shares held by Venus as treasury stock or held by the Company or Merger Sub, will be converted into the right to receive 8.6506 (“Exchange Ratio”) validly issued, fully paid and non-assessable shares of Common Stock (“Company Share”), and (ii) each outstanding Venus stock option and warrant will be assumed by the Company and converted into and become an option or warrant (as applicable) exercisable for Company Shares with the number and exercise price adjusted by the Exchange Ratio.</w:t>
      </w:r>
    </w:p>
    <w:p>
      <w:pPr>
        <w:spacing w:after="0" w:line="76"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On August 14, 2019, the Company, Radiant Merger Sub Ltd. and Venus entered into the First Amendment to the Merger Agreement (the “Merger Agreement Amendment”). The Merger Agreement Amendment, among other things, adds as a condition to closing the Merger the satisfaction of the following: (i) Venus must have raised cash proceeds in one or more issuances of common equity interests or convertible bond indebtedness of Venus or the Company, in an aggregate amount of at least $20,000 (exclusive of any investment by Madryn Health Partners, LP (Venus’ lender) not later than the close of business on the closing date of the Merger and (ii) Venus and the other loan parties to the credit agreement by and among Venus, such parties and the Madryn entities, must have unrestricted cash of at least $20,000 immediately after giving effect to the transactions contemplated by the Merger Agreement.</w:t>
      </w:r>
    </w:p>
    <w:p>
      <w:pPr>
        <w:spacing w:after="0" w:line="81"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Under the terms of the transaction, the Company and Venus shareholders will own approximately 15% and 85% of the combined company, respectively, on a fully diluted basis, without giving effect to the shares issued in the proposed equity commitment letter dated March 15, 2019, that is expected to close immediately after the merger (the Equity Commitment Letter). EW Healthcare Partners has committed to lead a $21,000 equity investment, priced at $0.4664 per share (subject to adjustment for stock splits), in the combined company’s common stock contingent on the closing of the Merger. Additional investors committed to participating in the proposed equity financing include HealthQuest Capital, Madryn Asset Management, Longitude Capital Management, Fred Moll and Aperture Venture Partners. On August 14, 2019, the Company, Venus and the investors party to the Equity Commitment Letter entered into the first amendment to the Equity Commitment Letter (the “Equity Commitment Letter Amendment”). Pursuant to the Equity Commitment Letter Amendment, the investors agreed to amend the Equity Commitment Letter to “pull forward” their maximum committed amounts such that the $21,000 committed under the Equity Commitment Letter would be invested on or prior to August 30, 2019 in Venus convertible promissory notes which will be convertible into shares of the Company’s common stock immediately following the consummation of the Merger. On August 14, 2019, the equity commitment letter investors purchased an aggregate of $6,950 in Convertible Notes and on August 21, 2019, certain of the remaining Equity Commitment Letter investors purchased an additional $14,050 of Convertible Notes.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8" w:name="page9"/>
    <w:bookmarkEnd w:id="8"/>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Equity Commitment Letter, Fred Moll and InterWest Partners previously funded a $5,000 convertible note to the Company, which will convert into the combined company’s common stock upon consummation of the merger at a price of $0.4664 per share (subject to adjustment for stock splits). On August 20, 2019, the Company entered into a note purchase agreement pursuant to which the Company raised $2,000 through the issuance of an unsecured subordinated convertible promissory note to Frederic Moll, M.D. as discussed in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 xml:space="preserve"> to the condensed consolidated financial statements.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Promissory Notes by Venus and Issuance of Subordinated Promissory Note by Restoration Robotics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June 25, 2019, the Company entered into a Note Purchase Agreement (the Note Purchase Agreement) with Venus and certain investors named therein pursuant to which Venus sold $7,800 aggregate principal amount of unsecured senior subordinated convertible promissory notes (the Convertible Notes) to such investors (the Convertible Note Financing). The Convertible Notes bear interest on the unpaid principal amount at a rate of eight percent (8.0%) per annum from the date of issuance. Effective upon the closing of the Merger, all of the outstanding principal and unpaid accrued interest on the Convertible Notes will automatically be converted, in whole, into the number of shares of common stock, par value $0.0001 per share, of the Company at a conversion price of $0.4664 per share.</w:t>
      </w:r>
    </w:p>
    <w:p>
      <w:pPr>
        <w:spacing w:after="0" w:line="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On August 14, 2019, pursuant to that certain Note Purchase Agreement, dated as of June 25, 2019, with Venus and certain investors named therein pursuant to which Venus sold an additional $7,200 aggregate principal amount of Convertible Notes to such investors. The Convertible Notes contain the same terms as the $7,800 aggregate principal amount of Convertible Notes that were sold pursuant to the Note Purchase Agreement on June 25, 2019 and bear interest on the unpaid principal amount at a rate of eight percent (8.0%) per annum from the date of issuance. The Company’s stockholders approved a proposal that effective upon the closing of the Merger, all of the outstanding principal and unpaid accrued interest on the Convertible Notes will automatically be converted, in whole, into the number of shares of common stock, par value $0.0001 per share, of the Company at a conversion price of $0.4664 per share, subject to adjustment as provided in the Convertible Notes.</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connection with the Convertible Note Financing, on June 25, 2019, the Company entered into a $2,500 Unsecured Subordinated Promissory Note, which funded on July 5, 2019, with Venus Concept USA Inc., a wholly owned subsidiary of Venus. On August 14, 2019, the Company entered into another $2,500 Unsecured Subordinated Promissory Note funded in three tranches A and B of $1,000 each and tranche C of $500 with Venus Concept USA Inc., a wholly owned subsidiary of Venus, collectively (the Subordinated Notes). Tranches A and B were funded on August 27, 2019 and September 25, 2019, respectively, for a total of $2,000. The maturity date of the Subordinated Notes is November 30, 2019. The Subordinated Notes bear interest on the unpaid principal amount at a rate of eight percent (8%) per annum from the date of issuance, provided that upon any event of default pursuant to the Subordinated Notes, the Subordinated Notes shall bear interest payable on demand at a rate that is 4% per annum in excess of the rate of interest otherwise payable thereunder. The Subordinated Notes are unsecured and subordinate in priority to the Company’s existing obligations to Solar Capital, Ltd. under its amended loan and security agreement.</w:t>
      </w:r>
    </w:p>
    <w:p>
      <w:pPr>
        <w:spacing w:after="0" w:line="8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(formerly named Restoration Robotics, Inc.), completed its business combination with Venus, in accordance with the terms of the Merger Agreement.</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Immediately following the effective time of the Merger, the Company effected a 15-for-1 reverse stock split of the common stock (“Reverse Stock Split”) and the Company changed its corporate name from “Restoration Robotics, Inc.” to “Venus Concept Inc.”, (“Name Change”) and the business conducted by Venus became the primary business conducted by the Company. Venus is an innovative global medical technology company that develops, commercializes and delivers minimally invasive and non-invasive medical aesthetic technologies and related practice enhancement services. The Merger, the Reverse Stock Split and the Name Change were approved by the Company’s stockholders at an annual meeting of its stockholders held on October 4, 2019. A Form 8-K disclosing the full voting results was filed with the Securities and Exchange Commission (SEC) on October 7, 2019. The transaction closed on November 7, 2019.</w:t>
      </w:r>
    </w:p>
    <w:p>
      <w:pPr>
        <w:spacing w:after="0" w:line="8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includes only the accounts of Restoration Robotics, Inc. prior to the Merger with Venus Concept Inc. on November 7, 2019.</w:t>
      </w:r>
    </w:p>
    <w:p>
      <w:pPr>
        <w:spacing w:after="0" w:line="16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445"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condensed consolidated financial statements are prepared on a going concern basis that contemplates the realization of assets and</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extinguishment of liabilities in the normal course of business. The Company has incurred net operating losses and negative cash flows from</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operations since inception. As of September 30, 2019, and December 31, 2018, the Company has an accumulated deficit of $217,761 and</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$193,213 and, as of such dates, and through the date of this filing, does not have sufficient capital to fund its planned operations. Because of the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Company’s recurring losses from operations and negative cash flows, the Company’s independent registered public accounting firm included an</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explanatory paragraph in its report on the Company’s consolidated financial statements as of, and for the year ended, December 31, 2018 that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factors raise substantial doubt about the Company’s ability to continue as a going concern. To continue its operations, the Company must</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achieve profitable operations and/or obtain additional financing. Until the Company generates revenue at a level to support its cost structure, the</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expects to continue to incur substantial operating losses and net cash outflows. The Company may never become profitable and even if</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does attain profitable operations, it may not be able to sustain profitability or positive cash flows on a recurring basis.</w:t>
      </w:r>
    </w:p>
    <w:p>
      <w:pPr>
        <w:spacing w:after="0" w:line="99"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 will need to raise further capital in the future to service its debt or fund its operations until the time it can sustain positive cash flows.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w:t>
      </w:r>
    </w:p>
    <w:p>
      <w:pPr>
        <w:spacing w:after="0" w:line="72"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520"/>
        <w:spacing w:after="0" w:line="253" w:lineRule="auto"/>
        <w:rPr>
          <w:sz w:val="20"/>
          <w:szCs w:val="20"/>
          <w:color w:val="auto"/>
        </w:rPr>
      </w:pPr>
      <w:r>
        <w:rPr>
          <w:rFonts w:ascii="Times New Roman" w:cs="Times New Roman" w:eastAsia="Times New Roman" w:hAnsi="Times New Roman"/>
          <w:sz w:val="18"/>
          <w:szCs w:val="18"/>
          <w:color w:val="auto"/>
        </w:rPr>
        <w:t>The condensed consolidated balance sheets as of September 30, 2019, the condensed consolidated statements of operations and condensed consolidated statements of comprehensive loss for the three and nine months ended September 30, 2019 and 2018, the condensed consolidated statements of cash flows for the nine months ended September 30, 2019 and 2018 and the condensed consolidated statements of stockholders’ equity (deficit) for the three and nine months ended September 30, 2019 and 2018 are unaudited. The accompanying unaudited condensed consolidated financial statements have been prepared in accordance with generally accepted accounting principles in the United States (U.S. GAAP) and in the opinion of management, reflect all adjustments of a normal and recurring nature that are necessary for the fair presentation of the Company’s condensed consolidated financial statements included in this report. The condensed consolidated financial data disclosed in these notes to the condensed consolidated financial statements related to the three-month periods are also unaudited. The condensed consolidated results of operations for the three and nine months ended September 30, 2019 are not necessarily indicative of the results to be expected for the year ending December 31, 2019, or for any other future annual or interim period. The consolidated balance sheet as of December 31, 2018 included herein was derived from the audited consolidated financial statements as of that date. These condensed consolidated financial statements should be read in conjunction with the Company’s audited consolidated financial statements included in its Annual Report filed on Form 10-K for the year ended December 31, 2018, with the SEC on March 20, 2019, as amended.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left="520" w:right="80"/>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Restoration Robotics, Inc. and its wholly owned subsidiaries, which are organized in the United States, United Kingdom, Spain, Hong Kong and South Korea prior to the merger with Venus Concept Inc. All significant intercompany accounts and transactions have been eliminated in consolidation.</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 and expenses during the reporting period. Significant estimates and assumptions made in the accompanying condensed consolidated financial statements include, but are not limited to revenue recognition, allowance for doubtful accounts, inventory valuation, stock-based compensation, warranty accrual and the recoverability of the Company’s net deferred tax assets and related valuation allowance. The Company evaluates its estimates and assumptions on an ongoing basis using historical experience and other factors and adjusts those estimates and assumptions when facts and circumstances dictate. Actual results could materially differ from those estimates.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21"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Company considers all highly liquid investments with an original maturity of three months or less from the date of purchase to be cash equivalents. Cash and cash equivalents consist primarily of funds invested in readily available checking and savings accounts, investments in money market funds and short-term time deposits. The Company’s restricted cash is held in a separate money market account as collateral for credit cards.</w:t>
      </w:r>
    </w:p>
    <w:p>
      <w:pPr>
        <w:spacing w:after="0" w:line="15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balance sheets that sum to the total of the same amounts shown in the condensed consolidated statements of cash flows.</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23"/>
        </w:trPr>
        <w:tc>
          <w:tcPr>
            <w:tcW w:w="6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7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FF0FC"/>
            </w:tcBorders>
          </w:tcPr>
          <w:p>
            <w:pPr>
              <w:spacing w:after="0"/>
              <w:rPr>
                <w:sz w:val="19"/>
                <w:szCs w:val="19"/>
                <w:color w:val="auto"/>
              </w:rPr>
            </w:pPr>
          </w:p>
        </w:tc>
      </w:tr>
      <w:tr>
        <w:trPr>
          <w:trHeight w:val="205"/>
        </w:trPr>
        <w:tc>
          <w:tcPr>
            <w:tcW w:w="63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cash, cash equivalents and restricted cash in the condensed consolidated</w:t>
            </w:r>
          </w:p>
        </w:tc>
        <w:tc>
          <w:tcPr>
            <w:tcW w:w="7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6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statements of cash flows</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16,205</w:t>
            </w:r>
          </w:p>
        </w:tc>
        <w:tc>
          <w:tcPr>
            <w:tcW w:w="120" w:type="dxa"/>
            <w:vAlign w:val="bottom"/>
            <w:shd w:val="clear" w:color="auto" w:fill="CFF0FC"/>
          </w:tcPr>
          <w:p>
            <w:pPr>
              <w:spacing w:after="0"/>
              <w:rPr>
                <w:sz w:val="20"/>
                <w:szCs w:val="20"/>
                <w:color w:val="auto"/>
              </w:rPr>
            </w:pPr>
          </w:p>
        </w:tc>
      </w:tr>
      <w:tr>
        <w:trPr>
          <w:trHeight w:val="20"/>
        </w:trPr>
        <w:tc>
          <w:tcPr>
            <w:tcW w:w="634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for purposes of making operating decisions, allocating resources, and evaluating financial performance. The Company does not assess the performance of individual product line on measures of profit or loss, or asset-based metrics.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Customers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2019, one and no customers accounted for more than 10% of the Company’s revenue, respectively. For the three and nine months ended September 30, 2018, no customers accounted for more than 10% of the Company’s revenue. As of September 30, 2019, one customer accounted for 14% of the Company’s total accounts receivable. As of December 31, 2018, no customers accounted for more than 10% of the Company’s total accounts receivable.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121"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Jumpstart Our Business Startups Act of 2012 (the JOBS Act). Under the JOBS Act, emerging growth companies can delay adopting new or revised accounting standards issued after the enactment of the JOBS Act until those standards apply to private companies. The Company has elected to use this extended transition period for complying with new or revised accounting standards that have different effective dates for public and private companies until the earlier of the date that it is (i) no longer an emerging growth company or</w:t>
      </w:r>
    </w:p>
    <w:p>
      <w:pPr>
        <w:spacing w:after="0" w:line="3" w:lineRule="exact"/>
        <w:rPr>
          <w:sz w:val="20"/>
          <w:szCs w:val="20"/>
          <w:color w:val="auto"/>
        </w:rPr>
      </w:pPr>
    </w:p>
    <w:p>
      <w:pPr>
        <w:ind w:right="420" w:firstLine="6"/>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92"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May 2014, the Financial Accounting Standards Board (FASB) issued Accounting Standards Update (ASU) No. 2014</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09, Revenue from Contracts with Customers (Topic 606), as amended by ASU No. 2015-14, ASU No. 2016-08, ASU No. 2016-10, ASU No. 2016-12, and ASU No. 2016-20, (collectively, ASU 2014-09). ASU 2014-09 establishes a principle for recognizing revenue upon the transfer of promised goods or services to customers in an amount that reflects the expected consideration received in exchange for those goods or services and provides guidance on the recognition of costs related to obtaining and fulfilling customer contracts. ASU 2014-09 is required to be adopted, using either of two methods: (i) retrospective to each prior reporting period presented with the option to elect certain practical expedients as defined within ASU 2014-09; or (ii) retrospective with the cumulative effect of initially applying ASU 2014-09 recognized at the date of initial application and providing certain additional disclosures. The Company adopted the new revenue standard on January 1, 2019, using the modified retrospective transition method applied to those contracts which were not completed as of that date. See Note 3.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to the unaudited condensed consolidated financial statements included in this Quarterly Report on Form 10-Q for additional details.</w:t>
      </w:r>
    </w:p>
    <w:p>
      <w:pPr>
        <w:spacing w:after="0" w:line="20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657" w:right="259" w:bottom="1440" w:gutter="0" w:footer="0" w:header="0"/>
        </w:sectPr>
      </w:pPr>
    </w:p>
    <w:bookmarkStart w:id="11" w:name="page12"/>
    <w:bookmarkEnd w:id="11"/>
    <w:p>
      <w:pPr>
        <w:ind w:left="520" w:right="240"/>
        <w:spacing w:after="0" w:line="256" w:lineRule="auto"/>
        <w:rPr>
          <w:sz w:val="20"/>
          <w:szCs w:val="20"/>
          <w:color w:val="auto"/>
        </w:rPr>
      </w:pPr>
      <w:r>
        <w:rPr>
          <w:rFonts w:ascii="Times New Roman" w:cs="Times New Roman" w:eastAsia="Times New Roman" w:hAnsi="Times New Roman"/>
          <w:sz w:val="18"/>
          <w:szCs w:val="18"/>
          <w:color w:val="auto"/>
        </w:rPr>
        <w:t xml:space="preserve">In June 2018, the FASB issued ASU No. 2018-7, </w:t>
      </w:r>
      <w:r>
        <w:rPr>
          <w:rFonts w:ascii="Times New Roman" w:cs="Times New Roman" w:eastAsia="Times New Roman" w:hAnsi="Times New Roman"/>
          <w:sz w:val="18"/>
          <w:szCs w:val="18"/>
          <w:i w:val="1"/>
          <w:iCs w:val="1"/>
          <w:color w:val="auto"/>
        </w:rPr>
        <w:t>Compensation – Stock Compensation (Topic 718)— Improvements to Nonemployee Share-Based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This guidance supersedes ASC 505-50 and expands the scope of ASC 718 to include all share-based payment arrangements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acquisition of goods and services from both nonemployees and employees. The amendments should be applied on a modified retrospective basis through a cumulative-effect adjustment to retained earnings as of the beginning of the fiscal year of adoption. The Company adopted this standard on January 1, 2019 using the modified retrospective adoption method. The adoption of this standard did not have a material impact on the Company’s condensed consolidated financial statements and related disclosures and no cumulative-effect adjustment was recorded to accumulated deficit at January 1, 2019.</w:t>
      </w:r>
    </w:p>
    <w:p>
      <w:pPr>
        <w:spacing w:after="0" w:line="2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92" w:lineRule="exact"/>
        <w:rPr>
          <w:sz w:val="20"/>
          <w:szCs w:val="20"/>
          <w:color w:val="auto"/>
        </w:rPr>
      </w:pPr>
    </w:p>
    <w:p>
      <w:pPr>
        <w:ind w:left="520" w:right="60"/>
        <w:spacing w:after="0" w:line="221" w:lineRule="exact"/>
        <w:rPr>
          <w:sz w:val="20"/>
          <w:szCs w:val="20"/>
          <w:color w:val="auto"/>
        </w:rPr>
      </w:pPr>
      <w:r>
        <w:rPr>
          <w:rFonts w:ascii="Times New Roman" w:cs="Times New Roman" w:eastAsia="Times New Roman" w:hAnsi="Times New Roman"/>
          <w:sz w:val="18"/>
          <w:szCs w:val="18"/>
          <w:color w:val="auto"/>
        </w:rPr>
        <w:t>In February 2016, the FASB issued ASU No.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or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as amended by ASU 2019-01 issued in March 2019, (collectively, ASU 2016-02), which requires lessees to record most leases on their balance sheets but recognize the expenses on their income statements in a manner similar to current practice. Under ASU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02, a lessee would recognize a lease liability for the obligation to make lease payments and a right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use asset for the right to use the underlying asset for the lease term. For public entities, this standard is effective for annual reporting periods beginning after December 15, 2018, including interim periods within that reporting period. As an Emerging Growth Company, this standard is effective for the Company in annual reporting periods beginning after December 15, 2019, and interim periods within annual periods beginning after December 15, 2020. Early adoption is permitted. The Company is currently evaluating the standard and its impact on the condensed consolidated financial statements. However, the Company does expect a material change in its consolidated assets and liabilities upon adoption of this standard.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119" w:lineRule="exact"/>
        <w:rPr>
          <w:sz w:val="20"/>
          <w:szCs w:val="20"/>
          <w:color w:val="auto"/>
        </w:rPr>
      </w:pPr>
    </w:p>
    <w:p>
      <w:pPr>
        <w:ind w:left="520" w:right="20"/>
        <w:spacing w:after="0" w:line="259" w:lineRule="auto"/>
        <w:rPr>
          <w:sz w:val="20"/>
          <w:szCs w:val="20"/>
          <w:color w:val="auto"/>
        </w:rPr>
      </w:pPr>
      <w:r>
        <w:rPr>
          <w:rFonts w:ascii="Times New Roman" w:cs="Times New Roman" w:eastAsia="Times New Roman" w:hAnsi="Times New Roman"/>
          <w:sz w:val="18"/>
          <w:szCs w:val="18"/>
          <w:color w:val="auto"/>
        </w:rPr>
        <w:t xml:space="preserve">In May 2014, the FASB issued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606).</w:t>
      </w:r>
      <w:r>
        <w:rPr>
          <w:rFonts w:ascii="Times New Roman" w:cs="Times New Roman" w:eastAsia="Times New Roman" w:hAnsi="Times New Roman"/>
          <w:sz w:val="18"/>
          <w:szCs w:val="18"/>
          <w:color w:val="auto"/>
        </w:rPr>
        <w:t xml:space="preserve"> Topic 606 supersedes the revenue recognition requirements in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(Topic 605) and requires entities to recognize revenue when control of the promised goods or services is transferred to customers at an amount that reflects the consideration to which the entity expects to be entitled in exchange for those goods or services. The FASB has issued several amendments to the standard, including clarifications on disclosure of prior-period performance obligations and remaining performance obligations.</w:t>
      </w:r>
    </w:p>
    <w:p>
      <w:pPr>
        <w:spacing w:after="0" w:line="182" w:lineRule="exact"/>
        <w:rPr>
          <w:sz w:val="20"/>
          <w:szCs w:val="20"/>
          <w:color w:val="auto"/>
        </w:rPr>
      </w:pPr>
    </w:p>
    <w:p>
      <w:pPr>
        <w:ind w:left="520"/>
        <w:spacing w:after="0" w:line="256" w:lineRule="auto"/>
        <w:rPr>
          <w:sz w:val="20"/>
          <w:szCs w:val="20"/>
          <w:color w:val="auto"/>
        </w:rPr>
      </w:pPr>
      <w:r>
        <w:rPr>
          <w:rFonts w:ascii="Times New Roman" w:cs="Times New Roman" w:eastAsia="Times New Roman" w:hAnsi="Times New Roman"/>
          <w:sz w:val="18"/>
          <w:szCs w:val="18"/>
          <w:color w:val="auto"/>
        </w:rPr>
        <w:t>The guidance permits two methods of adoption: retrospectively to each prior reporting period presented (full retrospective method), or retrospectively with the cumulative effect of initially applying the guidance recognized at the date of initial application (the modified retrospective method). The Company adopted the standard effective January 1, 2019 using the modified retrospective method. This approach was applied to all contracts that were not completed as of January 1, 2019. The adoption of Topic 606 did not have a material impact on the Company’s historical net losses and, therefore, no adjustment was made to the opening balance of accumulated deficit at January 1, 2019. Therefore, the comparative 2018 period has not been adjusted and continues to be reported under Topic 605.</w:t>
      </w:r>
    </w:p>
    <w:p>
      <w:pPr>
        <w:spacing w:after="0" w:line="188" w:lineRule="exact"/>
        <w:rPr>
          <w:sz w:val="20"/>
          <w:szCs w:val="20"/>
          <w:color w:val="auto"/>
        </w:rPr>
      </w:pPr>
    </w:p>
    <w:p>
      <w:pPr>
        <w:jc w:val="both"/>
        <w:ind w:left="520" w:right="20"/>
        <w:spacing w:after="0" w:line="266" w:lineRule="auto"/>
        <w:rPr>
          <w:sz w:val="20"/>
          <w:szCs w:val="20"/>
          <w:color w:val="auto"/>
        </w:rPr>
      </w:pPr>
      <w:r>
        <w:rPr>
          <w:rFonts w:ascii="Times New Roman" w:cs="Times New Roman" w:eastAsia="Times New Roman" w:hAnsi="Times New Roman"/>
          <w:sz w:val="18"/>
          <w:szCs w:val="18"/>
          <w:color w:val="auto"/>
        </w:rPr>
        <w:t>Topic 606’s core principle is that a reporting entity will recognize revenue when it transfers promised goods or services to customers in an amount that reflects the consideration to which the entity expects to be entitled in exchange for those goods or services. In applying this new guidance to contracts within its scope, an entity will:</w:t>
      </w:r>
    </w:p>
    <w:p>
      <w:pPr>
        <w:spacing w:after="0" w:line="68" w:lineRule="exact"/>
        <w:rPr>
          <w:sz w:val="20"/>
          <w:szCs w:val="20"/>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130"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entity satisfies a performance obligation.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on Financial Statements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accordance with Topic 606, the disclosure of the impact of the change in accounting principle to the unaudited condensed consolidated statements of operations and balance sheet was as follows: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8"/>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4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8"/>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0" w:type="dxa"/>
            <w:vAlign w:val="bottom"/>
          </w:tcPr>
          <w:p>
            <w:pPr>
              <w:spacing w:after="0"/>
              <w:rPr>
                <w:sz w:val="1"/>
                <w:szCs w:val="1"/>
                <w:color w:val="auto"/>
              </w:rPr>
            </w:pPr>
          </w:p>
        </w:tc>
      </w:tr>
      <w:tr>
        <w:trPr>
          <w:trHeight w:val="131"/>
        </w:trPr>
        <w:tc>
          <w:tcPr>
            <w:tcW w:w="3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239"/>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Data</w:t>
            </w:r>
          </w:p>
        </w:tc>
        <w:tc>
          <w:tcPr>
            <w:tcW w:w="100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2"/>
                <w:szCs w:val="12"/>
                <w:color w:val="auto"/>
              </w:rPr>
            </w:pPr>
          </w:p>
        </w:tc>
        <w:tc>
          <w:tcPr>
            <w:tcW w:w="11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Without ASC</w:t>
            </w:r>
          </w:p>
        </w:tc>
        <w:tc>
          <w:tcPr>
            <w:tcW w:w="12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 ASC</w:t>
            </w: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606 Adoption</w:t>
            </w:r>
          </w:p>
        </w:tc>
        <w:tc>
          <w:tcPr>
            <w:tcW w:w="12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606 Adoption</w:t>
            </w:r>
          </w:p>
        </w:tc>
        <w:tc>
          <w:tcPr>
            <w:tcW w:w="0" w:type="dxa"/>
            <w:vAlign w:val="bottom"/>
          </w:tcPr>
          <w:p>
            <w:pPr>
              <w:spacing w:after="0"/>
              <w:rPr>
                <w:sz w:val="1"/>
                <w:szCs w:val="1"/>
                <w:color w:val="auto"/>
              </w:rPr>
            </w:pPr>
          </w:p>
        </w:tc>
      </w:tr>
      <w:tr>
        <w:trPr>
          <w:trHeight w:val="20"/>
        </w:trPr>
        <w:tc>
          <w:tcPr>
            <w:tcW w:w="35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w:t>
            </w: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CFF0FC"/>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580" w:type="dxa"/>
            <w:vAlign w:val="bottom"/>
            <w:vMerge w:val="continue"/>
            <w:shd w:val="clear" w:color="auto" w:fill="CFF0FC"/>
          </w:tcPr>
          <w:p>
            <w:pPr>
              <w:spacing w:after="0"/>
              <w:rPr>
                <w:sz w:val="19"/>
                <w:szCs w:val="19"/>
                <w:color w:val="auto"/>
              </w:rPr>
            </w:pP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left w:val="single" w:sz="8" w:color="CFF0FC"/>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11,632</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3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11,511</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9,232</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left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9,232</w:t>
            </w:r>
          </w:p>
        </w:tc>
        <w:tc>
          <w:tcPr>
            <w:tcW w:w="100" w:type="dxa"/>
            <w:vAlign w:val="bottom"/>
            <w:shd w:val="clear" w:color="auto" w:fill="CFF0FC"/>
          </w:tcPr>
          <w:p>
            <w:pPr>
              <w:spacing w:after="0"/>
              <w:rPr>
                <w:sz w:val="20"/>
                <w:szCs w:val="20"/>
                <w:color w:val="auto"/>
              </w:rPr>
            </w:pPr>
          </w:p>
        </w:tc>
        <w:tc>
          <w:tcPr>
            <w:tcW w:w="120" w:type="dxa"/>
            <w:vAlign w:val="bottom"/>
            <w:tcBorders>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27,061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Borders>
              <w:lef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27,070</w:t>
            </w:r>
          </w:p>
        </w:tc>
        <w:tc>
          <w:tcPr>
            <w:tcW w:w="120" w:type="dxa"/>
            <w:vAlign w:val="bottom"/>
            <w:tcBorders>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(8,198)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(21,894)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(22,024)</w:t>
            </w:r>
          </w:p>
        </w:tc>
        <w:tc>
          <w:tcPr>
            <w:tcW w:w="0" w:type="dxa"/>
            <w:vAlign w:val="bottom"/>
          </w:tcPr>
          <w:p>
            <w:pPr>
              <w:spacing w:after="0"/>
              <w:rPr>
                <w:sz w:val="1"/>
                <w:szCs w:val="1"/>
                <w:color w:val="auto"/>
              </w:rPr>
            </w:pPr>
          </w:p>
        </w:tc>
      </w:tr>
      <w:tr>
        <w:trPr>
          <w:trHeight w:val="213"/>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before provision for income taxes</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(9,207</w:t>
            </w:r>
          </w:p>
        </w:tc>
        <w:tc>
          <w:tcPr>
            <w:tcW w:w="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top w:val="single" w:sz="8" w:color="CFF0FC"/>
              <w:left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top w:val="single" w:sz="8" w:color="CFF0FC"/>
              <w:left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(24,645)</w:t>
            </w:r>
          </w:p>
        </w:tc>
        <w:tc>
          <w:tcPr>
            <w:tcW w:w="120" w:type="dxa"/>
            <w:vAlign w:val="bottom"/>
            <w:tcBorders>
              <w:top w:val="single" w:sz="8" w:color="CFF0FC"/>
              <w:lef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58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(9,192)</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(24,548)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(24,678)</w:t>
            </w:r>
          </w:p>
        </w:tc>
        <w:tc>
          <w:tcPr>
            <w:tcW w:w="0" w:type="dxa"/>
            <w:vAlign w:val="bottom"/>
          </w:tcPr>
          <w:p>
            <w:pPr>
              <w:spacing w:after="0"/>
              <w:rPr>
                <w:sz w:val="1"/>
                <w:szCs w:val="1"/>
                <w:color w:val="auto"/>
              </w:rPr>
            </w:pPr>
          </w:p>
        </w:tc>
      </w:tr>
      <w:tr>
        <w:trPr>
          <w:trHeight w:val="186"/>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per share attributable to</w:t>
            </w: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left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lef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lef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common stockholders, basic and diluted</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220" w:type="dxa"/>
            <w:vAlign w:val="bottom"/>
            <w:tcBorders>
              <w:left w:val="single" w:sz="8" w:color="CFF0FC"/>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(3.37)</w:t>
            </w:r>
          </w:p>
        </w:tc>
        <w:tc>
          <w:tcPr>
            <w:tcW w:w="2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(0.04)</w:t>
            </w:r>
          </w:p>
        </w:tc>
        <w:tc>
          <w:tcPr>
            <w:tcW w:w="320" w:type="dxa"/>
            <w:vAlign w:val="bottom"/>
            <w:tcBorders>
              <w:lef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(9.06)</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6"/>
                <w:szCs w:val="16"/>
                <w:color w:val="auto"/>
              </w:rPr>
              <w:t>Weighted-average shares used in computing</w:t>
            </w: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loss per share attributable to common</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stockholders, basic and diluted</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2,728,888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2,728,888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2,722,922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2,722,922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3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 Data</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20" w:type="dxa"/>
            <w:vAlign w:val="bottom"/>
            <w:gridSpan w:val="4"/>
          </w:tcPr>
          <w:p>
            <w:pPr>
              <w:jc w:val="right"/>
              <w:ind w:right="99"/>
              <w:spacing w:after="0" w:line="131" w:lineRule="exact"/>
              <w:rPr>
                <w:sz w:val="20"/>
                <w:szCs w:val="20"/>
                <w:color w:val="auto"/>
              </w:rPr>
            </w:pPr>
            <w:r>
              <w:rPr>
                <w:rFonts w:ascii="Times New Roman" w:cs="Times New Roman" w:eastAsia="Times New Roman" w:hAnsi="Times New Roman"/>
                <w:sz w:val="14"/>
                <w:szCs w:val="14"/>
                <w:b w:val="1"/>
                <w:bCs w:val="1"/>
                <w:color w:val="auto"/>
              </w:rPr>
              <w:t>Balance Without ASC</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5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60" w:type="dxa"/>
            <w:vAlign w:val="bottom"/>
            <w:gridSpan w:val="4"/>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606 Adoption</w:t>
            </w:r>
          </w:p>
        </w:tc>
        <w:tc>
          <w:tcPr>
            <w:tcW w:w="0" w:type="dxa"/>
            <w:vAlign w:val="bottom"/>
          </w:tcPr>
          <w:p>
            <w:pPr>
              <w:spacing w:after="0"/>
              <w:rPr>
                <w:sz w:val="1"/>
                <w:szCs w:val="1"/>
                <w:color w:val="auto"/>
              </w:rPr>
            </w:pPr>
          </w:p>
        </w:tc>
      </w:tr>
      <w:tr>
        <w:trPr>
          <w:trHeight w:val="237"/>
        </w:trPr>
        <w:tc>
          <w:tcPr>
            <w:tcW w:w="35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80" w:type="dxa"/>
            <w:vAlign w:val="bottom"/>
            <w:tcBorders>
              <w:top w:val="single" w:sz="8" w:color="CFF0FC"/>
            </w:tcBorders>
            <w:shd w:val="clear" w:color="auto" w:fill="CFF0FC"/>
          </w:tcPr>
          <w:p>
            <w:pPr>
              <w:spacing w:after="0"/>
              <w:rPr>
                <w:sz w:val="20"/>
                <w:szCs w:val="20"/>
                <w:color w:val="auto"/>
              </w:rPr>
            </w:pPr>
          </w:p>
        </w:tc>
        <w:tc>
          <w:tcPr>
            <w:tcW w:w="80" w:type="dxa"/>
            <w:vAlign w:val="bottom"/>
            <w:tcBorders>
              <w:top w:val="single" w:sz="8" w:color="CFF0FC"/>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64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left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CFF0FC"/>
              <w:righ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220" w:type="dxa"/>
            <w:vAlign w:val="bottom"/>
            <w:tcBorders>
              <w:top w:val="single" w:sz="8" w:color="auto"/>
              <w:left w:val="single" w:sz="8" w:color="CFF0FC"/>
            </w:tcBorders>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CFF0FC"/>
              <w:left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tcPr>
          <w:p>
            <w:pPr>
              <w:jc w:val="right"/>
              <w:ind w:right="168"/>
              <w:spacing w:after="0"/>
              <w:rPr>
                <w:sz w:val="20"/>
                <w:szCs w:val="20"/>
                <w:color w:val="auto"/>
              </w:rPr>
            </w:pPr>
            <w:r>
              <w:rPr>
                <w:rFonts w:ascii="Times New Roman" w:cs="Times New Roman" w:eastAsia="Times New Roman" w:hAnsi="Times New Roman"/>
                <w:sz w:val="18"/>
                <w:szCs w:val="18"/>
                <w:color w:val="auto"/>
              </w:rPr>
              <w:t>(121)</w:t>
            </w:r>
          </w:p>
        </w:tc>
        <w:tc>
          <w:tcPr>
            <w:tcW w:w="38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20" w:type="dxa"/>
            <w:vAlign w:val="bottom"/>
            <w:gridSpan w:val="3"/>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(217,761)</w:t>
            </w:r>
          </w:p>
        </w:tc>
        <w:tc>
          <w:tcPr>
            <w:tcW w:w="1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FF0FC"/>
          </w:tcPr>
          <w:p>
            <w:pPr>
              <w:jc w:val="right"/>
              <w:ind w:right="197"/>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lef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(217,891)</w:t>
            </w: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right="120"/>
        <w:spacing w:after="0" w:line="272" w:lineRule="auto"/>
        <w:rPr>
          <w:sz w:val="20"/>
          <w:szCs w:val="20"/>
          <w:color w:val="auto"/>
        </w:rPr>
      </w:pPr>
      <w:r>
        <w:rPr>
          <w:rFonts w:ascii="Times New Roman" w:cs="Times New Roman" w:eastAsia="Times New Roman" w:hAnsi="Times New Roman"/>
          <w:sz w:val="17"/>
          <w:szCs w:val="17"/>
          <w:color w:val="auto"/>
        </w:rPr>
        <w:t>The Company generates revenue primarily through the sale and delivery of promised goods and services, which consists of the sale of ARTAS® and ARTAS® iX Systems, training on the systems, extended service contracts, consumables and marketing services. Revenue is recognized when control is transferred to customers, in an amount that reflects the consideration the Company expects to be entitled to in exchange for the goods or services.</w:t>
      </w:r>
    </w:p>
    <w:p>
      <w:pPr>
        <w:spacing w:after="0" w:line="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Sales prices are documented in the executed sales contract or purchase order prior to the transfer of control to the customer. Customers may enter into a separate extended service agreement (referred to as ARTAS Care) to purchase an extended warranty for products from the Company whereby the payment is due at the inception of the agreement or in monthly installment payments. Revenue for ARTAS Care is recognized ratably over the term of the agreement.</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also utilizes distributors to sell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Systems and related consumables in certain markets outside of the United States. The Company recognizes revenue when control of the goods or services is transferred to the distributors. Standard terms for all agreements with either end customers or distributors do not allow for right of return, refunds, payment contingent on obtaining financing or other terms that could impact the customer’s payment obligation. Payment terms for U.S. customers are generally at shipment, delivery, or within 30 days of shipment, while payment terms for customers outside of the U.S. vary between 30 and 180 days after shipment.</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 Determination and Allocation of Transaction Price and Method of Recognition</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Company's system sale arrangements generally contain multiple products and services. For these bundled sale arrangements, the Company accounts for individual products and services as separate performance obligations. These performance obligations include: ARTAS® or ARTAS® iX System, including related accessories and software license (considered as one performance obligation), product training, consumables (consisting of harvest or site making/implantation kits), extended service contracts and marketing services. All ARTAS® and ARTAS® iX Systems include an assurance-type standard warranty, generally for a 12-month period. ARTAS Care (extended warranty service contract) will commence at the expiration of the standard warranty period. For multiple performance obligations arrangements, the Company allocates revenue to each performance obligation based on its relative stand-alone selling price for each performance obligation, which is based on observable prices.</w:t>
      </w:r>
    </w:p>
    <w:p>
      <w:pPr>
        <w:spacing w:after="0" w:line="18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657" w:right="259" w:bottom="1440" w:gutter="0" w:footer="0" w:header="0"/>
        </w:sectPr>
      </w:pPr>
    </w:p>
    <w:bookmarkStart w:id="13" w:name="page14"/>
    <w:bookmarkEnd w:id="13"/>
    <w:p>
      <w:pPr>
        <w:ind w:right="60"/>
        <w:spacing w:after="0" w:line="266" w:lineRule="auto"/>
        <w:rPr>
          <w:sz w:val="20"/>
          <w:szCs w:val="20"/>
          <w:color w:val="auto"/>
        </w:rPr>
      </w:pPr>
      <w:r>
        <w:rPr>
          <w:rFonts w:ascii="Times New Roman" w:cs="Times New Roman" w:eastAsia="Times New Roman" w:hAnsi="Times New Roman"/>
          <w:sz w:val="18"/>
          <w:szCs w:val="18"/>
          <w:color w:val="auto"/>
        </w:rPr>
        <w:t>ARTAS® and ARTAS® iX Systems and consumables are performance obligations that are satisfied at a point in time (upon shipment), whereas ARTAS Care, product training, and marketing services are performance obligations that are satisfied over time (e.g. straight line over the performance period or as training and marketing services are performed).</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revenue expected to be recognized in the future related to performance obligations that are unsatisfied or partially unsatisfied at the end of the reporting period as follows (in thousands):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2019 (A)</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2022 and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 related</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Procedure-based</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Service-related fees</w:t>
            </w:r>
          </w:p>
        </w:tc>
        <w:tc>
          <w:tcPr>
            <w:tcW w:w="16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2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20" w:type="dxa"/>
            <w:vAlign w:val="bottom"/>
          </w:tcPr>
          <w:p>
            <w:pPr>
              <w:spacing w:after="0"/>
              <w:rPr>
                <w:sz w:val="19"/>
                <w:szCs w:val="19"/>
                <w:color w:val="auto"/>
              </w:rPr>
            </w:pPr>
          </w:p>
        </w:tc>
        <w:tc>
          <w:tcPr>
            <w:tcW w:w="6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467</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20" w:hanging="519"/>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unearned revenue for the remaining three months of the year 2019.</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Freight Costs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Shipping and freight costs are treated as fulfillment costs. For shipments to end-customers, the customer bears the shipping and freight costs and has control of the product upon shipment. For shipments to distributors, the distributor bears the shipping and freight costs, including insurance, tariffs and other import/export costs. Additionally, sale taxes are excluded from revenue.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w:t>
      </w:r>
    </w:p>
    <w:p>
      <w:pPr>
        <w:spacing w:after="0" w:line="12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In connection with the Company’s adoption of Topic 606, the Company elected to use the following practical expedients (i) not to adjust the promised amount of consideration for the effects of a significant financing component when the Company expects, at contract inception, that the period between the Company's transfer of a promised product or service to a customer and when the customer pays for that product or service will be one year or less;</w:t>
      </w:r>
    </w:p>
    <w:p>
      <w:pPr>
        <w:spacing w:after="0" w:line="2" w:lineRule="exact"/>
        <w:rPr>
          <w:sz w:val="20"/>
          <w:szCs w:val="20"/>
          <w:color w:val="auto"/>
        </w:rPr>
      </w:pPr>
    </w:p>
    <w:p>
      <w:pPr>
        <w:ind w:right="320" w:firstLine="6"/>
        <w:spacing w:after="0" w:line="261"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expense costs as incurred for costs to obtain a contract when the amortization period would have been one year or less; and (iii) not to recast revenue for contracts that begin and end in the same fiscal year.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Customer Contracts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Sales commissions and related expenses are considered incremental and recoverable costs of acquiring customer contracts. Except for sales commissions that would have been amortized in one year or less, which we have elected the practical expedient discussed above, certain sales commissions related to ARTAS Care and consumables that are sold bundled with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Systems, are capitalized and amortized on a straight-line basis over the anticipated period of benefit, which we have estimated to be three years for ARTAS Care extended warranty service contracts and five years for consumables. We determined the period of benefit by taking into consideration the length of the customer contracts, the Company’s technology lifecycle, and other factors. Amortization expense is recorded in sales and marketing expense within the condensed consolidated statement of operations. As of September 30, 2019, short-term and long-term unamortized deferred compensation were $3 and $8, which are included in “Prepaid and other current assets” and “Other Assets,” respectively, on the condensed consolidated balance sheets.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(Remaining Performance Obligations)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aggregate balance of remaining performance obligations represents contracted revenue that has not yet been recognized primarily from ARTAS Care extended warranty service contracts, product training and marketing services not yet rendered to customers.</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6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40" w:type="dxa"/>
            <w:vAlign w:val="bottom"/>
          </w:tcPr>
          <w:p>
            <w:pPr>
              <w:spacing w:after="0"/>
              <w:rPr>
                <w:sz w:val="15"/>
                <w:szCs w:val="15"/>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2019</w:t>
            </w: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8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300" w:type="dxa"/>
            <w:vAlign w:val="bottom"/>
            <w:tcBorders>
              <w:top w:val="single" w:sz="8" w:color="CFF0FC"/>
              <w:right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Additions</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21"/>
                <w:szCs w:val="21"/>
                <w:color w:val="auto"/>
              </w:rPr>
            </w:pPr>
          </w:p>
        </w:tc>
      </w:tr>
      <w:tr>
        <w:trPr>
          <w:trHeight w:val="230"/>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Recognition of deferred revenue</w:t>
            </w:r>
          </w:p>
        </w:tc>
        <w:tc>
          <w:tcPr>
            <w:tcW w:w="1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(1,717)</w:t>
            </w:r>
          </w:p>
        </w:tc>
      </w:tr>
      <w:tr>
        <w:trPr>
          <w:trHeight w:val="20"/>
        </w:trPr>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300" w:type="dxa"/>
            <w:vAlign w:val="bottom"/>
          </w:tcPr>
          <w:p>
            <w:pPr>
              <w:spacing w:after="0"/>
              <w:rPr>
                <w:sz w:val="24"/>
                <w:szCs w:val="24"/>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Pr>
          <w:p>
            <w:pPr>
              <w:spacing w:after="0"/>
              <w:rPr>
                <w:sz w:val="24"/>
                <w:szCs w:val="24"/>
                <w:color w:val="auto"/>
              </w:rPr>
            </w:pPr>
          </w:p>
        </w:tc>
      </w:tr>
      <w:tr>
        <w:trPr>
          <w:trHeight w:val="210"/>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Deferred revenue - current</w:t>
            </w:r>
          </w:p>
        </w:tc>
        <w:tc>
          <w:tcPr>
            <w:tcW w:w="18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00" w:type="dxa"/>
            <w:vAlign w:val="bottom"/>
            <w:tcBorders>
              <w:top w:val="single" w:sz="8" w:color="CFF0FC"/>
              <w:right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top w:val="single" w:sz="8" w:color="CFF0FC"/>
            </w:tcBorders>
            <w:shd w:val="clear" w:color="auto" w:fill="CFF0FC"/>
          </w:tcPr>
          <w:p>
            <w:pPr>
              <w:spacing w:after="0"/>
              <w:rPr>
                <w:sz w:val="18"/>
                <w:szCs w:val="18"/>
                <w:color w:val="auto"/>
              </w:rPr>
            </w:pPr>
          </w:p>
        </w:tc>
      </w:tr>
      <w:tr>
        <w:trPr>
          <w:trHeight w:val="237"/>
        </w:trPr>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 - non-current (A)</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20"/>
                <w:szCs w:val="20"/>
                <w:color w:val="auto"/>
              </w:rPr>
            </w:pP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r>
      <w:tr>
        <w:trPr>
          <w:trHeight w:val="20"/>
        </w:trPr>
        <w:tc>
          <w:tcPr>
            <w:tcW w:w="4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100" w:right="2220" w:hanging="5099"/>
        <w:spacing w:after="0" w:line="532" w:lineRule="auto"/>
        <w:tabs>
          <w:tab w:leader="none" w:pos="51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long-term liabilities” on the condensed consolidated balance sheets as of September 30, 2019.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-102870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553" w:right="25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520" w:right="380"/>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geographical regions and by the timing of when goods and services are transferred. The Company determined that disaggregating revenue into these categories depicts how the nature, amount, timing and uncertainty of revenue and cash flows are affected by regional economic factors.</w:t>
      </w:r>
    </w:p>
    <w:p>
      <w:pPr>
        <w:spacing w:after="0" w:line="176"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The following tables provide information about disaggregated revenue from contracts with customers into geographic regions, and the nature of the products and services:</w:t>
      </w:r>
    </w:p>
    <w:p>
      <w:pPr>
        <w:spacing w:after="0" w:line="236"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53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Borders>
              <w:bottom w:val="single" w:sz="8" w:color="CFF0FC"/>
            </w:tcBorders>
          </w:tcPr>
          <w:p>
            <w:pPr>
              <w:spacing w:after="0"/>
              <w:rPr>
                <w:sz w:val="13"/>
                <w:szCs w:val="13"/>
                <w:color w:val="auto"/>
              </w:rPr>
            </w:pPr>
          </w:p>
        </w:tc>
      </w:tr>
      <w:tr>
        <w:trPr>
          <w:trHeight w:val="22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8,712</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Europe and Middle East *</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w:t>
            </w:r>
          </w:p>
        </w:tc>
        <w:tc>
          <w:tcPr>
            <w:tcW w:w="12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FF0FC"/>
            </w:tcBorders>
          </w:tcPr>
          <w:p>
            <w:pPr>
              <w:spacing w:after="0"/>
              <w:rPr>
                <w:sz w:val="19"/>
                <w:szCs w:val="19"/>
                <w:color w:val="auto"/>
              </w:rPr>
            </w:pPr>
          </w:p>
        </w:tc>
      </w:tr>
      <w:tr>
        <w:trPr>
          <w:trHeight w:val="223"/>
        </w:trPr>
        <w:tc>
          <w:tcPr>
            <w:tcW w:w="5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country is greater than 10% of revenue</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3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Systems</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Procedure-based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Service-related fees</w:t>
            </w: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9" w:lineRule="exact"/>
        <w:rPr>
          <w:sz w:val="20"/>
          <w:szCs w:val="20"/>
          <w:color w:val="auto"/>
        </w:rPr>
      </w:pPr>
    </w:p>
    <w:p>
      <w:pPr>
        <w:ind w:left="520" w:right="9280" w:hanging="512"/>
        <w:spacing w:after="0" w:line="378" w:lineRule="auto"/>
        <w:tabs>
          <w:tab w:leader="none" w:pos="182"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NET LOSS PER SHARE </w:t>
      </w:r>
      <w:r>
        <w:rPr>
          <w:rFonts w:ascii="Times New Roman" w:cs="Times New Roman" w:eastAsia="Times New Roman" w:hAnsi="Times New Roman"/>
          <w:sz w:val="18"/>
          <w:szCs w:val="18"/>
          <w:b w:val="1"/>
          <w:bCs w:val="1"/>
          <w:i w:val="1"/>
          <w:iCs w:val="1"/>
          <w:color w:val="auto"/>
        </w:rPr>
        <w:t>Net Loss Per Share</w:t>
      </w:r>
    </w:p>
    <w:p>
      <w:pPr>
        <w:ind w:left="520" w:right="100"/>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by dividing net loss by the weighted-average number of common shares outstanding during the period, without consideration for common stock equivalents. Diluted net loss per share is computed by dividing net loss by the weighted-average number of common share equivalents outstanding for the period determined using the treasury-stock method. For purposes of this calculation, convertible preferred stock, preferred stock warrants and stock options are common stock equivalents and are only included in the calculation of diluted net loss per share when their effect is dilutive.</w:t>
      </w:r>
    </w:p>
    <w:p>
      <w:pPr>
        <w:spacing w:after="0" w:line="184" w:lineRule="exact"/>
        <w:rPr>
          <w:sz w:val="20"/>
          <w:szCs w:val="20"/>
          <w:color w:val="auto"/>
        </w:rPr>
      </w:pPr>
    </w:p>
    <w:p>
      <w:pPr>
        <w:jc w:val="both"/>
        <w:ind w:left="520" w:right="320"/>
        <w:spacing w:after="0" w:line="266" w:lineRule="auto"/>
        <w:rPr>
          <w:sz w:val="20"/>
          <w:szCs w:val="20"/>
          <w:color w:val="auto"/>
        </w:rPr>
      </w:pPr>
      <w:r>
        <w:rPr>
          <w:rFonts w:ascii="Times New Roman" w:cs="Times New Roman" w:eastAsia="Times New Roman" w:hAnsi="Times New Roman"/>
          <w:sz w:val="18"/>
          <w:szCs w:val="18"/>
          <w:color w:val="auto"/>
        </w:rPr>
        <w:t>Effective November 7, 2019, a reverse stock split of 15-for-1 was retrospectively applied to the common stock equivalents in the table below. The following outstanding shares of common stock equivalents were excluded from the calculation of diluted net loss per share attributable to common stockholders for the periods presented because including them would have been antidilutive:</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4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September 30,</w:t>
            </w: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221,941</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135,126</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20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31,212</w:t>
            </w:r>
          </w:p>
        </w:tc>
        <w:tc>
          <w:tcPr>
            <w:tcW w:w="60" w:type="dxa"/>
            <w:vAlign w:val="bottom"/>
            <w:shd w:val="clear" w:color="auto" w:fill="CFF0FC"/>
          </w:tcPr>
          <w:p>
            <w:pPr>
              <w:spacing w:after="0"/>
              <w:rPr>
                <w:sz w:val="19"/>
                <w:szCs w:val="19"/>
                <w:color w:val="auto"/>
              </w:rPr>
            </w:pPr>
          </w:p>
        </w:tc>
      </w:tr>
      <w:tr>
        <w:trPr>
          <w:trHeight w:val="223"/>
        </w:trPr>
        <w:tc>
          <w:tcPr>
            <w:tcW w:w="5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246,088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166,338</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121" w:lineRule="exact"/>
        <w:rPr>
          <w:sz w:val="20"/>
          <w:szCs w:val="20"/>
          <w:color w:val="auto"/>
        </w:rPr>
      </w:pPr>
    </w:p>
    <w:p>
      <w:pPr>
        <w:jc w:val="both"/>
        <w:ind w:left="520"/>
        <w:spacing w:after="0" w:line="266" w:lineRule="auto"/>
        <w:rPr>
          <w:sz w:val="20"/>
          <w:szCs w:val="20"/>
          <w:color w:val="auto"/>
        </w:rPr>
      </w:pPr>
      <w:r>
        <w:rPr>
          <w:rFonts w:ascii="Times New Roman" w:cs="Times New Roman" w:eastAsia="Times New Roman" w:hAnsi="Times New Roman"/>
          <w:sz w:val="18"/>
          <w:szCs w:val="18"/>
          <w:color w:val="auto"/>
        </w:rPr>
        <w:t>Cash and cash equivalents, restricted cash, accounts receivable, accounts payable, and accrued liabilities approximate fair market value because of the short-term nature of those instruments. The Company’s Term Loan with Solar and Convertible Promissory Notes (both discussed further in Note 8) have fair values that approximate their carrying value.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15" w:name="page16"/>
    <w:bookmarkEnd w:id="15"/>
    <w:p>
      <w:pPr>
        <w:ind w:left="520" w:right="60"/>
        <w:spacing w:after="0" w:line="258" w:lineRule="auto"/>
        <w:rPr>
          <w:sz w:val="20"/>
          <w:szCs w:val="20"/>
          <w:color w:val="auto"/>
        </w:rPr>
      </w:pPr>
      <w:r>
        <w:rPr>
          <w:rFonts w:ascii="Times New Roman" w:cs="Times New Roman" w:eastAsia="Times New Roman" w:hAnsi="Times New Roman"/>
          <w:sz w:val="18"/>
          <w:szCs w:val="18"/>
          <w:color w:val="auto"/>
        </w:rPr>
        <w:t>U.S. GAAP establishes a framework for measuring fair value and a fair value hierarchy based on the inputs used to measure fair value. This framework maximizes the use of observable inputs and minimizes the use of unobservable inputs by requiring that the observable inputs be used when available. Fair value is defined as the price that would be received to sell an asset or paid to transfer a liability in an orderly transaction between market participants at the measurement date. It applies to both items recognized and reported at fair value in the condensed consolidated financial statements and items disclosed at fair value in the notes to the condensed consolidated financial statements.</w:t>
      </w:r>
    </w:p>
    <w:p>
      <w:pPr>
        <w:spacing w:after="0" w:line="184" w:lineRule="exact"/>
        <w:rPr>
          <w:sz w:val="20"/>
          <w:szCs w:val="20"/>
          <w:color w:val="auto"/>
        </w:rPr>
      </w:pPr>
    </w:p>
    <w:p>
      <w:pPr>
        <w:ind w:left="520" w:right="440"/>
        <w:spacing w:after="0" w:line="266" w:lineRule="auto"/>
        <w:rPr>
          <w:sz w:val="20"/>
          <w:szCs w:val="20"/>
          <w:color w:val="auto"/>
        </w:rPr>
      </w:pPr>
      <w:r>
        <w:rPr>
          <w:rFonts w:ascii="Times New Roman" w:cs="Times New Roman" w:eastAsia="Times New Roman" w:hAnsi="Times New Roman"/>
          <w:sz w:val="18"/>
          <w:szCs w:val="18"/>
          <w:color w:val="auto"/>
        </w:rPr>
        <w:t>Observable inputs are inputs that market participants would use in pricing the asset or liability based on market data obtained from independent sources. Unobservable inputs reflect assumptions that market participants would use in pricing the asset or liability based on the best information available in the circumstances. The hierarchy is broken down into three levels based on the transparency of inputs as follows:</w:t>
      </w:r>
    </w:p>
    <w:p>
      <w:pPr>
        <w:spacing w:after="0" w:line="66" w:lineRule="exact"/>
        <w:rPr>
          <w:sz w:val="20"/>
          <w:szCs w:val="20"/>
          <w:color w:val="auto"/>
        </w:rPr>
      </w:pPr>
    </w:p>
    <w:p>
      <w:pPr>
        <w:ind w:left="1040" w:right="4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are available in active markets for identical assets or liabilities as of the report date. A quoted price for an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or liability in an active market provides the most reliable fair value measurement because it is directly observable to the market.</w:t>
      </w:r>
    </w:p>
    <w:p>
      <w:pPr>
        <w:spacing w:after="0" w:line="50" w:lineRule="exact"/>
        <w:rPr>
          <w:sz w:val="20"/>
          <w:szCs w:val="20"/>
          <w:color w:val="auto"/>
        </w:rPr>
      </w:pPr>
    </w:p>
    <w:p>
      <w:pPr>
        <w:ind w:left="1040"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Pricing inputs are other than quoted prices in active markets, which are either directly or indirectly observable as of the report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nature of these securities includes investments for which quoted prices are available but traded less frequently and investments that are fair valued using other securities, the parameters of which can be directly observed.</w:t>
      </w:r>
    </w:p>
    <w:p>
      <w:pPr>
        <w:spacing w:after="0" w:line="65" w:lineRule="exact"/>
        <w:rPr>
          <w:sz w:val="20"/>
          <w:szCs w:val="20"/>
          <w:color w:val="auto"/>
        </w:rPr>
      </w:pPr>
    </w:p>
    <w:p>
      <w:pPr>
        <w:ind w:left="1040"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Securities that have little to no pricing observability as of the report date. These securities are measured using management’s best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 of fair value, where the inputs into the determination of fair value are not observable and require significant management judgment or estimation.</w:t>
      </w:r>
    </w:p>
    <w:p>
      <w:pPr>
        <w:spacing w:after="0" w:line="176" w:lineRule="exact"/>
        <w:rPr>
          <w:sz w:val="20"/>
          <w:szCs w:val="20"/>
          <w:color w:val="auto"/>
        </w:rPr>
      </w:pPr>
    </w:p>
    <w:p>
      <w:pPr>
        <w:ind w:left="520" w:right="80"/>
        <w:spacing w:after="0" w:line="261" w:lineRule="auto"/>
        <w:rPr>
          <w:sz w:val="20"/>
          <w:szCs w:val="20"/>
          <w:color w:val="auto"/>
        </w:rPr>
      </w:pPr>
      <w:r>
        <w:rPr>
          <w:rFonts w:ascii="Times New Roman" w:cs="Times New Roman" w:eastAsia="Times New Roman" w:hAnsi="Times New Roman"/>
          <w:sz w:val="18"/>
          <w:szCs w:val="18"/>
          <w:color w:val="auto"/>
        </w:rPr>
        <w:t>A financial instrument’s level within the fair value hierarchy is based on the lowest level of any input that is significant to the fair value measurement. However, the determination of what constitutes “observable” requires significant judgment by the Company. The categorization of a financial instrument within the hierarchy is based upon the pricing transparency of the instrument and does not necessarily correspond to the Company’s perceived risk of that instrument.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tables summarize the levels of fair value measurements of the Company’s cash equivalents: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10"/>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Fair Value Measurements as of September 30, 2019</w:t>
            </w: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using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10"/>
          </w:tcPr>
          <w:p>
            <w:pPr>
              <w:jc w:val="right"/>
              <w:ind w:right="105"/>
              <w:spacing w:after="0"/>
              <w:rPr>
                <w:sz w:val="20"/>
                <w:szCs w:val="20"/>
                <w:color w:val="auto"/>
              </w:rPr>
            </w:pPr>
            <w:r>
              <w:rPr>
                <w:rFonts w:ascii="Times New Roman" w:cs="Times New Roman" w:eastAsia="Times New Roman" w:hAnsi="Times New Roman"/>
                <w:sz w:val="14"/>
                <w:szCs w:val="14"/>
                <w:b w:val="1"/>
                <w:bCs w:val="1"/>
                <w:color w:val="auto"/>
              </w:rPr>
              <w:t>Fair Value Measurements as of December 31, 2018</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2"/>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using Identical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Money market account</w:t>
            </w:r>
          </w:p>
        </w:tc>
        <w:tc>
          <w:tcPr>
            <w:tcW w:w="15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Total assets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782"/>
              <w:spacing w:after="0"/>
              <w:rPr>
                <w:sz w:val="20"/>
                <w:szCs w:val="20"/>
                <w:color w:val="auto"/>
              </w:rPr>
            </w:pPr>
            <w:r>
              <w:rPr>
                <w:rFonts w:ascii="Times New Roman" w:cs="Times New Roman" w:eastAsia="Times New Roman" w:hAnsi="Times New Roman"/>
                <w:sz w:val="18"/>
                <w:szCs w:val="18"/>
                <w:color w:val="auto"/>
                <w:w w:val="88"/>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59"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120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450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2,464</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2,735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inventory</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0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20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200" w:type="dxa"/>
            <w:vAlign w:val="bottom"/>
          </w:tcPr>
          <w:p>
            <w:pPr>
              <w:spacing w:after="0"/>
              <w:rPr>
                <w:sz w:val="15"/>
                <w:szCs w:val="15"/>
                <w:color w:val="auto"/>
              </w:rPr>
            </w:pPr>
          </w:p>
        </w:tc>
        <w:tc>
          <w:tcPr>
            <w:tcW w:w="4500" w:type="dxa"/>
            <w:vAlign w:val="bottom"/>
            <w:tcBorders>
              <w:bottom w:val="single" w:sz="8" w:color="CFF0FC"/>
            </w:tcBorders>
          </w:tcPr>
          <w:p>
            <w:pPr>
              <w:spacing w:after="0"/>
              <w:rPr>
                <w:sz w:val="15"/>
                <w:szCs w:val="15"/>
                <w:color w:val="auto"/>
              </w:rPr>
            </w:pPr>
          </w:p>
        </w:tc>
        <w:tc>
          <w:tcPr>
            <w:tcW w:w="9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9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Computer hardware and software</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9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9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(4,989)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23"/>
        </w:trPr>
        <w:tc>
          <w:tcPr>
            <w:tcW w:w="1200" w:type="dxa"/>
            <w:vAlign w:val="bottom"/>
          </w:tcPr>
          <w:p>
            <w:pPr>
              <w:spacing w:after="0"/>
              <w:rPr>
                <w:sz w:val="19"/>
                <w:szCs w:val="19"/>
                <w:color w:val="auto"/>
              </w:rPr>
            </w:pPr>
          </w:p>
        </w:tc>
        <w:tc>
          <w:tcPr>
            <w:tcW w:w="4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9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were $220 and $524 for three and nine months ended September 30, 2019, respectively. Depreciation and amortization expense were $268 and $539 for the three and nine months ended September 30, 2018, respectively.</w:t>
      </w:r>
    </w:p>
    <w:p>
      <w:pPr>
        <w:spacing w:after="0" w:line="306" w:lineRule="exact"/>
        <w:rPr>
          <w:sz w:val="20"/>
          <w:szCs w:val="20"/>
          <w:color w:val="auto"/>
        </w:rPr>
      </w:pPr>
    </w:p>
    <w:p>
      <w:pPr>
        <w:ind w:left="520" w:right="7600" w:hanging="512"/>
        <w:spacing w:after="0" w:line="378" w:lineRule="auto"/>
        <w:tabs>
          <w:tab w:leader="none" w:pos="18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i w:val="1"/>
          <w:iCs w:val="1"/>
          <w:color w:val="auto"/>
        </w:rPr>
        <w:t>Operating Leases</w:t>
      </w:r>
    </w:p>
    <w:p>
      <w:pPr>
        <w:ind w:left="520"/>
        <w:spacing w:after="0" w:line="266" w:lineRule="auto"/>
        <w:rPr>
          <w:sz w:val="20"/>
          <w:szCs w:val="20"/>
          <w:color w:val="auto"/>
        </w:rPr>
      </w:pPr>
      <w:r>
        <w:rPr>
          <w:rFonts w:ascii="Times New Roman" w:cs="Times New Roman" w:eastAsia="Times New Roman" w:hAnsi="Times New Roman"/>
          <w:sz w:val="18"/>
          <w:szCs w:val="18"/>
          <w:color w:val="auto"/>
        </w:rPr>
        <w:t>The Company has various operating leases including 23,000 square feet of office space and 2,500 square feet of manufacturing space in San Jose, California. The office space lease expires in April 2022. The Company’s manufacturing space lease expired in April 2019 and is now on a month-to-month lease arrangement.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Aggregate future minimum lease payments required under the Company’s operating leases as of September 30, 2019 are as follows:</w:t>
      </w:r>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(remaining 3 months)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38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2022</w:t>
            </w:r>
          </w:p>
        </w:tc>
        <w:tc>
          <w:tcPr>
            <w:tcW w:w="38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6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Total rent expense was $161 and $481 for three and nine months ended September 30, 2019, respectively. Total rent expense was $163 and $401 for the three and nine months ended September 30, 2018, respectively.</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1" w:right="4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two master agreements and a component pricing agreement with Evolve Manufacturing Technologies, Inc. (Evolve) for the supply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and consumable products. The terms of these master agreements are substantially similar. The master agreement for the sale of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Systems was effective beginning on April 1, 2016 and the master agreement for the sale of kits used with the ARTAS System was effective beginning on March 1, 2016. Both agreements are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 Under the agreements, the Company has future purchase commitments up to $285 as of September 30, 2019.</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2018, the Company received U.S. FDA 510(k) clearance to expand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technology to include an implantation functionality, referred to as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Based on manufacturing changes associated with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the Company determined that certain components procured or expected to be procured by Evolve, will be in excess of expected demand or usage based on the advance notice the Company provided to Evolve under the term of the agreement mentioned above. Additionally, in the fourth quarter of 2018, the Company recorded a $188 charge related to other excess purchase commitments from another vendor based on cost reduction changes in 2019. Although the Company will be taking steps to minimize the adverse impact on the Company’s business, based on information available as of September 30, 2019, the Company’s management recorded a loss contingency accrual of $473 which is included in “Other accrued liabilities” on the condensed consolidated balance sheets as of September 30, 2019.</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Agreements</w:t>
      </w:r>
    </w:p>
    <w:p>
      <w:pPr>
        <w:spacing w:after="0" w:line="12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July 2006, the Company entered into a license agreement with Rassman Licensing, LLC (Rassman) for non-exclusive, royalty bearing, non-transferable, perpetual, world-wide rights for use on approved fields relating to robotically controlled hair removal and implantation procedures. In consideration for this license, the Company paid Rassman a one-time payment of $1,000. The agreement terminates on May 9, 2020. In February 2012, the Company amended its license agreement with Rassman. In exchange for a one-time $400 payment to Rassman, the Company now has a fully paid royalty-free perpetual license to a patent subject to this license agreement.</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July 2006, the Company entered into a license agreement with HSC Development, LLC for exclusive non-transferable, royalty-free worldwide rights for use in approved fields relating to a computer-controlled system in which a device is carried on a mechanized arm for extraction or implantation of a follicular unit without manual manipulation. In consideration for this license, the Company paid HSC Development, LLC a one-time payment of $25 and issued 2,500 shares of the Company’s common stock. The agreement terminates on July 27,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From time to time the Company is involved in litigation arising out of claims in the normal course of business. Based on the information presently available, management believes that there are no claims or actions pending or threatened against the Company, the ultimate resolution of which will have a material effect on the Company’s financial position, liquidity or results of operations, although the results of litigation are inherently uncertain.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Purported Shareholder Class Action</w:t>
      </w:r>
    </w:p>
    <w:p>
      <w:pPr>
        <w:spacing w:after="0" w:line="1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the Company as defendants, and certain of its current and former executive officers and directors, certain of its venture capital investors and the underwriters in the Company’s IPO. The Yzeiraj complaint names the Company as defendants and certain of its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the Company’s Registration Statement filed with the SEC on September 1, 2017 and the Prospectus filed with the SEC on October 13, 2017 in connection with the Company’s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 In addition, on June 11, 2019, a putative shareholder class action complaint was filed in Superior Court of the State of California, County of San Mateo, captioned Li v. Restoration Robotics, Inc., et al., No. 19CIV08173. The Li complaint asserts claims under Sections 11, 12(a)(2) and 15 of the Securities Act of 1933, or the Securities Act and is based on the same set of facts as the Wong complaint. The Li complaint seeks unspecified monetary damages, other equitable relief and attorneys’ fees and costs.</w:t>
      </w:r>
    </w:p>
    <w:p>
      <w:pPr>
        <w:spacing w:after="0" w:line="3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657" w:right="239" w:bottom="1440" w:gutter="0" w:footer="0" w:header="0"/>
        </w:sectPr>
      </w:pPr>
    </w:p>
    <w:bookmarkStart w:id="18" w:name="page19"/>
    <w:bookmarkEnd w:id="18"/>
    <w:p>
      <w:pPr>
        <w:ind w:left="520"/>
        <w:spacing w:after="0" w:line="253" w:lineRule="auto"/>
        <w:rPr>
          <w:sz w:val="20"/>
          <w:szCs w:val="20"/>
          <w:color w:val="auto"/>
        </w:rPr>
      </w:pPr>
      <w:r>
        <w:rPr>
          <w:rFonts w:ascii="Times New Roman" w:cs="Times New Roman" w:eastAsia="Times New Roman" w:hAnsi="Times New Roman"/>
          <w:sz w:val="18"/>
          <w:szCs w:val="18"/>
          <w:color w:val="auto"/>
        </w:rPr>
        <w:t>On August 8, 2018, the Company, along with certain of its current and former executive officers and directors, filed a motion to dismiss the Wong complaint based on the forum selection clause designating the federal district courts as the exclusive forum for claims arising under the Securities Act contained in the Company’s Amended and Restated Certificate of Incorporation, and which asked the court in the alternative to stay the Wong action. Also, on August 8, 2018, the venture capital investor and underwriters’ defendants in the Wong action filed demurrers to the Wong complaint, and the Company, along with certain of its current and former executive officers and directors, joined in the venture capital investor defendants’ demurrer. A hearing on the Company’s motion to dismiss and the demurrers to the Wong complaint was held on October 24, 2018. On October 25, 2018, the Court ordered the defendants’ demurrers to the complaint sustained with leave to amend and granted an extension of time for plaintiff to serve a First Amended Complaint until further order of the Court. On January 31, 2019, the Court stayed the case and stayed any decision on the Company’s motion to dismiss on forum selection grounds pending resolution of an appeal of Sciabacucchi v. Salzberg, a case addressing similar issues in Delaware. On August 12, 2019, the Court consolidated the Wong and Li actions, and lifted the stay imposed on January 31, 2019 to allow further briefing on the Company’s motion to dismiss. A further hearing on the motion to dismiss was held on September 17, 2019.</w:t>
      </w:r>
    </w:p>
    <w:p>
      <w:pPr>
        <w:spacing w:after="0" w:line="193" w:lineRule="exact"/>
        <w:rPr>
          <w:sz w:val="20"/>
          <w:szCs w:val="20"/>
          <w:color w:val="auto"/>
        </w:rPr>
      </w:pPr>
    </w:p>
    <w:p>
      <w:pPr>
        <w:ind w:left="520"/>
        <w:spacing w:after="0" w:line="255" w:lineRule="auto"/>
        <w:rPr>
          <w:sz w:val="20"/>
          <w:szCs w:val="20"/>
          <w:color w:val="auto"/>
        </w:rPr>
      </w:pPr>
      <w:r>
        <w:rPr>
          <w:rFonts w:ascii="Times New Roman" w:cs="Times New Roman" w:eastAsia="Times New Roman" w:hAnsi="Times New Roman"/>
          <w:sz w:val="18"/>
          <w:szCs w:val="18"/>
          <w:color w:val="auto"/>
        </w:rPr>
        <w:t>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On November 30, 2018, Lead Plaintiff Edgardo Guerrini filed a Consolidated Amended Complaint for violations of federal securities laws asserting the same claims, against the same defendants, as his original complaint but adding certain allegations in support of those claims. On January 29, 2019, the Company, along with certain of its current and former executive officers and directors, filed a motion to dismiss the Consolidated Amended Complaint for failure to state a claim under Federal Rule of Civil Procedure 12(b)(6). The venture capital defendants and underwriter defendants filed joinders to the Company’s motion to dismiss on the same day. On October 18, 2019, the District Court granted in part and denied in part the Company’s motion to dismiss.</w:t>
      </w:r>
    </w:p>
    <w:p>
      <w:pPr>
        <w:spacing w:after="0" w:line="185" w:lineRule="exact"/>
        <w:rPr>
          <w:sz w:val="20"/>
          <w:szCs w:val="20"/>
          <w:color w:val="auto"/>
        </w:rPr>
      </w:pPr>
    </w:p>
    <w:p>
      <w:pPr>
        <w:ind w:left="520" w:right="60"/>
        <w:spacing w:after="0" w:line="255" w:lineRule="auto"/>
        <w:rPr>
          <w:sz w:val="20"/>
          <w:szCs w:val="20"/>
          <w:color w:val="auto"/>
        </w:rPr>
      </w:pPr>
      <w:r>
        <w:rPr>
          <w:rFonts w:ascii="Times New Roman" w:cs="Times New Roman" w:eastAsia="Times New Roman" w:hAnsi="Times New Roman"/>
          <w:sz w:val="18"/>
          <w:szCs w:val="18"/>
          <w:color w:val="auto"/>
        </w:rPr>
        <w:t>On July 11, 2019, a verified shareholder derivative complaint was filed in the United States District Court for the Northern District of California, captioned Mason v. Rhodes, No. 5:19-cv-03997-NC. The complaint alleges that certain of our current and former executive officers and directors breached their fiduciary duties, have been unjustly enriched and violated Section 14(a) of the Securities Exchange Act of 1934 in connection with our IPO and our 2018 proxy statement. The complaint seeks unspecified damages, declaratory relief, other equitable relief and attorneys’ fees and costs. On August 21, 2019, the District Court related the Mason action with the federal class action, In re Restoration Robotics, Inc. Sec. Litig., and reassigned the Mason action to Judge Edward J. Davila. Also, on August 21, 2019, the District Court granted the parties’ joint stipulation to stay the Mason action during the pendency of the federal class action, In re Restoration Robotics, Inc. Sec. Litig., No. 5:18-cv-03712-EJD.</w:t>
      </w:r>
    </w:p>
    <w:p>
      <w:pPr>
        <w:spacing w:after="0" w:line="189" w:lineRule="exact"/>
        <w:rPr>
          <w:sz w:val="20"/>
          <w:szCs w:val="20"/>
          <w:color w:val="auto"/>
        </w:rPr>
      </w:pPr>
    </w:p>
    <w:p>
      <w:pPr>
        <w:ind w:left="520" w:right="200"/>
        <w:spacing w:after="0" w:line="255" w:lineRule="auto"/>
        <w:rPr>
          <w:sz w:val="20"/>
          <w:szCs w:val="20"/>
          <w:color w:val="auto"/>
        </w:rPr>
      </w:pPr>
      <w:r>
        <w:rPr>
          <w:rFonts w:ascii="Times New Roman" w:cs="Times New Roman" w:eastAsia="Times New Roman" w:hAnsi="Times New Roman"/>
          <w:sz w:val="18"/>
          <w:szCs w:val="18"/>
          <w:color w:val="auto"/>
        </w:rPr>
        <w:t>On September 24, 2019, a complaint was filed in the United States District Court for the Northern District of California, captioned Bushansky v. Restoration Robotics, Inc., et al., No. 5:19-cv-06004-MMC. The complaint alleges, among other things, that defendants violated Sections 14(a) and 20(a) of the Securities Exchange Act of 1934 and Securities and Exchange Commission Rule 14d-9. The complaint alleges that the proxy statement filed with the United States Securities and Exchange Commission by Restoration Robotics on September 10, 2019 in connection with the proposed transaction whereby Restoration Robotics would merge with Venus Concept Ltd. omitted or misrepresented material information. The complaint seeks,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believes that these lawsuits are without merit and management intends to vigorously defend against these claims.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Issuance of Unsecured Subordinated Promissory Notes</w:t>
      </w:r>
    </w:p>
    <w:p>
      <w:pPr>
        <w:spacing w:after="0" w:line="119"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In connection with the Convertible Note Financing, on June 25, 2019, the Company entered into a $2,500 Unsecured Subordinated Promissory Note, which funded on July 5, 2019, with Venus Concept USA Inc., a wholly owned subsidiary of Venus. On August 14, 2019, the Company entered into another $2,500 Unsecured Subordinated Promissory Note funded in three tranches A and B of $1,000 each and tranche C of $500 with Venus Concept USA Inc., a wholly owned subsidiary of Venus, collectively (the Subordinated Notes). Tranches A and B were funded on August 27, 2019 and September 25, 2019, respectively for a total of $2,000. The maturity date of the Subordinated Notes is November 30, 2019. The Subordinated Notes bear interest on the unpaid principal amount at a rate of eight percent (8%) per annum from the date of issuance, provided that upon any event of default pursuant to the Subordinated Notes, the Subordinated Notes shall bear interest payable on demand at a rate that is 4% per annum in excess of the rate of interest otherwise payable under thereunder. The Subordinated Notes are unsecured and subordinate in priority to the Company’s existing obligations to Solar Capital, Ltd. under its amended loan and security agreement.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Issuance of Related Party Convertible Promissory Notes</w:t>
      </w:r>
    </w:p>
    <w:p>
      <w:pPr>
        <w:spacing w:after="0" w:line="1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February 28, 2019, the Company entered into a Note Purchase Agreement pursuant to which the Company raised $5,000 through the issuance of two unsecured subordinated convertible promissory notes (the Notes) to Frederic Moll, M.D., one of the Company’s directors, and Interwest Partners IX, LP, one of the Company’s stockholders affiliated with Gil Kliman, M.D., one of the Company’s directors (together, the Investors). The Note Purchase Agreement was amended on August 20, 2019 to adjust the post-merger conversion price for per share from $0.825 to $0.4664 and to convert the Notes upon consummation of the Merger.</w:t>
      </w:r>
    </w:p>
    <w:p>
      <w:pPr>
        <w:spacing w:after="0" w:line="18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addition, on August 20, 2019, the Company entered into a Note Purchase Agreement pursuant to which the Company raised $2,000 through the issuance of one unsecured subordinated convertible promissory note to Frederic Moll, M.D. The maturity date of the Notes is August 28, 2020 (the Maturity Date). The Notes bear interest on the unpaid principal amount at a rate of eight percent (8.0%) per annum from the date of issuance. The Notes are unsecured and subordinate in priority to the Company’s existing obligations under the Solar Agreement.</w:t>
      </w:r>
    </w:p>
    <w:p>
      <w:pPr>
        <w:spacing w:after="0" w:line="180"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All of the outstanding principal and unpaid accrued interest on the Notes will automatically be converted into shares of the same class and series of capital stock of the Company issued to other investors upon consummation of the Merger, into the number of fully paid and non-assessable shares of the Company’s common stock, par value $0.0001 per share, of Restoration Robotics (the “Common Stock”), calculated by dividing the outstanding principal amount of this Note (and any accrued and unpaid interest under this Note) by the Post-Merger Conversion Price then in effect. The initial Post-Merger Conversion Price is $0.4664 per share, subject to adjustment for any stock split. Upon the occurrence of certain events of default or the Maturity Date, the Notes require the Company to repay the principal amount of the Notes and any unpaid accrued interest. Issuance costs associated with the Notes were not significant and accrued interest of $259 through September 30, 2019 is reported in “Other Accrued Liabilities” on the condensed consolidated balance sheets.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May 2018, the Company entered into a Loan and Security Agreement and as subsequently amended (the Solar Agreement) with Solar Capital Ltd. (Solar) and certain other lenders thereunder (together with Solar, the Lenders), and Solar, as the Collateral Agent. The Solar Agreement consists of a four-year term loan for an aggregate principal amount of $20,000 (the Borrowings), for working capital, to fund the Company’s general business requirements and to repay indebtedness of the Company to Oxford Finance LLC (the Oxford Agreement). The Company used $10,085 of the loan proceeds to repay the outstanding principal of $8,667, a final payment fee of $1,300 plus accrued interest and prepayment fees of $118 under the Oxford Agreement. The Borrowings under the Solar Agreement bear interest through maturity at a rate equal to the U.S. Dollar LIBOR rate plus</w:t>
      </w:r>
    </w:p>
    <w:p>
      <w:pPr>
        <w:ind w:right="120"/>
        <w:spacing w:after="0" w:line="261" w:lineRule="auto"/>
        <w:rPr>
          <w:sz w:val="20"/>
          <w:szCs w:val="20"/>
          <w:color w:val="auto"/>
        </w:rPr>
      </w:pPr>
      <w:r>
        <w:rPr>
          <w:rFonts w:ascii="Times New Roman" w:cs="Times New Roman" w:eastAsia="Times New Roman" w:hAnsi="Times New Roman"/>
          <w:sz w:val="18"/>
          <w:szCs w:val="18"/>
          <w:color w:val="auto"/>
        </w:rPr>
        <w:t>7.95% per annum (the Interest Rate). The outstanding balance on the loan was $20,000 and accrued interest totaled $167 as of September 30, 2019. The Interest Rate was 10.1% at September 30, 2019.</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Pursuant to the terms of the Solar Agreement, the Company shall make interest only payments until December 1, 2019 (the Interest Only Period). The Interest Only Period may be extended up to three additional months, if the Company achieves certain revenue and capital fundraising thresholds. Following cessation of the Interest Only Period, the Company shall make equal monthly payments on the outstanding principal balance of the Borrowings and any unpaid and accrued interest such that the Borrowings shall be fully repaid on May 1, 2022.</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pursuant to the Solar Agreement, the Company issued the Lenders warrants (the Warrants) to purchase an aggregate of 161,725 shares of the Company’s common stock, $0.0001 par value per share, at an exercise price of $3.71 per share. The Warrants were immediately exercisable upon issuance, and excluding certain mergers or acquisitions, will expire on the ten-year anniversary of the date of issuance. The fair value of the Warrants issued was determined to be $404 using a Black-Scholes valuation model with the following assumptions: common stock price at issuance of $3.71 per share; exercise price of $3.71; risk-free interest rate of 2.97% based upon observed risk-free interest rates; expected volatility of 55.50% based on the Company’s implied volatility; expected term of ten years, which is the contractual life of the Warrants; and a dividend yield of 0%. The fair value of the Warrants was recorded as a debt discount within notes payable and an increase to additional paid-in capital on the Company’s condensed consolidated balance sheets. The debt discount is being amortized as interest expense over the term of the Solar Agreement, using the effective interest method.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third-party transaction costs (not paid directly to the lenders) related to the debt of $404 are accounted for as a debt discount and classified within notes payable on the Company’s condensed consolidated balance sheets and amortized as interest expense over the term of the loan using the effective interest method. Unamortized debt discounts related to the Oxford Agreement and all fees paid directly to Solar and Oxford totaling $505 in connection with the debt financing in May 2018 were written off to “Other income (expense), net” in the condensed consolidated statements of operations.</w:t>
      </w:r>
    </w:p>
    <w:p>
      <w:pPr>
        <w:spacing w:after="0" w:line="18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659" w:right="279" w:bottom="1440" w:gutter="0" w:footer="0" w:header="0"/>
        </w:sectPr>
      </w:pPr>
    </w:p>
    <w:bookmarkStart w:id="20" w:name="page21"/>
    <w:bookmarkEnd w:id="20"/>
    <w:p>
      <w:pPr>
        <w:ind w:left="520" w:right="60"/>
        <w:spacing w:after="0" w:line="254" w:lineRule="auto"/>
        <w:rPr>
          <w:sz w:val="20"/>
          <w:szCs w:val="20"/>
          <w:color w:val="auto"/>
        </w:rPr>
      </w:pPr>
      <w:r>
        <w:rPr>
          <w:rFonts w:ascii="Times New Roman" w:cs="Times New Roman" w:eastAsia="Times New Roman" w:hAnsi="Times New Roman"/>
          <w:sz w:val="18"/>
          <w:szCs w:val="18"/>
          <w:color w:val="auto"/>
        </w:rPr>
        <w:t>The obligations under the Solar Agreement are secured by a lien on substantially all the Company’s property. The Solar Agreement contains certain affirmative covenants, negative covenants and events of default, including, covenants and restrictions that among other things, require the Company and its subsidiary to satisfy certain financial covenants including covenants requiring the Company to satisfy certain revenue and liquidity thresholds, and restricts the ability of the Company and its subsidiary’s ability to, incur liens, incur additional indebtedness, make loans and investments, engage in mergers and acquisitions, engage in asset sales or sale and leaseback transactions, and declare dividends or redeem or repurchase capital stock. A failure to comply with these covenants could permit the Lenders under the Solar Agreement to declare the Borrowings, together with accrued but unpaid interest and certain Prepayment Fees, to be immediately due and payable. On November 2, 2018, the Solar Agreement was amended to modify the compliance requirement for certain revenue and liquidity thresholds. As part of this amendment, the Company paid a fee of $50 to the Lenders and cancelled 161,725 Warrants (originally issued in May 2018, as mentioned above) and issued 161,725 new warrants of the Company’s common stock, $0.0001 par value per share, at an exercise price of $1.76 per share. All other terms of the Warrants were unchanged.</w:t>
      </w:r>
    </w:p>
    <w:p>
      <w:pPr>
        <w:spacing w:after="0" w:line="186" w:lineRule="exact"/>
        <w:rPr>
          <w:sz w:val="20"/>
          <w:szCs w:val="20"/>
          <w:color w:val="auto"/>
        </w:rPr>
      </w:pPr>
    </w:p>
    <w:p>
      <w:pPr>
        <w:ind w:left="520" w:right="20"/>
        <w:spacing w:after="0" w:line="252" w:lineRule="auto"/>
        <w:rPr>
          <w:sz w:val="20"/>
          <w:szCs w:val="20"/>
          <w:color w:val="auto"/>
        </w:rPr>
      </w:pPr>
      <w:r>
        <w:rPr>
          <w:rFonts w:ascii="Times New Roman" w:cs="Times New Roman" w:eastAsia="Times New Roman" w:hAnsi="Times New Roman"/>
          <w:sz w:val="18"/>
          <w:szCs w:val="18"/>
          <w:color w:val="auto"/>
        </w:rPr>
        <w:t>On February 13, 2019, the Company entered into a Third Amendment to the Loan and Security Agreement (the Third Amendment), which amended the Solar Agreement with the Lenders. Pursuant to the terms of the Third Amendment, the Solar Agreement was amended to modify the compliance requirement for certain liquidity thresholds to provide the Company with additional flexibility. As part of the Third Amendment, the Final Fee (as defined in the Solar Agreement) that is payable to the Lenders upon prepayment, default and maturity of the Solar Agreement, was amended and increased by $130 to $960. In addition, the Solar Agreement was amended to include certain additional changes to covenants covering certain operational milestones. On June 14, 2019, the Company entered into a Fourth Amendment to the Solar Agreement, which modified the compliance requirement for certain liquidity thresholds. As part of the Fourth Amendment, the Final Fee that is payable to the Lenders upon prepayment, default and maturity of the Solar Agreement, was amended and increased by $150 to $1,110, and the Solar Agreement was also amended to include a new covenant covering certain equity financing milestones. In August 2019, the Company entered into a Fifth Amendment to the Solar Agreement, which modified the compliance requirement for certain revenue thresholds and included a new covenant covering certain equity financing milestones. As part of the Fifth Amendment, the Final Fee that is payable to the Lenders upon prepayment, default and maturity of the Solar Agreement, was amended and increased by $200 to $1,310. In October 2019, the Company entered into a Sixth Amendment to the Solar Agreement, which modified the drop dead date for the Merger from October 31, 2019 to November 15, 2019. As of September 30, 2019, the Company was in compliance with all covenants under the Solar Agreement, as amended.</w:t>
      </w:r>
    </w:p>
    <w:p>
      <w:pPr>
        <w:spacing w:after="0" w:line="199" w:lineRule="exact"/>
        <w:rPr>
          <w:sz w:val="20"/>
          <w:szCs w:val="20"/>
          <w:color w:val="auto"/>
        </w:rPr>
      </w:pPr>
    </w:p>
    <w:p>
      <w:pPr>
        <w:ind w:left="520" w:right="200"/>
        <w:spacing w:after="0" w:line="261" w:lineRule="auto"/>
        <w:rPr>
          <w:sz w:val="20"/>
          <w:szCs w:val="20"/>
          <w:color w:val="auto"/>
        </w:rPr>
      </w:pPr>
      <w:r>
        <w:rPr>
          <w:rFonts w:ascii="Times New Roman" w:cs="Times New Roman" w:eastAsia="Times New Roman" w:hAnsi="Times New Roman"/>
          <w:sz w:val="18"/>
          <w:szCs w:val="18"/>
          <w:color w:val="auto"/>
        </w:rPr>
        <w:t>The Company is also required to make mandatory prepayments of the Borrowings, subject to specified exceptions, upon defaulting on any payments of principal or interest on the Borrowings, the occurrence of certain specified defaults of the covenants in the Solar Agreement, the occurrence of a material adverse change in the business, operations or conditions of the Company and specified other events (each, an Event of Default). Upon the occurrence and continuation of an Event of Default, the Borrowings shall accrue at the Interest Rate plus 4.0%.</w:t>
      </w:r>
    </w:p>
    <w:p>
      <w:pPr>
        <w:spacing w:after="0" w:line="180" w:lineRule="exact"/>
        <w:rPr>
          <w:sz w:val="20"/>
          <w:szCs w:val="20"/>
          <w:color w:val="auto"/>
        </w:rPr>
      </w:pPr>
    </w:p>
    <w:p>
      <w:pPr>
        <w:ind w:left="520" w:right="440"/>
        <w:spacing w:after="0" w:line="261" w:lineRule="auto"/>
        <w:rPr>
          <w:sz w:val="20"/>
          <w:szCs w:val="20"/>
          <w:color w:val="auto"/>
        </w:rPr>
      </w:pPr>
      <w:r>
        <w:rPr>
          <w:rFonts w:ascii="Times New Roman" w:cs="Times New Roman" w:eastAsia="Times New Roman" w:hAnsi="Times New Roman"/>
          <w:sz w:val="18"/>
          <w:szCs w:val="18"/>
          <w:color w:val="auto"/>
        </w:rPr>
        <w:t>If all or any of the Borrowings are prepaid or required to be prepaid under the Solar Agreement, then the Company shall pay, in addition to such prepayment, a prepayment premium (the Prepayment Premium) equal to (i) with respect to any such prepayment paid on or prior to May 1, 2019,</w:t>
      </w:r>
    </w:p>
    <w:p>
      <w:pPr>
        <w:ind w:left="520" w:right="200"/>
        <w:spacing w:after="0" w:line="254" w:lineRule="auto"/>
        <w:rPr>
          <w:sz w:val="20"/>
          <w:szCs w:val="20"/>
          <w:color w:val="auto"/>
        </w:rPr>
      </w:pPr>
      <w:r>
        <w:rPr>
          <w:rFonts w:ascii="Times New Roman" w:cs="Times New Roman" w:eastAsia="Times New Roman" w:hAnsi="Times New Roman"/>
          <w:sz w:val="18"/>
          <w:szCs w:val="18"/>
          <w:color w:val="auto"/>
        </w:rPr>
        <w:t>3.0% of the principal amount of the Borrowings being prepaid, (ii) with respect to any prepayments paid after May 1, 2019 but on or prior to May 1, 2020, 2.0% of the principal amount of the Borrowings being prepaid and (iii) with respect to any prepayments paid after May 1, 2020 but on or prior to May 1, 2021, 1.0% of the principal amount of the Borrowings being prepaid. Notwithstanding the foregoing, if the Lenders each participate in a refinancing of the Borrowings, then the Prepayment Premium shall be 0%.</w:t>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scheduled principal payments on the outstanding borrowings as of September 30, 2019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8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Related Party</w:t>
            </w:r>
          </w:p>
        </w:tc>
        <w:tc>
          <w:tcPr>
            <w:tcW w:w="10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Unsecured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Solar Debt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Promissory</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Promissory</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(remaining 3 months)</w:t>
            </w:r>
          </w:p>
        </w:tc>
        <w:tc>
          <w:tcPr>
            <w:tcW w:w="18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w:t>
            </w:r>
          </w:p>
        </w:tc>
        <w:tc>
          <w:tcPr>
            <w:tcW w:w="18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(1,274)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(1,274)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(5,878)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(17,378)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Non-current portion</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COMMON STOCK RESERVED FOR ISSUANCE</w:t>
      </w:r>
    </w:p>
    <w:p>
      <w:pPr>
        <w:spacing w:after="0" w:line="121" w:lineRule="exact"/>
        <w:rPr>
          <w:sz w:val="20"/>
          <w:szCs w:val="20"/>
          <w:color w:val="auto"/>
        </w:rPr>
      </w:pPr>
    </w:p>
    <w:p>
      <w:pPr>
        <w:jc w:val="both"/>
        <w:ind w:left="520" w:right="380"/>
        <w:spacing w:after="0" w:line="266"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conversion of all outstanding common stock warrants, plus options granted and available for grant under the incentive plans. Effective November 7, 2019, a reverse stock split of 15-for-1 was retrospectively applied to the common stock equivalents in the table below.</w:t>
      </w:r>
    </w:p>
    <w:p>
      <w:pPr>
        <w:spacing w:after="0" w:line="251"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bottom w:val="single" w:sz="8" w:color="CFF0FC"/>
            </w:tcBorders>
          </w:tcPr>
          <w:p>
            <w:pPr>
              <w:spacing w:after="0"/>
              <w:rPr>
                <w:sz w:val="15"/>
                <w:szCs w:val="15"/>
                <w:color w:val="auto"/>
              </w:rPr>
            </w:pPr>
          </w:p>
        </w:tc>
      </w:tr>
      <w:tr>
        <w:trPr>
          <w:trHeight w:val="223"/>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common stock warrants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18,147</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and issued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221,941</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265,962</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Shares reserved for future option grants</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101,732</w:t>
            </w:r>
          </w:p>
        </w:tc>
        <w:tc>
          <w:tcPr>
            <w:tcW w:w="20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29,150</w:t>
            </w:r>
          </w:p>
        </w:tc>
        <w:tc>
          <w:tcPr>
            <w:tcW w:w="60" w:type="dxa"/>
            <w:vAlign w:val="bottom"/>
            <w:tcBorders>
              <w:bottom w:val="single" w:sz="8" w:color="CFF0FC"/>
            </w:tcBorders>
          </w:tcPr>
          <w:p>
            <w:pPr>
              <w:spacing w:after="0"/>
              <w:rPr>
                <w:sz w:val="19"/>
                <w:szCs w:val="19"/>
                <w:color w:val="auto"/>
              </w:rPr>
            </w:pPr>
          </w:p>
        </w:tc>
      </w:tr>
      <w:tr>
        <w:trPr>
          <w:trHeight w:val="223"/>
        </w:trPr>
        <w:tc>
          <w:tcPr>
            <w:tcW w:w="55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common stock reserved for issuance</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408,487</w:t>
            </w:r>
          </w:p>
        </w:tc>
        <w:tc>
          <w:tcPr>
            <w:tcW w:w="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313,259</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 OPTION PLAN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2005 and 2015 Plans</w:t>
      </w:r>
    </w:p>
    <w:p>
      <w:pPr>
        <w:spacing w:after="0" w:line="106" w:lineRule="exact"/>
        <w:rPr>
          <w:sz w:val="20"/>
          <w:szCs w:val="20"/>
          <w:color w:val="auto"/>
        </w:rPr>
      </w:pPr>
    </w:p>
    <w:p>
      <w:pPr>
        <w:ind w:left="520" w:right="60"/>
        <w:spacing w:after="0" w:line="225" w:lineRule="auto"/>
        <w:rPr>
          <w:sz w:val="20"/>
          <w:szCs w:val="20"/>
          <w:color w:val="auto"/>
        </w:rPr>
      </w:pPr>
      <w:r>
        <w:rPr>
          <w:rFonts w:ascii="Times New Roman" w:cs="Times New Roman" w:eastAsia="Times New Roman" w:hAnsi="Times New Roman"/>
          <w:sz w:val="18"/>
          <w:szCs w:val="18"/>
          <w:color w:val="auto"/>
        </w:rPr>
        <w:t>The Company granted incentive stock options (ISOs) and non-statutory stock options (NSOs) pursuant to its 2005 Stock Option Plan (the 2005 Plan) until the Board of Directors approved the 2015 Stock Option Plan (the 2015 Plan), and all remaining shares available for future award under the 2005 Plan were transferred to the 2015 Plan and the 2005 Plan was terminated. The Company granted ISOs and NSOs pursuant to its 2015 Plan until the 2017 Equity Incentive Plan (the 2017 Plan) was approved by the Board of Directors and became effective on October 11, 2017. As a result of the 2017 Plan becoming effective, all remaining shares available for future award under the 2015 Plan were transferred to the 2017 Plan, the 2015 Plan was terminated, and no further grants will be made under the Company’s 2005 Plan and the 2015 Plan. Any outstanding stock awards granted under the 2005 Plan and the 2015 Plan will remain outstanding, subject to the terms of the Company’s 2005 Plan and 2015 Plan and the applicable stock award agreements, until such outstanding stock awards that are stock options are exercised or until they terminate or expire by their terms, or until such stock awards are fully settled, terminated or forfeited.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2017 Plan</w:t>
      </w:r>
    </w:p>
    <w:p>
      <w:pPr>
        <w:spacing w:after="0" w:line="119" w:lineRule="exact"/>
        <w:rPr>
          <w:sz w:val="20"/>
          <w:szCs w:val="20"/>
          <w:color w:val="auto"/>
        </w:rPr>
      </w:pPr>
    </w:p>
    <w:p>
      <w:pPr>
        <w:ind w:left="520" w:right="260"/>
        <w:spacing w:after="0" w:line="266" w:lineRule="auto"/>
        <w:rPr>
          <w:sz w:val="20"/>
          <w:szCs w:val="20"/>
          <w:color w:val="auto"/>
        </w:rPr>
      </w:pPr>
      <w:r>
        <w:rPr>
          <w:rFonts w:ascii="Times New Roman" w:cs="Times New Roman" w:eastAsia="Times New Roman" w:hAnsi="Times New Roman"/>
          <w:sz w:val="18"/>
          <w:szCs w:val="18"/>
          <w:color w:val="auto"/>
        </w:rPr>
        <w:t>The Company’s 2017 Plan provides for the grant of ISOs, NSOs, stock appreciation rights, restricted stock awards, restricted stock unit awards, and other forms of equity compensation to employees, directors and consultants. In addition, the Company’s 2017 Plan provides for the grant of performance cash awards to employees, directors and consultants.</w:t>
      </w:r>
    </w:p>
    <w:p>
      <w:pPr>
        <w:spacing w:after="0" w:line="176" w:lineRule="exact"/>
        <w:rPr>
          <w:sz w:val="20"/>
          <w:szCs w:val="20"/>
          <w:color w:val="auto"/>
        </w:rPr>
      </w:pPr>
    </w:p>
    <w:p>
      <w:pPr>
        <w:ind w:left="520" w:right="8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consolidated statements of operations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2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3"/>
        </w:trPr>
        <w:tc>
          <w:tcPr>
            <w:tcW w:w="5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56"/>
        </w:trPr>
        <w:tc>
          <w:tcPr>
            <w:tcW w:w="5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Pr>
          <w:p>
            <w:pPr>
              <w:spacing w:after="0"/>
              <w:rPr>
                <w:sz w:val="13"/>
                <w:szCs w:val="13"/>
                <w:color w:val="auto"/>
              </w:rPr>
            </w:pPr>
          </w:p>
        </w:tc>
        <w:tc>
          <w:tcPr>
            <w:tcW w:w="1160" w:type="dxa"/>
            <w:vAlign w:val="bottom"/>
            <w:gridSpan w:val="2"/>
          </w:tcPr>
          <w:p>
            <w:pPr>
              <w:jc w:val="right"/>
              <w:ind w:right="50"/>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7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78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82" w:right="2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Black-Scholes-Merton option pricing model, based on the following assumptions: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10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4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5"/>
                <w:szCs w:val="15"/>
                <w:color w:val="auto"/>
              </w:rPr>
            </w:pPr>
          </w:p>
        </w:tc>
        <w:tc>
          <w:tcPr>
            <w:tcW w:w="11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4100" w:type="dxa"/>
            <w:vAlign w:val="bottom"/>
          </w:tcPr>
          <w:p>
            <w:pPr>
              <w:spacing w:after="0"/>
              <w:rPr>
                <w:sz w:val="13"/>
                <w:szCs w:val="13"/>
                <w:color w:val="auto"/>
              </w:rPr>
            </w:pPr>
          </w:p>
        </w:tc>
        <w:tc>
          <w:tcPr>
            <w:tcW w:w="900" w:type="dxa"/>
            <w:vAlign w:val="bottom"/>
            <w:tcBorders>
              <w:top w:val="single" w:sz="8" w:color="auto"/>
            </w:tcBorders>
          </w:tcPr>
          <w:p>
            <w:pPr>
              <w:jc w:val="right"/>
              <w:ind w:right="1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0" w:type="dxa"/>
            <w:vAlign w:val="bottom"/>
            <w:tcBorders>
              <w:top w:val="single" w:sz="8" w:color="auto"/>
            </w:tcBorders>
            <w:gridSpan w:val="3"/>
          </w:tcPr>
          <w:p>
            <w:pPr>
              <w:jc w:val="center"/>
              <w:ind w:left="557"/>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00" w:type="dxa"/>
            <w:vAlign w:val="bottom"/>
          </w:tcPr>
          <w:p>
            <w:pPr>
              <w:spacing w:after="0"/>
              <w:rPr>
                <w:sz w:val="13"/>
                <w:szCs w:val="13"/>
                <w:color w:val="auto"/>
              </w:rPr>
            </w:pPr>
          </w:p>
        </w:tc>
        <w:tc>
          <w:tcPr>
            <w:tcW w:w="1000" w:type="dxa"/>
            <w:vAlign w:val="bottom"/>
            <w:tcBorders>
              <w:top w:val="single" w:sz="8" w:color="auto"/>
            </w:tcBorders>
          </w:tcPr>
          <w:p>
            <w:pPr>
              <w:jc w:val="center"/>
              <w:ind w:left="276"/>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3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47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20" w:type="dxa"/>
            <w:vAlign w:val="bottom"/>
          </w:tcPr>
          <w:p>
            <w:pPr>
              <w:spacing w:after="0"/>
              <w:rPr>
                <w:sz w:val="13"/>
                <w:szCs w:val="13"/>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00" w:type="dxa"/>
            <w:vAlign w:val="bottom"/>
            <w:tcBorders>
              <w:top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center"/>
              <w:ind w:left="276"/>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5.37 - 6.10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center"/>
              <w:ind w:left="537"/>
              <w:spacing w:after="0"/>
              <w:rPr>
                <w:sz w:val="20"/>
                <w:szCs w:val="20"/>
                <w:color w:val="auto"/>
              </w:rPr>
            </w:pPr>
            <w:r>
              <w:rPr>
                <w:rFonts w:ascii="Times New Roman" w:cs="Times New Roman" w:eastAsia="Times New Roman" w:hAnsi="Times New Roman"/>
                <w:sz w:val="18"/>
                <w:szCs w:val="18"/>
                <w:color w:val="auto"/>
                <w:w w:val="98"/>
              </w:rPr>
              <w:t>2.82%</w:t>
            </w:r>
          </w:p>
        </w:tc>
        <w:tc>
          <w:tcPr>
            <w:tcW w:w="200" w:type="dxa"/>
            <w:vAlign w:val="bottom"/>
          </w:tcPr>
          <w:p>
            <w:pPr>
              <w:spacing w:after="0"/>
              <w:rPr>
                <w:sz w:val="19"/>
                <w:szCs w:val="19"/>
                <w:color w:val="auto"/>
              </w:rPr>
            </w:pPr>
          </w:p>
        </w:tc>
        <w:tc>
          <w:tcPr>
            <w:tcW w:w="100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rPr>
              <w:t>2.65%</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- 2.82%</w:t>
            </w:r>
          </w:p>
        </w:tc>
        <w:tc>
          <w:tcPr>
            <w:tcW w:w="12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shd w:val="clear" w:color="auto" w:fill="CFF0FC"/>
          </w:tcPr>
          <w:p>
            <w:pPr>
              <w:jc w:val="center"/>
              <w:ind w:left="557"/>
              <w:spacing w:after="0"/>
              <w:rPr>
                <w:sz w:val="20"/>
                <w:szCs w:val="20"/>
                <w:color w:val="auto"/>
              </w:rPr>
            </w:pPr>
            <w:r>
              <w:rPr>
                <w:rFonts w:ascii="Times New Roman" w:cs="Times New Roman" w:eastAsia="Times New Roman" w:hAnsi="Times New Roman"/>
                <w:sz w:val="18"/>
                <w:szCs w:val="18"/>
                <w:color w:val="auto"/>
              </w:rPr>
              <w:t>53.87%</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center"/>
              <w:ind w:left="276"/>
              <w:spacing w:after="0"/>
              <w:rPr>
                <w:sz w:val="20"/>
                <w:szCs w:val="20"/>
                <w:color w:val="auto"/>
              </w:rPr>
            </w:pPr>
            <w:r>
              <w:rPr>
                <w:rFonts w:ascii="Times New Roman" w:cs="Times New Roman" w:eastAsia="Times New Roman" w:hAnsi="Times New Roman"/>
                <w:sz w:val="18"/>
                <w:szCs w:val="18"/>
                <w:color w:val="auto"/>
              </w:rPr>
              <w:t>60.00%</w:t>
            </w: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53.72</w:t>
            </w:r>
          </w:p>
        </w:tc>
        <w:tc>
          <w:tcPr>
            <w:tcW w:w="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- 55.49%</w:t>
            </w:r>
          </w:p>
        </w:tc>
        <w:tc>
          <w:tcPr>
            <w:tcW w:w="120" w:type="dxa"/>
            <w:vAlign w:val="bottom"/>
            <w:shd w:val="clear" w:color="auto" w:fill="CFF0FC"/>
          </w:tcPr>
          <w:p>
            <w:pPr>
              <w:spacing w:after="0"/>
              <w:rPr>
                <w:sz w:val="19"/>
                <w:szCs w:val="19"/>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3"/>
          </w:tcPr>
          <w:p>
            <w:pPr>
              <w:jc w:val="center"/>
              <w:ind w:left="557"/>
              <w:spacing w:after="0"/>
              <w:rPr>
                <w:sz w:val="20"/>
                <w:szCs w:val="20"/>
                <w:color w:val="auto"/>
              </w:rPr>
            </w:pPr>
            <w:r>
              <w:rPr>
                <w:rFonts w:ascii="Times New Roman" w:cs="Times New Roman" w:eastAsia="Times New Roman" w:hAnsi="Times New Roman"/>
                <w:sz w:val="18"/>
                <w:szCs w:val="18"/>
                <w:color w:val="auto"/>
                <w:w w:val="99"/>
              </w:rPr>
              <w:t>0%</w:t>
            </w:r>
          </w:p>
        </w:tc>
        <w:tc>
          <w:tcPr>
            <w:tcW w:w="200" w:type="dxa"/>
            <w:vAlign w:val="bottom"/>
          </w:tcPr>
          <w:p>
            <w:pPr>
              <w:spacing w:after="0"/>
              <w:rPr>
                <w:sz w:val="20"/>
                <w:szCs w:val="20"/>
                <w:color w:val="auto"/>
              </w:rPr>
            </w:pPr>
          </w:p>
        </w:tc>
        <w:tc>
          <w:tcPr>
            <w:tcW w:w="1000" w:type="dxa"/>
            <w:vAlign w:val="bottom"/>
          </w:tcPr>
          <w:p>
            <w:pPr>
              <w:jc w:val="center"/>
              <w:ind w:left="276"/>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center"/>
              <w:ind w:right="474"/>
              <w:spacing w:after="0"/>
              <w:rPr>
                <w:sz w:val="20"/>
                <w:szCs w:val="20"/>
                <w:color w:val="auto"/>
              </w:rPr>
            </w:pPr>
            <w:r>
              <w:rPr>
                <w:rFonts w:ascii="Times New Roman" w:cs="Times New Roman" w:eastAsia="Times New Roman" w:hAnsi="Times New Roman"/>
                <w:sz w:val="18"/>
                <w:szCs w:val="18"/>
                <w:color w:val="auto"/>
                <w:w w:val="99"/>
              </w:rPr>
              <w:t>0%</w:t>
            </w:r>
          </w:p>
        </w:tc>
        <w:tc>
          <w:tcPr>
            <w:tcW w:w="120" w:type="dxa"/>
            <w:vAlign w:val="bottom"/>
          </w:tcPr>
          <w:p>
            <w:pPr>
              <w:spacing w:after="0"/>
              <w:rPr>
                <w:sz w:val="20"/>
                <w:szCs w:val="20"/>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grant any options in the three months ended September 30, 2019.</w:t>
      </w:r>
    </w:p>
    <w:p>
      <w:pPr>
        <w:spacing w:after="0" w:line="25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Effective November 7, 2019, a reverse stock split of 15-for-1 was retrospectively applied to the outstanding stock options in the table below. The following table summarizes stock option activity under the Company’s stock option plan:</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10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5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5"/>
                <w:szCs w:val="15"/>
                <w:color w:val="auto"/>
              </w:rPr>
            </w:pPr>
          </w:p>
        </w:tc>
        <w:tc>
          <w:tcPr>
            <w:tcW w:w="100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265,962</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5"/>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Options cancelled</w:t>
            </w:r>
          </w:p>
        </w:tc>
        <w:tc>
          <w:tcPr>
            <w:tcW w:w="1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(46,221)</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 September 30, 2019</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221,941</w:t>
            </w:r>
          </w:p>
        </w:tc>
        <w:tc>
          <w:tcPr>
            <w:tcW w:w="12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gridSpan w:val="2"/>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Borders>
              <w:bottom w:val="single" w:sz="8" w:color="CFF0FC"/>
            </w:tcBorders>
          </w:tcPr>
          <w:p>
            <w:pPr>
              <w:spacing w:after="0"/>
              <w:rPr>
                <w:sz w:val="22"/>
                <w:szCs w:val="22"/>
                <w:color w:val="auto"/>
              </w:rPr>
            </w:pPr>
          </w:p>
        </w:tc>
        <w:tc>
          <w:tcPr>
            <w:tcW w:w="10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20" w:type="dxa"/>
            <w:vAlign w:val="bottom"/>
            <w:tcBorders>
              <w:bottom w:val="single" w:sz="8" w:color="CFF0FC"/>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2"/>
        </w:trPr>
        <w:tc>
          <w:tcPr>
            <w:tcW w:w="4100" w:type="dxa"/>
            <w:vAlign w:val="bottom"/>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Vested and expected to vest —</w:t>
            </w:r>
          </w:p>
        </w:tc>
        <w:tc>
          <w:tcPr>
            <w:tcW w:w="1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2019</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207,893</w:t>
            </w:r>
          </w:p>
        </w:tc>
        <w:tc>
          <w:tcPr>
            <w:tcW w:w="1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gridSpan w:val="2"/>
            <w:shd w:val="clear" w:color="auto" w:fill="CFF0FC"/>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4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FF0FC"/>
            </w:tcBorders>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 September 30, 2019</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vMerge w:val="restart"/>
          </w:tcPr>
          <w:p>
            <w:pPr>
              <w:jc w:val="right"/>
              <w:ind w:right="845"/>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10"/>
        </w:trPr>
        <w:tc>
          <w:tcPr>
            <w:tcW w:w="4100" w:type="dxa"/>
            <w:vAlign w:val="bottom"/>
            <w:vMerge w:val="continue"/>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117,524</w:t>
            </w:r>
          </w:p>
        </w:tc>
        <w:tc>
          <w:tcPr>
            <w:tcW w:w="12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3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of options granted was $0.44 per share for nine months ended September 30, 2019.</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options were exercised for the three and nine months ended September 30, 2019. The total intrinsic value of options exercised was $92 and $413 for the three and nine months ended September 30, 2018, respectively.</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Unamortized stock-based compensation was $1,607 as of September 30, 2019, which is expected to be recognized over a weighted-average period of approximately 2.48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Board of Directors appointed Keith Sullivan, a current Board member of the Company, as interim Chief Commercial Officer, effective November 1, 2018, and for a period up to one year. Under the terms of the arrangement, Mr. Sullivan was granted 360,000 restricted stock awards, which shall vest in quarterly installments equal to 25% of the shares starting with the first vest date on January 15, 2019 so long as Mr. Sullivan is providing services. As of September 30, 2019, the Company had no unrecognized compensation expense. The aggregate intrinsic value of the RSAs outstanding was $58.</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February 27, 2019, the Company’s Board of Directors granted our Chief Financial Officer and interim Chief Commercial Officer each 500,000 restricted stock units that will vest contingent on the closing of the merger of the Company with Venus (as discussed in Note 1). During the three and nine months ended September 30, 2019, no stock-based compensation expense was recorded.</w:t>
      </w:r>
    </w:p>
    <w:p>
      <w:pPr>
        <w:spacing w:after="0" w:line="17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80"/>
          </w:cols>
          <w:pgMar w:left="760" w:top="482"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08" w:lineRule="exact"/>
        <w:rPr>
          <w:sz w:val="20"/>
          <w:szCs w:val="20"/>
          <w:color w:val="auto"/>
        </w:rPr>
      </w:pPr>
    </w:p>
    <w:p>
      <w:pPr>
        <w:ind w:left="520" w:right="20"/>
        <w:spacing w:after="0" w:line="227" w:lineRule="auto"/>
        <w:rPr>
          <w:sz w:val="20"/>
          <w:szCs w:val="20"/>
          <w:color w:val="auto"/>
        </w:rPr>
      </w:pPr>
      <w:r>
        <w:rPr>
          <w:rFonts w:ascii="Times New Roman" w:cs="Times New Roman" w:eastAsia="Times New Roman" w:hAnsi="Times New Roman"/>
          <w:sz w:val="18"/>
          <w:szCs w:val="18"/>
          <w:color w:val="auto"/>
        </w:rPr>
        <w:t>The Company generated a loss for the three and nine months ended September 30, 2019 and incurred $9 and $33 of tax expense for the three and nine months ended September 30, 2019, respectively. The Company’s effective tax rate is (0.10)% and (0.14)% for income tax for the three and nine months ended September 30, 2019, respectively and the Company expects that its effective tax rate for the full year 2019 will be (0.17)%. Based on available evidence, including cumulative losses since inception and expected future losses, the Company has determined that it is more likely than not that the Company’s U.S. federal, U.S. state and Korea deferred tax assets will not be realized and therefore a valuation allowance has been provided on these net deferred tax assets.</w:t>
      </w:r>
    </w:p>
    <w:p>
      <w:pPr>
        <w:spacing w:after="0" w:line="176"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8"/>
          <w:szCs w:val="18"/>
          <w:color w:val="auto"/>
        </w:rPr>
        <w:t>The Company has substantial net operating loss carry forwards available to offset future taxable income for U.S. federal and state income tax purposes. The Company’s ability to utilize its net operating losses may be limited due to changes in its ownership as defined by Section 382 of the Internal Revenue Code (the Code). Under the provisions of Sections 382 and 383 of the Code, a change of control, as defined in the Code, may impose an annual limitation on the amount of the Company’s net operating loss and tax credit carryforwards, and other tax attributes that can be used to reduce future tax liabilities.</w:t>
      </w:r>
    </w:p>
    <w:p>
      <w:pPr>
        <w:spacing w:after="0" w:line="174" w:lineRule="exact"/>
        <w:rPr>
          <w:sz w:val="20"/>
          <w:szCs w:val="20"/>
          <w:color w:val="auto"/>
        </w:rPr>
      </w:pPr>
    </w:p>
    <w:p>
      <w:pPr>
        <w:ind w:left="520" w:right="100"/>
        <w:spacing w:after="0" w:line="236" w:lineRule="auto"/>
        <w:rPr>
          <w:sz w:val="20"/>
          <w:szCs w:val="20"/>
          <w:color w:val="auto"/>
        </w:rPr>
      </w:pPr>
      <w:r>
        <w:rPr>
          <w:rFonts w:ascii="Times New Roman" w:cs="Times New Roman" w:eastAsia="Times New Roman" w:hAnsi="Times New Roman"/>
          <w:sz w:val="18"/>
          <w:szCs w:val="18"/>
          <w:color w:val="auto"/>
        </w:rPr>
        <w:t>The Company files tax returns for U.S. federal and state tax returns along with tax returns in the United Kingdom, Hong Kong, Spain and South Korea. The Company is not currently subject to any income tax examinations. Since the Company’s inception, the Company had incurred losses from its U.S. operations, which generally allows all tax years to remain open.</w:t>
      </w:r>
    </w:p>
    <w:p>
      <w:pPr>
        <w:spacing w:after="0" w:line="173" w:lineRule="exact"/>
        <w:rPr>
          <w:sz w:val="20"/>
          <w:szCs w:val="20"/>
          <w:color w:val="auto"/>
        </w:rPr>
      </w:pPr>
    </w:p>
    <w:p>
      <w:pPr>
        <w:ind w:left="520" w:right="120"/>
        <w:spacing w:after="0" w:line="232" w:lineRule="auto"/>
        <w:rPr>
          <w:sz w:val="20"/>
          <w:szCs w:val="20"/>
          <w:color w:val="auto"/>
        </w:rPr>
      </w:pPr>
      <w:r>
        <w:rPr>
          <w:rFonts w:ascii="Times New Roman" w:cs="Times New Roman" w:eastAsia="Times New Roman" w:hAnsi="Times New Roman"/>
          <w:sz w:val="18"/>
          <w:szCs w:val="18"/>
          <w:color w:val="auto"/>
        </w:rPr>
        <w:t>Beginning in first quarter of 2018, the Company is subject to new provisions of the tax law, including provisions related to Global Low Taxed Intangible Income (GILTI), Foreign Derived Intangible Income deductions (FDII), and other changes. However, due to the Company’s losses and full valuation allowance in the U.S., these were determined to have no material impact to the Estimated Annual Effective Tax Rate due to the full Valuation Allowance in the U.S.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282828"/>
        </w:rPr>
        <w:t>Uncertain Tax Positions</w:t>
      </w:r>
    </w:p>
    <w:p>
      <w:pPr>
        <w:spacing w:after="0" w:line="108" w:lineRule="exact"/>
        <w:rPr>
          <w:sz w:val="20"/>
          <w:szCs w:val="20"/>
          <w:color w:val="auto"/>
        </w:rPr>
      </w:pPr>
    </w:p>
    <w:p>
      <w:pPr>
        <w:ind w:left="520" w:right="40"/>
        <w:spacing w:after="0" w:line="232" w:lineRule="auto"/>
        <w:rPr>
          <w:sz w:val="20"/>
          <w:szCs w:val="20"/>
          <w:color w:val="auto"/>
        </w:rPr>
      </w:pPr>
      <w:r>
        <w:rPr>
          <w:rFonts w:ascii="Times New Roman" w:cs="Times New Roman" w:eastAsia="Times New Roman" w:hAnsi="Times New Roman"/>
          <w:sz w:val="18"/>
          <w:szCs w:val="18"/>
          <w:color w:val="auto"/>
        </w:rPr>
        <w:t>Accounting Standards Codification 740-10 requires that the Company recognize the financial statement effects of a tax position when it becomes more likely than not, based upon the technical merits, that the position will be sustained upon examination. The gross amount of unrecognized tax benefits as of September 30, 2019 is approximately $1,540 and related to the reserve on R&amp;D credits, none of which will affect the effective tax rate if recognized due to the valuation allowance. The Company does not expect any material changes in the next 12 months in unrecognized tax benefits.</w:t>
      </w:r>
    </w:p>
    <w:p>
      <w:pPr>
        <w:spacing w:after="0" w:line="172" w:lineRule="exact"/>
        <w:rPr>
          <w:sz w:val="20"/>
          <w:szCs w:val="20"/>
          <w:color w:val="auto"/>
        </w:rPr>
      </w:pPr>
    </w:p>
    <w:p>
      <w:pPr>
        <w:ind w:left="520" w:right="420"/>
        <w:spacing w:after="0" w:line="256" w:lineRule="auto"/>
        <w:rPr>
          <w:sz w:val="20"/>
          <w:szCs w:val="20"/>
          <w:color w:val="auto"/>
        </w:rPr>
      </w:pPr>
      <w:r>
        <w:rPr>
          <w:rFonts w:ascii="Times New Roman" w:cs="Times New Roman" w:eastAsia="Times New Roman" w:hAnsi="Times New Roman"/>
          <w:sz w:val="17"/>
          <w:szCs w:val="17"/>
          <w:color w:val="auto"/>
        </w:rPr>
        <w:t>The Company recognizes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The Company currently has no interest and penalties related to uncertain tax positions.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Merger with Venus</w:t>
      </w:r>
    </w:p>
    <w:p>
      <w:pPr>
        <w:spacing w:after="0" w:line="108" w:lineRule="exact"/>
        <w:rPr>
          <w:sz w:val="20"/>
          <w:szCs w:val="20"/>
          <w:color w:val="auto"/>
        </w:rPr>
      </w:pPr>
    </w:p>
    <w:p>
      <w:pPr>
        <w:ind w:left="520" w:right="100"/>
        <w:spacing w:after="0" w:line="229" w:lineRule="auto"/>
        <w:rPr>
          <w:sz w:val="20"/>
          <w:szCs w:val="20"/>
          <w:color w:val="auto"/>
        </w:rPr>
      </w:pPr>
      <w:r>
        <w:rPr>
          <w:rFonts w:ascii="Times New Roman" w:cs="Times New Roman" w:eastAsia="Times New Roman" w:hAnsi="Times New Roman"/>
          <w:sz w:val="18"/>
          <w:szCs w:val="18"/>
          <w:color w:val="auto"/>
        </w:rPr>
        <w:t>The Company (formerly named Restoration Robotics, Inc.), completed its business combination with Venus, in accordance with the terms of the Agreement and Plan of Merger and Reorganization, dated as of March 15, 2019, as amended from time to time (“Merger Agreement”), by and among the Company, Venus and Radiant Merger Sub Ltd., a company organized under the laws of Israel and a direct, wholly-owned subsidiary of the Company (“Merger Sub”). Under the Merger Agreement, Merger Sub merged with and into Venus, with Venus surviving as a wholly owned subsidiary of the Company (“Merger”). The Merger became effective on November 7, 2019.</w:t>
      </w:r>
    </w:p>
    <w:p>
      <w:pPr>
        <w:spacing w:after="0" w:line="187" w:lineRule="exact"/>
        <w:rPr>
          <w:sz w:val="20"/>
          <w:szCs w:val="20"/>
          <w:color w:val="auto"/>
        </w:rPr>
      </w:pPr>
    </w:p>
    <w:p>
      <w:pPr>
        <w:ind w:left="520" w:right="360"/>
        <w:spacing w:after="0" w:line="276" w:lineRule="auto"/>
        <w:rPr>
          <w:sz w:val="20"/>
          <w:szCs w:val="20"/>
          <w:color w:val="auto"/>
        </w:rPr>
      </w:pPr>
      <w:r>
        <w:rPr>
          <w:rFonts w:ascii="Times New Roman" w:cs="Times New Roman" w:eastAsia="Times New Roman" w:hAnsi="Times New Roman"/>
          <w:sz w:val="17"/>
          <w:szCs w:val="17"/>
          <w:color w:val="auto"/>
        </w:rPr>
        <w:t>At the effective time of the Merger, each outstanding ordinary and preferred share of Venus, nominal value of New Israeli Shekels 0.001 each (a “Venus Share”), other than shares held by Venus as treasury stock or held by the Company or Merger Sub, were converted into the right to receive</w:t>
      </w:r>
    </w:p>
    <w:p>
      <w:pPr>
        <w:spacing w:after="0" w:line="1" w:lineRule="exact"/>
        <w:rPr>
          <w:sz w:val="20"/>
          <w:szCs w:val="20"/>
          <w:color w:val="auto"/>
        </w:rPr>
      </w:pPr>
    </w:p>
    <w:p>
      <w:pPr>
        <w:ind w:left="520" w:right="20"/>
        <w:spacing w:after="0" w:line="252" w:lineRule="auto"/>
        <w:rPr>
          <w:sz w:val="20"/>
          <w:szCs w:val="20"/>
          <w:color w:val="auto"/>
        </w:rPr>
      </w:pPr>
      <w:r>
        <w:rPr>
          <w:rFonts w:ascii="Times New Roman" w:cs="Times New Roman" w:eastAsia="Times New Roman" w:hAnsi="Times New Roman"/>
          <w:sz w:val="18"/>
          <w:szCs w:val="18"/>
          <w:color w:val="auto"/>
        </w:rPr>
        <w:t>8.6506 (the “Exchange Ratio”) validly issued, fully paid and non-assessable shares of Common Stock (a “Company Share”), and (ii) each outstanding Venus stock option and warrant was assumed by the Company and converted into and become an option or warrant (as applicable) exercisable for Company Shares with the number and exercise price adjusted by the Exchange Ratio. An aggregate of approximately 212.5 million shares of Common Stock was issued to the Venus shareholders in the Merger on a pre-split basis, which does not include approximately 49.6 million shares underlying outstanding options and warrants. Immediately after the effective time of the Merger, and after giving effect to the conversion of all Venus convertible notes and Restoration Robotics convertible notes and the issuance of Common Stock and Warrants in the Concurrent Financing (defined below), there were approximately 29,667,622 million shares of Common Stock outstanding.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24" w:name="page25"/>
    <w:bookmarkEnd w:id="24"/>
    <w:p>
      <w:pPr>
        <w:ind w:right="180"/>
        <w:spacing w:after="0" w:line="232" w:lineRule="auto"/>
        <w:rPr>
          <w:sz w:val="20"/>
          <w:szCs w:val="20"/>
          <w:color w:val="auto"/>
        </w:rPr>
      </w:pPr>
      <w:r>
        <w:rPr>
          <w:rFonts w:ascii="Times New Roman" w:cs="Times New Roman" w:eastAsia="Times New Roman" w:hAnsi="Times New Roman"/>
          <w:sz w:val="18"/>
          <w:szCs w:val="18"/>
          <w:color w:val="auto"/>
        </w:rPr>
        <w:t>Immediately following the effective time of the Merger, the Company effected a 15-for-1 reverse stock split of the common stock (“Reverse Stock Split”) and the Company changed its corporate name from “Restoration Robotics, Inc.” to “Venus Concept Inc.” (“Name Change”), and the business conducted by Venus became the primary business conducted by the Company. The Merger, the Reverse Stock Split and the Name Change were approved by the Company’s stockholders at an annual meeting of its stockholders held on October 4, 2019.</w:t>
      </w:r>
    </w:p>
    <w:p>
      <w:pPr>
        <w:spacing w:after="0" w:line="172"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8"/>
          <w:szCs w:val="18"/>
          <w:color w:val="auto"/>
        </w:rPr>
        <w:t>The issuance of the shares of Common Stock to the former shareholders of Venus was registered with the SEC on a registration statement on Form S-4 (Reg. No. 333-232000), which was declared effective on September 10, 2019. The Merger and additional related proposals were submitted to a vote of the Company’s stockholders pursuant to a proxy statement/prospectus statement dated September 10, 2019.</w:t>
      </w:r>
    </w:p>
    <w:p>
      <w:pPr>
        <w:spacing w:after="0" w:line="173"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8"/>
          <w:szCs w:val="18"/>
          <w:color w:val="auto"/>
        </w:rPr>
        <w:t>The shares of Common Stock listed on the Nasdaq Global Market traded through the close of business on November 7, 2019 under the ticker symbol “HAIR” and commenced trading on the Nasdaq Global Market under the ticker symbol “VERO” on a post-Reverse Stock Split basis on November 8, 2019. This acquisition will be accounted for as a business combination, and the assets and liabilities will be recorded as of the acquisition date at their respective fair values.</w:t>
      </w:r>
    </w:p>
    <w:p>
      <w:pPr>
        <w:spacing w:after="0" w:line="172"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7"/>
          <w:szCs w:val="17"/>
          <w:color w:val="auto"/>
        </w:rPr>
        <w:t>On November 3, 2019, Venus Concept Inc., a Delaware corporation, (formerly known as Restoration Robotics, Inc.) and Venus Concept Ltd., a company organized under the laws of Israel, entered into a securities purchase agreement with certain investors named therein (collectively, the “Investors”) pursuant to which the Company agreed to issue and sell to the Investors in a private placement an aggregate of approximately 112,000 shares of the Company’s common stock, par value $0.0001 per share and warrants to purchase up to an aggregate of approximately 56,000 shares of the Company’s common stock at an exercise price of $6.00 per share immediately following the closing of the Merger (the Concurrent Financing).</w:t>
      </w:r>
    </w:p>
    <w:p>
      <w:pPr>
        <w:spacing w:after="0" w:line="168" w:lineRule="exact"/>
        <w:rPr>
          <w:sz w:val="20"/>
          <w:szCs w:val="20"/>
          <w:color w:val="auto"/>
        </w:rPr>
      </w:pPr>
    </w:p>
    <w:p>
      <w:pPr>
        <w:spacing w:after="0" w:line="232" w:lineRule="auto"/>
        <w:rPr>
          <w:sz w:val="20"/>
          <w:szCs w:val="20"/>
          <w:color w:val="auto"/>
        </w:rPr>
      </w:pPr>
      <w:r>
        <w:rPr>
          <w:rFonts w:ascii="Times New Roman" w:cs="Times New Roman" w:eastAsia="Times New Roman" w:hAnsi="Times New Roman"/>
          <w:sz w:val="18"/>
          <w:szCs w:val="18"/>
          <w:color w:val="auto"/>
        </w:rPr>
        <w:t>The impact of the business combination is not reflected in our unaudited condensed consolidated financial statements as of and for the period ended September 30, 2019, or in these corresponding notes, except for recapitalization of the Company’s common stock. Through September 30, 2019, merger-related expenses associated with this transaction were $4.1 million. We are in the process of completing the allocation of fair value to the assets and liabilities and pro-forma results of operations for this business combination.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10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On November 5, 2019, the Company entered into a Sixth Amendment to the Loan and Security Agreement (the “Sixth Amendment”), which amended its Loan and Security Agreement entered into as of May 10, 2018 (the “Loan Agreement”) with Solar Capital Ltd. (Solar) and certain other lenders (together, the “Lenders”) under the Loan Agreement.</w:t>
      </w:r>
    </w:p>
    <w:p>
      <w:pPr>
        <w:spacing w:after="0" w:line="173" w:lineRule="exact"/>
        <w:rPr>
          <w:sz w:val="20"/>
          <w:szCs w:val="20"/>
          <w:color w:val="auto"/>
        </w:rPr>
      </w:pPr>
    </w:p>
    <w:p>
      <w:pPr>
        <w:ind w:right="20"/>
        <w:spacing w:after="0" w:line="229" w:lineRule="auto"/>
        <w:rPr>
          <w:sz w:val="20"/>
          <w:szCs w:val="20"/>
          <w:color w:val="auto"/>
        </w:rPr>
      </w:pPr>
      <w:r>
        <w:rPr>
          <w:rFonts w:ascii="Times New Roman" w:cs="Times New Roman" w:eastAsia="Times New Roman" w:hAnsi="Times New Roman"/>
          <w:sz w:val="18"/>
          <w:szCs w:val="18"/>
          <w:color w:val="auto"/>
        </w:rPr>
        <w:t>Pursuant to the terms of the Sixth Amendment, the Loan Agreement was amended to modify the date by when the Company shall provide evidence of aggregate unrestricted net cash proceeds from a sale of stock or pursuant to equity financings or issuance of debt, and the date upon which the Company should maintain a certain level of liquidity, to the earlier of (i) November 15, 2019 or (ii) the termination of the Agreement and Plan of Merger, by and between the Company and Venus Concept Ltd., dated March 15, 2019, as amended, prior to the consummation of the merger described therein.</w:t>
      </w:r>
    </w:p>
    <w:p>
      <w:pPr>
        <w:spacing w:after="0" w:line="174"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18"/>
          <w:szCs w:val="18"/>
          <w:color w:val="auto"/>
        </w:rPr>
        <w:t>On November 7, 2019, in connection with the Merger, the Company paid off and terminated its obligations under its Loan Agreement with Solar and the Lenders. The payoff to Solar and the Lenders pursuant to the Loan Agreement consisted of cash and warrants to purchase up to 50,000 shares of Common Stock, post Reverse Stock Split, at an exercise price of $6.00 per share.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21" w:lineRule="exact"/>
        <w:rPr>
          <w:sz w:val="20"/>
          <w:szCs w:val="20"/>
          <w:color w:val="auto"/>
        </w:rPr>
      </w:pPr>
    </w:p>
    <w:p>
      <w:pPr>
        <w:ind w:right="720"/>
        <w:spacing w:after="0" w:line="266" w:lineRule="auto"/>
        <w:rPr>
          <w:sz w:val="20"/>
          <w:szCs w:val="20"/>
          <w:color w:val="auto"/>
        </w:rPr>
      </w:pPr>
      <w:r>
        <w:rPr>
          <w:rFonts w:ascii="Times New Roman" w:cs="Times New Roman" w:eastAsia="Times New Roman" w:hAnsi="Times New Roman"/>
          <w:sz w:val="18"/>
          <w:szCs w:val="18"/>
          <w:color w:val="auto"/>
        </w:rPr>
        <w:t>Immediately following the Merger, the Company effected a reverse stock split of 15-for-1 of its common stock. The reverse stock split was retrospectively applied to the number of shares outstanding and used to calculate loss per share in the condensed consolidated balance sheets, statements of operations, statements of stockholders’ equity (deficit) and accompanying notes.</w:t>
      </w:r>
    </w:p>
    <w:p>
      <w:pPr>
        <w:spacing w:after="0" w:line="17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760" w:top="54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the related notes included elsewhere in this Quarterly Report on Form 10-Q and with our audited financial statements and notes thereto in the Company’s Annual Report filed on Form 10-K for the year ended December 31, 2018, filed with the Securities and Exchange Commission (the SEC) and other filings we have made with the SEC.</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Section 27A of the Securities Act of 1933, as amended, and Section 21E of the Securities Exchange Act of 1934, as amended. These statements are often identified by the use of words such as “may,” “will,” “expect,” “believe,” “anticipate,” “intend,” “could,” “estimate,” or “continue,” and similar expressions or variations. These statements are based on the beliefs and assumptions of our management based on information currently available to management.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identified herein, and those discussed in the section titled “Risk Factors,” set forth in Part II, Item 1A of this Form 10-Q and in our other SEC filings, including the Prospectus. You should review the risk factors for a more complete understanding of the risks associated with an investment in our securities. We disclaim any obligation to update any forward-looking statements to reflect events or circumstances after the date of such statements. Therefore, you should not rely on these forward-looking statements as representing our views as of any date subsequent to the date of this Quarterly Report on Form 10-Q. Our fiscal year end is December 31, and references throughout this Quarterly Report on Form 10-Q to a given fiscal year are to the twelve months ended on that date.</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medical technology company developing and commercializing a robotic device,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which assists physicians in performing many of the repetitive tasks that are a part of a follicular unit extraction, or FUE surgery, a type of hair restoration procedure. We believe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is the first and only physician assisted robotic system that can identify and dissect hair follicular units directly from the scalp, create recipient implant sites and robotically implant the hair follicles into the implant sites. In addition to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we also offer the ARTAS Hair Studio application, an interactive three-dimensional patient consultation tool that enables a physician to create a simulated hair transplant model for use in patient consultations. We received clearance from the U.S. Food and Drug Administration, or FDA, in April 2011 to market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in the U.S., and we have sold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into 37 other countries. In March 2018, we received 510(k) clearance from the FDA to expand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technology to include implantation. In the third quarter of 2018, we commercially launched the next generation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called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which incorporates the implantation functionality as well as other functionalities. As of September 30, 2019,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and ARTAS Hair Studio application are protected by over 80 patents in the U.S. and over 110 international patents.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with Venus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March 15, 2019, we entered into the Merger Agreement (the Merger Agreement) with Venus Concept Ltd. (Venus) to combine the companies in an all-stock transaction (the Merger). The Merger Agreement and the Merger have been approved by our board of directors and the board of directors of Venus. The transaction was approved by our stockholders and the stockholders of Venus and is expected to close on or before November 15, 2019, subject to all necessary regulatory approvals.</w:t>
      </w:r>
    </w:p>
    <w:p>
      <w:pPr>
        <w:spacing w:after="0" w:line="18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August 14, 2019, the Company, Radiant Merger Sub Ltd. and Venus entered into the First Amendment to the Merger Agreement (the “Merger Agreement Amendment”). The Merger Agreement Amendment, among other things, adds as a condition to closing the Merger the satisfaction of the following: (i) Venus must have raised cash proceeds in one or more issuances of common equity interests or convertible bond indebtedness of Venus or the Company, in an aggregate amount of at least $20.0 million (exclusive of any investment by Madryn Health Partners, LP (Venus’ lender) not later than the close of business on the closing date of the Merger and (ii) Venus and the other loan parties to the credit agreement by and among Venus, such parties and the Madryn entities, must have unrestricted cash of at least $20.0 million immediately after giving effect to the transactions contemplated by the Merger Agreement.</w:t>
      </w:r>
    </w:p>
    <w:p>
      <w:pPr>
        <w:spacing w:after="0" w:line="17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Under the terms of the transaction, the Company and Venus shareholders will own approximately 15% and 85% of the combined company, respectively, on a fully diluted basis, without giving effect to the shares issued in the proposed equity commitment letter dated March 15, 2019 that is expected to close immediately after the merger (the Equity Commitment Letter). EW Healthcare Partners has committed to lead a $21.0 million equity investment, priced at $0.4664 per share (subject to adjustment for stock splits), in the combined company’s common stock contingent on the closing of the Merger. Additional investors committed to participating in the proposed equity financing include HealthQuest Capital, Madryn Asset Management, Longitude Capital Management, Fred Moll and Aperture Venture Partners. On August 14, 2019, the Company, Venus and the investors party to the Equity Commitment Letter dated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6" w:name="page27"/>
    <w:bookmarkEnd w:id="26"/>
    <w:p>
      <w:pPr>
        <w:ind w:right="120"/>
        <w:spacing w:after="0" w:line="256" w:lineRule="auto"/>
        <w:rPr>
          <w:sz w:val="20"/>
          <w:szCs w:val="20"/>
          <w:color w:val="auto"/>
        </w:rPr>
      </w:pPr>
      <w:r>
        <w:rPr>
          <w:rFonts w:ascii="Times New Roman" w:cs="Times New Roman" w:eastAsia="Times New Roman" w:hAnsi="Times New Roman"/>
          <w:sz w:val="18"/>
          <w:szCs w:val="18"/>
          <w:color w:val="auto"/>
        </w:rPr>
        <w:t>as of March 15, 2019 entered into the first amendment to the Equity Commitment Letter (the “Equity Commitment Letter Amendment”). Pursuant to the Equity Commitment Letter Amendment, the investors agreed to amend the Equity Commitment Letter to “pull forward” their maximum committed amounts such that the $21.0 million committed under the Equity Commitment Letter would be invested on or prior to August 30, 2019 in Venus Concept convertible promissory notes which will be convertible into shares of the Company’s common stock immediately following the consummation of the Merger. On August 14, 2019, the equity commitment letter investors purchased an aggregate of $6.9 million in Convertible Notes and on August 21, 2019, certain of the remaining Equity Commitment Letter investors purchased an additional $14.1 million of Convertible Notes.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to the equity financing, Fred Moll and InterWest Partners previously funded a $5.0 million convertible note (the Notes), which will convert into the combined company’s common stock upon the closing of the Merger at a price of $0.4664 per share (subject to adjustment for stock splits). In August 2019, Fred Moll M.D. funded an additional $2.0 million convertible note that will convert into the combined company’s common stock at the closing of the Merger at a price of $0.4664 per share (subject to adjustment for stock splits).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Immediately following the closing of the Merger, we effected a reverse stock split. We had approximately29.7 million shares outstanding after giving effect to the 1-for-15 reverse stock split and after giving effect to the conversion of all Venus convertible notes and Restoration Robotics convertible notes and the issuance of common stock and warrants in the Concurrent Financing.</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On November 7, 2019, we completed our merger transaction with Venus and Merger Sub. Upon completion of the Merger, Restoration Robotics was renamed “Venus Concept, Inc.” Concurrent with closing of the Merger, the Company effected a 1-for-15 reverse stock split of the issued and outstanding shares of the Company. The shares of the combined company will trade on the Nasdaq Global Market under the trading symbol “VERO.” </w:t>
      </w:r>
      <w:r>
        <w:rPr>
          <w:rFonts w:ascii="Times New Roman" w:cs="Times New Roman" w:eastAsia="Times New Roman" w:hAnsi="Times New Roman"/>
          <w:sz w:val="18"/>
          <w:szCs w:val="18"/>
          <w:color w:val="231F20"/>
        </w:rPr>
        <w:t>See the Current Report on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8-K we filed with the SEC on November 7, 2019 for additional information.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Promissory Notes by Venus and Issuance of Subordinated Promissory Note by Restoration Robotics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June 25, 2019, we entered into a Note Purchase Agreement (the Note Purchase Agreement) with Venus and certain investors named therein pursuant to which Venus sold $7.8 million aggregate principal amount of unsecured senior subordinated convertible promissory notes (the Convertible Notes) to such investors (the Convertible Note Financing). Pursuant to the Note Purchase Agreement, Venus may sell up to $10.0 million of Convertible Notes without further approval of the board of directors of Venus (the Venus Board), and up to an additional $5.0 million of Convertible Notes subject to the approval of the Venus Board. The Convertible Notes bear interest on the unpaid principal amount at a rate of eight percent (8.0%) per annum from the date of issuance. Subject to receipt of the approval of the our stockholders to the extent required under the rules of the Nasdaq Stock Market LLC, effective upon the closing of the Merger, all of the outstanding principal and unpaid accrued interest on the Convertible Notes will automatically be converted, in whole, into the number of shares of our common stock at a conversion price of $0.4664 per share.</w:t>
      </w:r>
    </w:p>
    <w:p>
      <w:pPr>
        <w:spacing w:after="0" w:line="1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14, 2019, pursuant to that certain Note Purchase Agreement, dated as of June 25, 2019, with Venus and certain investors named therein pursuant to which Venus sold an additional $7.2 million aggregate principal amount of Convertible Notes to such investors. The Convertible Notes contain the same terms as the $7.8 million aggregate principal amount of Convertible Notes that were sold pursuant to the Note Purchase Agreement on June 25, 2019 and bear interest on the unpaid principal amount at a rate of eight percent (8.0%) per annum from the date of issuance. The Company’s stockholders approved a proposal that effective upon the closing of the Merger, all of the outstanding principal and unpaid accrued interest on the Convertible Notes will automatically be converted, in whole, into the number of shares of common stock, par value $0.0001 per share, of the Company at a conversion price of $0.4664 per share, subject to adjustment as provided in the Convertible Notes.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the Convertible Note Financing, on June 25, 2019 we also entered into a $2.5 million Unsecured Subordinated Promissory Note, which funded on July 5, 2019, with Venus Concept USA Inc., a wholly owned subsidiary of Venus. In addition, on August 14, 2019, we entered into a $2.5 million Unsecured Subordinated Promissory Note funded in three tranches A and B of $1.0 million each and tranche C of $0.5 million with Venus Concept USA Inc., a wholly owned subsidiary of Venus, collectively (the Subordinated Notes). Tranche A and B were funded on August 27, 2019 and September 25, 2019, respectively, for a total of $2.0 million with tranche C unfunded as of September 30, 2019. The maturity date of the Subordinated Notes is November 30, 2019. The Subordinated Notes bear interest on the unpaid principal amount at a rate of eight percent (8%) per annum from the date of issuance, provided that upon any event of default pursuant to the Subordinated Notes, the Subordinated Notes shall bear interest payable on demand at a rate that is 4% per annum in excess of the rate of interest otherwise payable under thereunder. The Subordinated Notes are unsecured and subordinate in priority to our existing obligations to Solar Capital, Ltd. under its amended loan and security agreement. On November 7, 2019, the outstanding principal amount of the Convertible Notes and any accrued and unpaid interest was converted into shares of common stock.</w:t>
      </w:r>
    </w:p>
    <w:p>
      <w:pPr>
        <w:spacing w:after="0" w:line="18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have funded our operations to date primarily from the issuance and sale of our common stock in our IPO and subsequent public follow-on offering, private placements of our equity securities and, to a lesser extent, through debt financings, exercises of our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7" w:name="page28"/>
    <w:bookmarkEnd w:id="27"/>
    <w:p>
      <w:pPr>
        <w:ind w:right="400"/>
        <w:spacing w:after="0" w:line="282" w:lineRule="auto"/>
        <w:rPr>
          <w:sz w:val="20"/>
          <w:szCs w:val="20"/>
          <w:color w:val="auto"/>
        </w:rPr>
      </w:pPr>
      <w:r>
        <w:rPr>
          <w:rFonts w:ascii="Times New Roman" w:cs="Times New Roman" w:eastAsia="Times New Roman" w:hAnsi="Times New Roman"/>
          <w:sz w:val="18"/>
          <w:szCs w:val="18"/>
          <w:color w:val="auto"/>
        </w:rPr>
        <w:t>common stock warrants and payments from our customers. As of September 30, 2019, we had cash and cash equivalents of $8.9 million, which does not include the proceeds from the Subordinated Notes of $0.5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7, 2019, the Convertible Notes were converted into shares of our common stock immediately following the completion of the Merger.</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Purchase Agreement</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3, 2019, Venus Concept Inc., a Delaware corporation, (formerly known as Restoration Robotics, Inc.) and Venus Concept Ltd., a company organized under the laws of Israel, entered into a securities purchase agreement with certain investors named therein (collectively, the “Investors”) pursuant to which the Company agreed to issue and sell to the Investors in a private placement an aggregate of approximately 112.0 million shares of the Company’s common stock, par value $0.0001 per share and warrants to purchase up to an aggregate of approximately 56.0 million shares of the Company’s common stock at an exercise price of $6.00 per share immediately following the closing of the Merger (the Concurrent Financing).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and Security Agreement</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November 7, 2019, we paid off and terminated our obligations under our Loan Agreement with Solar and the Lenders under the Loan Agreement. The payoff to Solar and the Lenders pursuant to the Loan Agreement consisted of cash and warrants to purchase up to 50,000 shares of Common Stock, post Reverse Stock Split, at an exercise price of $6.00 per share.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impacted, and that we expect will impact, our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the ARTAS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8"/>
          <w:szCs w:val="18"/>
          <w:b w:val="1"/>
          <w:bCs w:val="1"/>
          <w:i w:val="1"/>
          <w:iCs w:val="1"/>
          <w:color w:val="auto"/>
        </w:rPr>
        <w:t xml:space="preserve"> System</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growth of our business depends on our ability to gain broader acceptance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and, in particular, the latest iteration of our ARTAS System,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as well as the ARTAS procedure by successfully marketing and distributing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and the ARTAS procedure. If we are unable to successfully commercialize our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and the ARTAS procedure, we may not be able to generate sufficient revenue to achieve or sustain profitability. In the near term, we expect we will continue to operate at a loss, and we anticipate we will finance our operations principally through offerings of our capital stock and by incurring debt. If we are unable to raise adequate additional capital, we will be unable to maintain our commercialization efforts and our revenue could decline.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Investment in our Sales and Marketing</w:t>
      </w:r>
    </w:p>
    <w:p>
      <w:pPr>
        <w:spacing w:after="0" w:line="121"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We have made certain strategic changes to and investments in our U.S. sales and global marketing organizations, which included terminating certain personnel and hiring new personnel and realigning our reporting and leadership structure in the sales organization. For example, throughout 2018 we were increasing the size of our U.S. sales force by hiring sales professionals with experience selling capital equipment and equipment to physicians in the aesthetic market. In addition, we were investing significantly in our sales and marketing efforts related to the launch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w:t>
      </w:r>
    </w:p>
    <w:p>
      <w:pPr>
        <w:spacing w:after="0" w:line="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Strategically, we have been focused on our branding and have consolidated our regional marketing teams to standardize our messaging and focus of our marketing spending with an aim to be more efficient and cost-effective. As a result, we have seen a reduction in and improved efficiency of our marketing spending.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as we continue to advance the commercialization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our sales and marketing expenses will continue to increase.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Composition and Trends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revenue by category:</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210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2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Systems</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Procedure-based</w:t>
            </w: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Service-related fees</w:t>
            </w:r>
          </w:p>
        </w:tc>
        <w:tc>
          <w:tcPr>
            <w:tcW w:w="2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10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We derive our revenue from the sale and service of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Systems and procedure-based fees.</w:t>
      </w:r>
    </w:p>
    <w:p>
      <w:pPr>
        <w:spacing w:after="0" w:line="117" w:lineRule="exact"/>
        <w:rPr>
          <w:sz w:val="20"/>
          <w:szCs w:val="20"/>
          <w:color w:val="auto"/>
        </w:rPr>
      </w:pPr>
    </w:p>
    <w:p>
      <w:pPr>
        <w:ind w:left="1040" w:right="20" w:hanging="519"/>
        <w:spacing w:after="0" w:line="261"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from systems for the three and nine months ended September 30, 2019 decreased as compared to the same periods in </w:t>
      </w:r>
      <w:r>
        <w:rPr>
          <w:rFonts w:ascii="Times New Roman" w:cs="Times New Roman" w:eastAsia="Times New Roman" w:hAnsi="Times New Roman"/>
          <w:sz w:val="18"/>
          <w:szCs w:val="18"/>
          <w:color w:val="000000"/>
        </w:rPr>
        <w:t>2018 due to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decrease in the number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000000"/>
        </w:rPr>
        <w:t xml:space="preserve"> Systems sold. </w:t>
      </w:r>
      <w:r>
        <w:rPr>
          <w:rFonts w:ascii="Times New Roman" w:cs="Times New Roman" w:eastAsia="Times New Roman" w:hAnsi="Times New Roman"/>
          <w:sz w:val="18"/>
          <w:szCs w:val="18"/>
          <w:color w:val="231F20"/>
        </w:rPr>
        <w:t>We anticipate U.S. and Europe revenue from systems sold going forward to be primarily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from ARTAS iX Systems, while revenue from systems sold outside of these two regions to be primarily from the existing ARTAS Systems until the time, if and when, we receive regulatory approval for the </w:t>
      </w:r>
      <w:r>
        <w:rPr>
          <w:rFonts w:ascii="Times New Roman" w:cs="Times New Roman" w:eastAsia="Times New Roman" w:hAnsi="Times New Roman"/>
          <w:sz w:val="18"/>
          <w:szCs w:val="18"/>
          <w:color w:val="000000"/>
        </w:rPr>
        <w:t>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iX System</w:t>
      </w:r>
      <w:r>
        <w:rPr>
          <w:rFonts w:ascii="Times New Roman" w:cs="Times New Roman" w:eastAsia="Times New Roman" w:hAnsi="Times New Roman"/>
          <w:sz w:val="18"/>
          <w:szCs w:val="18"/>
          <w:color w:val="231F20"/>
        </w:rPr>
        <w:t>.</w:t>
      </w:r>
    </w:p>
    <w:p>
      <w:pPr>
        <w:spacing w:after="0" w:line="71" w:lineRule="exact"/>
        <w:rPr>
          <w:rFonts w:ascii="Times New Roman" w:cs="Times New Roman" w:eastAsia="Times New Roman" w:hAnsi="Times New Roman"/>
          <w:sz w:val="18"/>
          <w:szCs w:val="18"/>
          <w:color w:val="231F20"/>
        </w:rPr>
      </w:pPr>
    </w:p>
    <w:p>
      <w:pPr>
        <w:ind w:left="1040" w:hanging="519"/>
        <w:spacing w:after="0" w:line="258"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from procedure-based fees for the three and nine months end September 30, 2019, decreased as compared to the same periods in 2018. </w:t>
      </w:r>
      <w:r>
        <w:rPr>
          <w:rFonts w:ascii="Times New Roman" w:cs="Times New Roman" w:eastAsia="Times New Roman" w:hAnsi="Times New Roman"/>
          <w:sz w:val="18"/>
          <w:szCs w:val="18"/>
          <w:color w:val="000000"/>
        </w:rPr>
        <w:t>Revenue from procedure-based fees for the three and nine months ended September 30, 2019, decreased at least in part due to the timing of purchases, kits purchased by customers and when these procedure kits are consumed, resulting in fewer procedures performed. Additionally, the trend of the procedure utilization in the third quarter of 2019 was significantly lower than past periods which may have attributed to the fewer procedures purchased by customers.</w:t>
      </w:r>
    </w:p>
    <w:p>
      <w:pPr>
        <w:spacing w:after="0" w:line="75" w:lineRule="exact"/>
        <w:rPr>
          <w:rFonts w:ascii="Times New Roman" w:cs="Times New Roman" w:eastAsia="Times New Roman" w:hAnsi="Times New Roman"/>
          <w:sz w:val="18"/>
          <w:szCs w:val="18"/>
          <w:color w:val="231F20"/>
        </w:rPr>
      </w:pPr>
    </w:p>
    <w:p>
      <w:pPr>
        <w:ind w:left="1040" w:right="280" w:hanging="519"/>
        <w:spacing w:after="0" w:line="282" w:lineRule="auto"/>
        <w:tabs>
          <w:tab w:leader="none" w:pos="1040" w:val="left"/>
        </w:tabs>
        <w:numPr>
          <w:ilvl w:val="0"/>
          <w:numId w:val="1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Service-related fees did not change significantly for the three and nine months ended September 30, 2019 as compared to the same period in 2018.</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Historically, the majority of our revenue and our revenue growth has been generated through system sales. While we would expect our procedure-based fees to increase as our installed base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grow worldwide, the total number of procedures has not followed the increase in our installed base of systems sold. For example, our procedure-based revenue decreased for the three and nine months ended September 30, 2019, as compared to the same periods in 2018, whereas our installed base has grown from 2018 to 2019. While procedure-based revenue has decreased, from a year-to-date perspective, more than our revenue from system sales on a combined basis, during the aforementioned periods, we believe that revenue from procedure-based fees may not grow proportionally as compared to the increase in our installed base and that it could vary from quarter-to-quarter due to a number of factors, including:</w:t>
      </w:r>
    </w:p>
    <w:p>
      <w:pPr>
        <w:spacing w:after="0" w:line="81" w:lineRule="exact"/>
        <w:rPr>
          <w:sz w:val="20"/>
          <w:szCs w:val="20"/>
          <w:color w:val="auto"/>
        </w:rPr>
      </w:pPr>
    </w:p>
    <w:p>
      <w:pPr>
        <w:ind w:left="1040" w:right="40" w:hanging="519"/>
        <w:spacing w:after="0" w:line="266" w:lineRule="auto"/>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physician uptake causing a slow ramp-up to utilizing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or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which is particularly evident with physicians who are new to hair restoration procedures or physicians who do not operate a solely hair restoration focused practice who are commonly the profile we are targeting;</w:t>
      </w:r>
    </w:p>
    <w:p>
      <w:pPr>
        <w:spacing w:after="0" w:line="68" w:lineRule="exact"/>
        <w:rPr>
          <w:rFonts w:ascii="Times New Roman" w:cs="Times New Roman" w:eastAsia="Times New Roman" w:hAnsi="Times New Roman"/>
          <w:sz w:val="18"/>
          <w:szCs w:val="18"/>
          <w:color w:val="231F20"/>
        </w:rPr>
      </w:pPr>
    </w:p>
    <w:p>
      <w:pPr>
        <w:jc w:val="both"/>
        <w:ind w:left="1040" w:right="100" w:hanging="519"/>
        <w:spacing w:after="0" w:line="313" w:lineRule="auto"/>
        <w:tabs>
          <w:tab w:leader="none" w:pos="1040" w:val="left"/>
        </w:tabs>
        <w:numPr>
          <w:ilvl w:val="0"/>
          <w:numId w:val="1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capacity limitations with the current installed base of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or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iX Systems, which can result in procedure-based fees not growing as quickly as system sales, as high performing practitioners are limited in the number of procedures that can be performed in any given period;</w:t>
      </w:r>
    </w:p>
    <w:p>
      <w:pPr>
        <w:spacing w:after="0" w:line="30" w:lineRule="exact"/>
        <w:rPr>
          <w:rFonts w:ascii="Times New Roman" w:cs="Times New Roman" w:eastAsia="Times New Roman" w:hAnsi="Times New Roman"/>
          <w:sz w:val="17"/>
          <w:szCs w:val="17"/>
          <w:color w:val="231F20"/>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limited or no utilization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or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after purchase because of a change in physician preference or practice; and</w:t>
      </w:r>
    </w:p>
    <w:p>
      <w:pPr>
        <w:spacing w:after="0" w:line="117" w:lineRule="exact"/>
        <w:rPr>
          <w:rFonts w:ascii="Times New Roman" w:cs="Times New Roman" w:eastAsia="Times New Roman" w:hAnsi="Times New Roman"/>
          <w:sz w:val="18"/>
          <w:szCs w:val="18"/>
          <w:color w:val="231F20"/>
        </w:rPr>
      </w:pPr>
    </w:p>
    <w:p>
      <w:pPr>
        <w:ind w:left="1040" w:right="480" w:hanging="519"/>
        <w:spacing w:after="0" w:line="282" w:lineRule="auto"/>
        <w:tabs>
          <w:tab w:leader="none" w:pos="1040" w:val="left"/>
        </w:tabs>
        <w:numPr>
          <w:ilvl w:val="0"/>
          <w:numId w:val="1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concentration of ARTAS procedures being performed on a limited number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leading to volatility between periods if particular high-volume practitioners perform a smaller number of procedures in a given period.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In order to increase the number of procedures performed per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or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and in turn increase revenue from procedure-based fees, we have, in connection with the leadership and sales and marketing changes, initiated programs to assist certain physicians in marketing efforts, patient education and practice optimization to increase utilization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If these efforts are successful, we anticipate that the growth in procedure-based fees will increase and that quarterly fluctuations in the number of total procedures performed will be reduced.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 from Markets Outside the U.S.</w:t>
      </w:r>
    </w:p>
    <w:p>
      <w:pPr>
        <w:spacing w:after="0" w:line="121"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231F20"/>
        </w:rPr>
        <w:t>Since launching the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System in 2011, we have obtained clearance to sell our products in over 60 countries. In June 2012, we obtained our CE mark to sell our product into the European Economic Area, or EEA. We have sold into 37 countries and sell directly into the U.S., Korea, Hong Kong, Singapore, Spain, Poland, Benelux, Scandinavia, </w:t>
      </w:r>
      <w:r>
        <w:rPr>
          <w:rFonts w:ascii="Times New Roman" w:cs="Times New Roman" w:eastAsia="Times New Roman" w:hAnsi="Times New Roman"/>
          <w:sz w:val="17"/>
          <w:szCs w:val="17"/>
          <w:color w:val="000000"/>
        </w:rPr>
        <w:t>Portugal, the Netherlands</w:t>
      </w:r>
      <w:r>
        <w:rPr>
          <w:rFonts w:ascii="Times New Roman" w:cs="Times New Roman" w:eastAsia="Times New Roman" w:hAnsi="Times New Roman"/>
          <w:sz w:val="17"/>
          <w:szCs w:val="17"/>
          <w:color w:val="231F20"/>
        </w:rPr>
        <w:t xml:space="preserve"> and through distributors in the other countries. We obtained clearance to sell in China in September 2016. However, we have not obtained any regulatory approvals or clearances outside of the U.S. and Europe for our implantation functionality.</w:t>
      </w:r>
    </w:p>
    <w:p>
      <w:pPr>
        <w:spacing w:after="0" w:line="16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231F20"/>
        </w:rPr>
        <w:t>Revenue from markets outside of the U.S accounted for 43% of our total revenue in the first nine months of 2019, compared to 43% from the same period in 2018. Although we will continue to invest resources outside of the U.S., we anticipate that the strategic shift in our sales strategy towards the U.S. market will impact the revenue mix between the U.S. and non-U.S. markets. In particular, in connection with our newly launched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which is only cleared for sale in the U.S., our marketing efforts are highly focused on the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9" w:name="page30"/>
    <w:bookmarkEnd w:id="29"/>
    <w:p>
      <w:pPr>
        <w:jc w:val="both"/>
        <w:ind w:right="80"/>
        <w:spacing w:after="0" w:line="266" w:lineRule="auto"/>
        <w:rPr>
          <w:sz w:val="20"/>
          <w:szCs w:val="20"/>
          <w:color w:val="auto"/>
        </w:rPr>
      </w:pPr>
      <w:r>
        <w:rPr>
          <w:rFonts w:ascii="Times New Roman" w:cs="Times New Roman" w:eastAsia="Times New Roman" w:hAnsi="Times New Roman"/>
          <w:sz w:val="18"/>
          <w:szCs w:val="18"/>
          <w:color w:val="231F20"/>
        </w:rPr>
        <w:t>Internationally, both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unit sales and procedure-based fees decreased in the first nine months of 2019 relative to the first nine months of 2018. We believe the decline in system sales in the Asia Pacific region was due in part to potential customers delaying their purchase until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is approved or cleared for use in their region.</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While we believe our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which incorporates a robotic implantation functionality, could have a positive effect on system sales in the U.S. and Europe, as the robotic implantation functionality is approved in the U.S. and the Company received the CE Mark approval for Europe in August 2019. We believe that potential non-U.S. customers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may increase purchases of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systems since the implantation functionality is available in their market.</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231F20"/>
        </w:rPr>
        <w:t>We expect our operating expenses to increase because of increased sales and marketing activity to promote penetration in markets outside the U.S. where we already sell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geographic expansion into new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Comparability</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We anticipate that our quarterly results of operations may fluctuate for the foreseeable future due to several factors, including the performance of our direct sales force and international distributors, the launch of our implantation functionality and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and unanticipated interruptions and expenses related to our operations and the proposed merger with Venus. In addition, due to the long lead time to finalize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iX-Systems unit sales with our physician customers, and the significant impact each unit sale has on a period’s revenue due to the price of each unit, our quarterly revenue may not be comparable from one period to another.</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231F20"/>
        </w:rPr>
        <w:t>Furthermore, our industry is characterized by seasonally lower demand during the third calendar quarter of the year, when both physicians and prospective patients take summer vacations. A detailed discussion of these and other factors that impact our business is provided in the “Risk Factors” section in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and Nine Months Ended September 30, 2019 and 2018:</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3"/>
        </w:trPr>
        <w:tc>
          <w:tcPr>
            <w:tcW w:w="2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56"/>
        </w:trPr>
        <w:tc>
          <w:tcPr>
            <w:tcW w:w="27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3"/>
                <w:szCs w:val="13"/>
                <w:color w:val="auto"/>
              </w:rPr>
            </w:pPr>
          </w:p>
        </w:tc>
      </w:tr>
      <w:tr>
        <w:trPr>
          <w:trHeight w:val="156"/>
        </w:trPr>
        <w:tc>
          <w:tcPr>
            <w:tcW w:w="2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980" w:type="dxa"/>
            <w:vAlign w:val="bottom"/>
            <w:gridSpan w:val="6"/>
          </w:tcPr>
          <w:p>
            <w:pPr>
              <w:ind w:left="100"/>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3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(1,511)</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11,632</w:t>
            </w:r>
          </w:p>
        </w:tc>
        <w:tc>
          <w:tcPr>
            <w:tcW w:w="2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(3,666)</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(1,897)</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38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Gross margin</w:t>
            </w:r>
          </w:p>
        </w:tc>
        <w:tc>
          <w:tcPr>
            <w:tcW w:w="1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r>
      <w:tr>
        <w:trPr>
          <w:trHeight w:val="230"/>
        </w:trPr>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(459)</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(1,713)</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2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6,159</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Merger related expenses</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FF0FC"/>
          </w:tcPr>
          <w:p>
            <w:pPr>
              <w:spacing w:after="0"/>
              <w:rPr>
                <w:sz w:val="19"/>
                <w:szCs w:val="19"/>
                <w:color w:val="auto"/>
              </w:rPr>
            </w:pPr>
          </w:p>
        </w:tc>
      </w:tr>
      <w:tr>
        <w:trPr>
          <w:trHeight w:val="223"/>
        </w:trPr>
        <w:tc>
          <w:tcPr>
            <w:tcW w:w="27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30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8,597</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4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27,061</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25,592</w:t>
            </w:r>
          </w:p>
        </w:tc>
        <w:tc>
          <w:tcPr>
            <w:tcW w:w="3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8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FF0FC"/>
            </w:tcBorders>
          </w:tcPr>
          <w:p>
            <w:pPr>
              <w:spacing w:after="0"/>
              <w:rPr>
                <w:sz w:val="19"/>
                <w:szCs w:val="19"/>
                <w:color w:val="auto"/>
              </w:rPr>
            </w:pPr>
          </w:p>
        </w:tc>
      </w:tr>
      <w:tr>
        <w:trPr>
          <w:trHeight w:val="22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(18,656)</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w:t>
            </w: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FF0FC"/>
          </w:tcPr>
          <w:p>
            <w:pPr>
              <w:spacing w:after="0"/>
              <w:rPr>
                <w:sz w:val="19"/>
                <w:szCs w:val="19"/>
                <w:color w:val="auto"/>
              </w:rPr>
            </w:pPr>
          </w:p>
        </w:tc>
      </w:tr>
      <w:tr>
        <w:trPr>
          <w:trHeight w:val="230"/>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27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(930)</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(299)</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(1,023)</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FF0FC"/>
          </w:tcPr>
          <w:p>
            <w:pPr>
              <w:spacing w:after="0"/>
              <w:rPr>
                <w:sz w:val="19"/>
                <w:szCs w:val="19"/>
                <w:color w:val="auto"/>
              </w:rPr>
            </w:pPr>
          </w:p>
        </w:tc>
      </w:tr>
      <w:tr>
        <w:trPr>
          <w:trHeight w:val="230"/>
        </w:trPr>
        <w:tc>
          <w:tcPr>
            <w:tcW w:w="2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2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38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Borders>
              <w:top w:val="single" w:sz="8" w:color="CFF0FC"/>
            </w:tcBorders>
            <w:shd w:val="clear" w:color="auto" w:fill="CFF0FC"/>
          </w:tcPr>
          <w:p>
            <w:pPr>
              <w:spacing w:after="0"/>
              <w:rPr>
                <w:sz w:val="19"/>
                <w:szCs w:val="19"/>
                <w:color w:val="auto"/>
              </w:rPr>
            </w:pPr>
          </w:p>
        </w:tc>
      </w:tr>
      <w:tr>
        <w:trPr>
          <w:trHeight w:val="205"/>
        </w:trPr>
        <w:tc>
          <w:tcPr>
            <w:tcW w:w="2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loss before provision for</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(9,207)</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(7,061)</w:t>
            </w:r>
          </w:p>
        </w:tc>
        <w:tc>
          <w:tcPr>
            <w:tcW w:w="22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(2,146)</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(24,515)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(20,712)</w:t>
            </w:r>
          </w:p>
        </w:tc>
        <w:tc>
          <w:tcPr>
            <w:tcW w:w="2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0"/>
                <w:szCs w:val="20"/>
                <w:color w:val="auto"/>
              </w:rPr>
            </w:pPr>
          </w:p>
        </w:tc>
      </w:tr>
      <w:tr>
        <w:trPr>
          <w:trHeight w:val="230"/>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9"/>
                <w:szCs w:val="19"/>
                <w:color w:val="auto"/>
              </w:rPr>
            </w:pP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(7,069</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(24,548</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(3,804</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2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Revenue decreased 31% and 24% for the three and nine months ended September 30, 2019, respectively, compared to the same periods in 2018.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revenue was primarily due to lower sales volume of our system and procedure sales for the three and nine months ended September 30, 2019, as compared to the same period in 2018. We sold seven systems in the three months ended September 30, 2019, as compared to 11 systems in the same period in 2018. We believe that lower system sales were the result of headcount transition and or customers holding off purchases due to the merger. Procedures-based fees also declined in the three months ended September 30, 2019, as compared to the same period in 2018 due to the timing of ARTAS procedures being purchased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ind w:right="240"/>
        <w:spacing w:after="0" w:line="266" w:lineRule="auto"/>
        <w:rPr>
          <w:sz w:val="20"/>
          <w:szCs w:val="20"/>
          <w:color w:val="auto"/>
        </w:rPr>
      </w:pPr>
      <w:r>
        <w:rPr>
          <w:rFonts w:ascii="Times New Roman" w:cs="Times New Roman" w:eastAsia="Times New Roman" w:hAnsi="Times New Roman"/>
          <w:sz w:val="18"/>
          <w:szCs w:val="18"/>
          <w:color w:val="auto"/>
        </w:rPr>
        <w:t>in prior periods by customers (and consumed them in the current period) which resulted in fewer procedures purchased in the third quarter of 2019. Additionally, the trend of the procedure utilization in the second quarter of 2019 was significantly lower than past periods which may have attributed to the fewer procedures purchased by customers.</w:t>
      </w:r>
    </w:p>
    <w:p>
      <w:pPr>
        <w:spacing w:after="0" w:line="174"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Gross Margin</w:t>
      </w:r>
      <w:r>
        <w:rPr>
          <w:rFonts w:ascii="Times New Roman" w:cs="Times New Roman" w:eastAsia="Times New Roman" w:hAnsi="Times New Roman"/>
          <w:sz w:val="18"/>
          <w:szCs w:val="18"/>
          <w:color w:val="auto"/>
        </w:rPr>
        <w:t>. Gross margin typically fluctuates with product mix, selling prices, material costs and revenue level. Gross margin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2019 decreased by fourteen percentage points compared to the same period in 2018, while gross margin for the nine months ended September 30, 2019 decreased by one percentage point compared to the same period in 2018. Lower gross margin for the first nine months of 2019 was primarily driven by inventory reserve associated with certain excess materials, while gross margin was significantly down in third quarter of 2019 due to lower average selling price, higher overhead absorption and inventory reserve associated with certain excess materials.</w:t>
      </w:r>
    </w:p>
    <w:p>
      <w:pPr>
        <w:spacing w:after="0" w:line="180"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decreased 10% and 3%, for the three and nine months ended September 30, 2019, respectively,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same periods in 2018. The decrease was </w:t>
      </w:r>
      <w:r>
        <w:rPr>
          <w:rFonts w:ascii="Times New Roman" w:cs="Times New Roman" w:eastAsia="Times New Roman" w:hAnsi="Times New Roman"/>
          <w:sz w:val="18"/>
          <w:szCs w:val="18"/>
          <w:color w:val="231F20"/>
        </w:rPr>
        <w:t>primarily</w:t>
      </w:r>
      <w:r>
        <w:rPr>
          <w:rFonts w:ascii="Times New Roman" w:cs="Times New Roman" w:eastAsia="Times New Roman" w:hAnsi="Times New Roman"/>
          <w:sz w:val="18"/>
          <w:szCs w:val="18"/>
          <w:color w:val="auto"/>
        </w:rPr>
        <w:t xml:space="preserve"> due to lower variable compensation in connection with fewer system sales in the third quarter of 2019.</w:t>
      </w:r>
    </w:p>
    <w:p>
      <w:pPr>
        <w:spacing w:after="0" w:line="174"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 decreased 20% and 27%, for each of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in 2018. The decrease was primarily due to lower outside services and consulting costs associated with the development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 which was commercially launched in July 2018.</w:t>
      </w:r>
    </w:p>
    <w:p>
      <w:pPr>
        <w:spacing w:after="0" w:line="174"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2% and 7%, for the three and nine months ended September 30,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periods in 2018. The decrease was primarily the result of reduced professional service costs, consisting of accounting, consulting, legal and other professional fees incurred in connection with our first year as a public company in 2018.</w:t>
      </w:r>
    </w:p>
    <w:p>
      <w:pPr>
        <w:spacing w:after="0" w:line="174" w:lineRule="exact"/>
        <w:rPr>
          <w:sz w:val="20"/>
          <w:szCs w:val="20"/>
          <w:color w:val="auto"/>
        </w:rPr>
      </w:pPr>
    </w:p>
    <w:p>
      <w:pPr>
        <w:jc w:val="both"/>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Merger related expenses. </w:t>
      </w:r>
      <w:r>
        <w:rPr>
          <w:rFonts w:ascii="Times New Roman" w:cs="Times New Roman" w:eastAsia="Times New Roman" w:hAnsi="Times New Roman"/>
          <w:sz w:val="18"/>
          <w:szCs w:val="18"/>
          <w:color w:val="auto"/>
        </w:rPr>
        <w:t>Merger expenses increased 100%, for each of the three and nine months ended September 30, 2019, due to the merger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us and Venus as further described in the overview section of Item 2.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p>
    <w:p>
      <w:pPr>
        <w:spacing w:after="0" w:line="17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increased 47% and 69% for the three and nine months ended September 30, 2019, respectively,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in 2018. The increase in interest expense between the three-month periods was related to a higher average principal balance of our outstanding long-term-debt obligations as we refinanced our debt obligations with Solar in May 2018, which had a higher outstanding balance than the loan with our previous lender as well as additional lending from our related party convertible notes and unsecured subordinated promissory notes.</w:t>
      </w:r>
    </w:p>
    <w:p>
      <w:pPr>
        <w:spacing w:after="0" w:line="18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decrease was primarily due to (i) unamortized debt issuance and debt discounts written off by us and (ii) fees 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to Oxford and Solar in connection with the extinguishment of the Oxford loan and the entry into the new Solar loan in May 2018 as mentioned above.</w:t>
      </w:r>
    </w:p>
    <w:p>
      <w:pPr>
        <w:spacing w:after="0" w:line="1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Provision for income tax. </w:t>
      </w:r>
      <w:r>
        <w:rPr>
          <w:rFonts w:ascii="Times New Roman" w:cs="Times New Roman" w:eastAsia="Times New Roman" w:hAnsi="Times New Roman"/>
          <w:sz w:val="18"/>
          <w:szCs w:val="18"/>
          <w:color w:val="auto"/>
        </w:rPr>
        <w:t>Our effective tax rate is (0.10%) and (0.14%) for income tax for the three and nine months ended September 30, 2019,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 that our effective tax rate for the full year 2019 will be (0.17%). Based on available evidence, including cumulative losses since inception and expected future losses, we have determined that it is more likely than not that our U.S. federal, U.S. state and Korea deferred tax assets will not be realized and therefore a valuation allowance has been provided on the U.S. federal, U.S. state and Korea net deferred tax assets.</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general, if we experience a greater than 50% aggregate change in ownership over a three-year period, utilization of our pre-change net operating loss, or NOL, and credit carryforwards are subject to an annual limitation under Sections 382 and 383 of the U.S. Internal Revenue Code, or the Code. Generally, U.S. states maintain similar laws or regulations as Sections 382 and 383 of the Code. The annual limitation generally is determined by multiplying the value of our stock at the time of such ownership change (subject to certain adjustments) by the applicable long-term tax-exempt rate. Such limitations may result in expiration of a portion of the NOL or tax credit carryforwards before utilization.</w:t>
      </w:r>
    </w:p>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file tax returns for U.S. federal and state taxes along with tax returns in the United Kingdom, Hong Kong, Spain and South Korea. We are not currently subject to any income tax examinations. Since our inception, we have incurred losses from our U.S. operations, which generally allows all tax years to remain open.</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recognize the financial statement effects of a tax position when it becomes more likely than not, based upon the technical merits, that the position will be sustained upon examination. We do not expect any material changes in the next 12 months in unrecognized tax benefits.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31" w:name="page32"/>
    <w:bookmarkEnd w:id="31"/>
    <w:p>
      <w:pPr>
        <w:ind w:right="200"/>
        <w:spacing w:after="0" w:line="266" w:lineRule="auto"/>
        <w:rPr>
          <w:sz w:val="20"/>
          <w:szCs w:val="20"/>
          <w:color w:val="auto"/>
        </w:rPr>
      </w:pPr>
      <w:r>
        <w:rPr>
          <w:rFonts w:ascii="Times New Roman" w:cs="Times New Roman" w:eastAsia="Times New Roman" w:hAnsi="Times New Roman"/>
          <w:sz w:val="18"/>
          <w:szCs w:val="18"/>
          <w:color w:val="auto"/>
        </w:rPr>
        <w:t>We recognize interest and/or penalties related to uncertain tax positions. To the extent accrued interest and penalties do not ultimately become payable, amounts accrued will be reduced and reflected in the period that such determination is made. The interest and penalties are recognized as other expense and not tax expense. We currently have no interest and penalties related to uncertain tax positions.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date, we have incurred significant net losses and negative cash flows from operations. Our net loss was $9.2 million and $7.1 million for each of the three months ended September 30, 2019 and 2018, respectively, and $24.5 million and $20.7 million for each of the nine months ended September 30, 2019 and 2018, respectively. As of September 30, 2019, we had an accumulated deficit of $217.7 million. As of September 30, 2019, and December 31, 2018, we had cash and cash equivalents of $8.9 million and $16.1 million, respectively. As of the filing date of this Quarterly Report, we believe our current cash and cash equivalents will not be sufficient to fund our operations for the next twelve months. These factors raise substantial doubt about our ability to continue as a going concern.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10, 2018, we entered into a Loan and Security Agreement, as amended (the Solar Agreement) with Solar Capital Ltd. (Solar) and certain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lenders thereunder (together with Solar, the Lenders). Pursuant to the terms of the Solar Agreement, we borrowed $20.0 million with an interest rate at U.S.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 LIBOR plus 7.95% per annum (the Borrowings). All amounts borrowed under the Solar Agreement are secured by liens over all personal property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Monthly payments on any amounts drawn shall consist of the interest only payments for the first 18 months, followed by payments of principal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accrued interest monthly thereafter until the four-year anniversary of the date of the Solar Agreement. In connection with the Solar Agreement,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the Lenders warrants to purchase an aggregate of 161,725 shares of our common stock exercisable at a price of $3.71 per share. On November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 the Solar Agreement was amended to modify the compliance requirement for certain revenue and liquidity threshold. As part of this amendment, we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a fee of $50,000 to the Lenders and cancelled 161,725 Warrants (originally issued in May 2018, as mentioned above) and issued 161,725 new warrants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common stock, $0.0001 par value per share, at an exercise price of $1.76 per share. All other terms of the Warrants were unchanged.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2019, the Solar Agreement was amended to modify the compliance requirement for certain liquidity thresholds. As part of this amendment,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Fee (as defined in the Solar Agreement) that is payable to the Lenders upon prepayment, default and maturity of the Solar Agreement, was amended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$130,000 to $960,000. In addition, the Solar Agreement was amended to include new covenants covering certain operational milestones. On June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2019, the Solar Agreement was further amended to modify the compliance requirement for certain liquidity thresholds. As part of this amendment,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Fee that is payable to the Lenders upon prepayment, default and maturity of the Solar Agreement, was amended and increased by $150,000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$1,110,000, and the Solar Agreement was amended to include a new covenant covering certain equity financing milestones. In August 2019, we entered into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Fifth Amendment to the Solar Agreement, which modified the compliance requirement for certain revenue thresholds and included a new covenant covering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equity financing milestones. As part of the Fifth Amendment, the Final Fee that is payable to the Lenders upon prepayment, default and maturity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Solar Agreement, was amended and increased by $200,000 to $1,310,000. On November 5, 2019, we entered into a Sixth Amendment to the Solar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which was amended to modify the date by when the Company shall provide evidence of aggregate unrestricted net cash proceeds from a sale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or pursuant to equity financings or issuance of debt, and the date upon which the Company should maintain a certain level of liquidity, to the earlier of</w:t>
      </w:r>
    </w:p>
    <w:p>
      <w:pPr>
        <w:spacing w:after="0" w:line="9" w:lineRule="exact"/>
        <w:rPr>
          <w:sz w:val="20"/>
          <w:szCs w:val="20"/>
          <w:color w:val="auto"/>
        </w:rPr>
      </w:pPr>
    </w:p>
    <w:p>
      <w:pPr>
        <w:ind w:right="160" w:firstLine="8"/>
        <w:spacing w:after="0" w:line="255" w:lineRule="auto"/>
        <w:tabs>
          <w:tab w:leader="none" w:pos="2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15, 2019 or (ii) the termination of the Agreement and Plan of Merger, by and between the Company and Venus Concept Ltd., dated March 15, 2019, as amended, prior to the consummation of the merger. As of September 30, 2019, we were in compliance with all required covenants under the Solar Agreement, as amended.</w:t>
      </w:r>
    </w:p>
    <w:p>
      <w:pPr>
        <w:spacing w:after="0" w:line="18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February 28, 2019, we raised $5.0 million through the issuance of Notes to Frederic Moll, M.D., one of our directors, and Interwest Partners IX, LP, one of our stockholders affiliated with Gil Kliman, M.D., one of our directors. The maturity date of the Notes is August 28, 2020. The Notes bear interest on the unpaid principal amount at a rate of eight percent (8.0%) per annum from the date of issuance. The Notes are unsecured and subordinate in priority to our existing obligations under the Solar Agreement.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July 5, 2019, we raised $2.5 million through the issuance of the Subordinated Note to Venus Concept USA Inc., a wholly owned subsidiary of Venus, which was executed on June 25, 2019. The Subordinated Note bears interest on the unpaid principal amount at a rate of eight percent (8%) per annum from the date of issuance, provided that upon any event of default pursuant to the Subordinated Note, the Subordinated Note shall bear interest payable on demand at a rate that is 4% per annum in excess of the rate of interest otherwise payable under thereunder. The Subordinated Note is unsecured and subordinate in priority to our existing obligations to Solar Capital, Ltd. under its amended loan and security agreement.</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August 14, 2019, we raised $2.5 million through the issuance of the Subordinated Note to Venus Concept USA Inc., a wholly owned subsidiary of Venus, which was funded in three tranches A, B and C of $1.0 million, $1.0 million and $0.5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2" w:name="page33"/>
    <w:bookmarkEnd w:id="32"/>
    <w:p>
      <w:pPr>
        <w:ind w:right="40"/>
        <w:spacing w:after="0" w:line="258" w:lineRule="auto"/>
        <w:rPr>
          <w:sz w:val="20"/>
          <w:szCs w:val="20"/>
          <w:color w:val="auto"/>
        </w:rPr>
      </w:pPr>
      <w:r>
        <w:rPr>
          <w:rFonts w:ascii="Times New Roman" w:cs="Times New Roman" w:eastAsia="Times New Roman" w:hAnsi="Times New Roman"/>
          <w:sz w:val="18"/>
          <w:szCs w:val="18"/>
          <w:color w:val="auto"/>
        </w:rPr>
        <w:t>respectively. Tranches A and B were funded on August 27, 2019 and September 25, 2019, respectively, for a total of $2.0 million. Tranche C for $0.5 million was unfunded as of September 30, 2019. The Subordinated Note bears interest on the unpaid principal amount at a rate of eight percent (8%) per annum from the date of issuance, provided that upon any event of default pursuant to the Subordinated Note, the Subordinated Note shall bear interest payable on demand at a rate that is 4% per annum in excess of the rate of interest otherwise payable under thereunder. The Subordinated Note is unsecured and subordinate in priority to our existing obligations to Solar Capital, Ltd. under its amended loan and security agreement.</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August 20, 2019, the Company entered into a Note Purchase Agreement pursuant to which the Company raised $2.0 million through the issuance of one unsecured subordinated convertible promissory note to Frederic Moll, M.D., one of our directors. The maturity date of the Note is August 28, 2020. The Note bears interest on the unpaid principal amount at a rate of eight percent (8.0%) per annum from the date of issuance. The Note is unsecured and subordinate in priority to our existing obligations under the Solar Agreement.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November 7, 2019, the outstanding principal amount of the Notes and any accrued and unpaid interest was converted into shares of common stock immediately following the closing of the Merger. On November 7, 2019, we paid off and terminated our obligations under our Loan Agreement with Solar and the Lenders under the Loan Agreement. The payoff to Solar and the Lenders pursuant to the Loan Agreement consisted of cash and warrants to purchase up to 50,000 shares of Common Stock, post Reverse Stock Split, at an exercise price of $6.00 per share.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financed our operations principally through the issuance and sale of our common stock in our IPO, private placements of our capital stock, and to a lesser extent, secured and unsecured debt financing, convertible note issuances and payments from customers. We believe that our existing cash and cash equivalents and cash expected to be generated from sales of our products will not be sufficient to fund our planned operations through the next 12 months. However, we will need additional capital to fund our future operations and we intend to obtain such capital through the sale of additional shares of capital stock or related securities. To the extent that we raise additional capital through future equity financings, the ownership interest of our stockholders will be diluted, and the terms of these securities may include liquidation or other preferences that adversely affect the rights of our existing common stockholders. If we raise additional funds through the issuance of debt securities, these securities could contain covenants that would restrict our operations. Further, there can be no assurance that we will be able to raise additional funds on favorable terms, or at all. Our failure to raise additional capital would have a negative impact on our financial condition and our ability to execute our business plan.</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based our projections of operating capital requirements on assumptions that may prove to be incorrect and we may use all our available capital resources sooner than we expect. Because of the numerous risks and uncertainties associated with the ongoing commercialization of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we are unable to estimate the exact amount of our operating capital requirements. Our future funding requirements will depend on many factors, including, but not limited to:</w:t>
      </w:r>
    </w:p>
    <w:p>
      <w:pPr>
        <w:spacing w:after="0" w:line="72"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revenue we generate from our operations;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scope and timing of our investment in our commercial infrastructure and sales-force;</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commercialization activities including product sales, marketing, manufacturing and distribution;</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degree and rate of market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the ARTAS procedure;</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filing, prosecuting, defending and enforcing any patent claims and other intellectual property rights;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need to implement additional infrastructure and internal systems;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research and development activities we intend to undertake in order to expand the approved indications of use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emergence of competing technologies or other adverse market developments;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product liability or other lawsuits related to our products;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expenses needed to attract and retain skilled personnel;</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being a public company; and</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associated with maintaining subsidiaries in foreign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cannot assure that we will ever be profitable or generate positive cash flow from operating activities.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5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4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center"/>
              <w:ind w:lef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4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8"/>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Times New Roman" w:cs="Times New Roman" w:eastAsia="Times New Roman" w:hAnsi="Times New Roman"/>
                <w:sz w:val="14"/>
                <w:szCs w:val="14"/>
                <w:b w:val="1"/>
                <w:bCs w:val="1"/>
                <w:color w:val="auto"/>
              </w:rPr>
              <w:t>2018</w:t>
            </w:r>
          </w:p>
        </w:tc>
        <w:tc>
          <w:tcPr>
            <w:tcW w:w="80" w:type="dxa"/>
            <w:vAlign w:val="bottom"/>
          </w:tcPr>
          <w:p>
            <w:pPr>
              <w:spacing w:after="0"/>
              <w:rPr>
                <w:sz w:val="13"/>
                <w:szCs w:val="13"/>
                <w:color w:val="auto"/>
              </w:rPr>
            </w:pPr>
          </w:p>
        </w:tc>
      </w:tr>
      <w:tr>
        <w:trPr>
          <w:trHeight w:val="156"/>
        </w:trPr>
        <w:tc>
          <w:tcPr>
            <w:tcW w:w="4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4"/>
          </w:tcPr>
          <w:p>
            <w:pPr>
              <w:jc w:val="center"/>
              <w:ind w:right="173"/>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0" w:type="dxa"/>
            <w:vAlign w:val="bottom"/>
          </w:tcPr>
          <w:p>
            <w:pPr>
              <w:spacing w:after="0"/>
              <w:rPr>
                <w:sz w:val="13"/>
                <w:szCs w:val="13"/>
                <w:color w:val="auto"/>
              </w:rPr>
            </w:pP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(18,430)</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(21,226)</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r>
      <w:tr>
        <w:trPr>
          <w:trHeight w:val="230"/>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11,483</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22,291</w:t>
            </w:r>
          </w:p>
        </w:tc>
        <w:tc>
          <w:tcPr>
            <w:tcW w:w="80" w:type="dxa"/>
            <w:vAlign w:val="bottom"/>
            <w:shd w:val="clear" w:color="auto" w:fill="CFF0FC"/>
          </w:tcPr>
          <w:p>
            <w:pPr>
              <w:spacing w:after="0"/>
              <w:rPr>
                <w:sz w:val="19"/>
                <w:szCs w:val="19"/>
                <w:color w:val="auto"/>
              </w:rPr>
            </w:pPr>
          </w:p>
        </w:tc>
      </w:tr>
      <w:tr>
        <w:trPr>
          <w:trHeight w:val="21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9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Borders>
              <w:bottom w:val="single" w:sz="8" w:color="CFF0F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tcPr>
          <w:p>
            <w:pPr>
              <w:spacing w:after="0"/>
              <w:rPr>
                <w:sz w:val="20"/>
                <w:szCs w:val="20"/>
                <w:color w:val="auto"/>
              </w:rPr>
            </w:pPr>
          </w:p>
        </w:tc>
      </w:tr>
      <w:tr>
        <w:trPr>
          <w:trHeight w:val="205"/>
        </w:trPr>
        <w:tc>
          <w:tcPr>
            <w:tcW w:w="498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4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4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(7,207)</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20"/>
                <w:szCs w:val="20"/>
                <w:color w:val="auto"/>
              </w:rPr>
            </w:pP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2019, cash used in operating activities of $18.4 million was attributable to a net loss of $24.5 million, partially offset by $3.0 million in non-cash charges and an increase from operating assets and liabilities of $3.1 million. The non-cash charges consisted primarily of stock-based compensation of $1.1 million, depreciation and amortization of $0.5 million, amortization of debt discounts and issuance costs of $0.6 million and provision for bad debt of $0.8 million. The net change in operating assets and liabilities was primarily attributable to an increase in accounts payable and accrued other liabilities of $1.2 million and a decrease in accounts receivable of $2.1 million due to the timing of collections from customers in the third quarter of 2019, which was offset by an increase in inventory of $0.3 million primarily due to an increase in raw materials for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2018, cash used in operating activities of $21.2 million was attributable to a net loss of $20.7 million and a decrease from operating assets and liabilities of $2.8 million, which was partially offset by $2.3 million in non-cash charges. The non-cash charges consisted primarily of provision for bad debt of $0.8 million, depreciation and amortization of $0.5 million, amortization of debt issuance costs of $0.3 million, stock-based compensation of $0.4 million and loss on extinguishment of debt of $0.2 million. The net change in operating assets and liabilities was primarily attributable to an increase in accounts payable and accrued other liabilities of $2.2 million, which was offset by an increase in accounts receivable of $3.4 million due to the timing of collections from customers in the third quarter of 2018 as well as an increase in inventory of $1.7 million due to inventory build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systems in 2018.</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2019 and 2018, cash used in investing activities related to purchases of property and equipment.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cash provided by financing activities was $11.5 million, consisting of net proceeds from our Related Party Convertible Promissory Notes of $7.0 million and Unsecured Subordinated Promissory Notes of $4.5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2018, cash provided by financing activities was $22.3 million, consisting of net proceeds from our Solar loan of</w:t>
      </w:r>
    </w:p>
    <w:p>
      <w:pPr>
        <w:spacing w:after="0" w:line="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$19.6 million, net proceeds from our follow-on offering of $15.6 million and $0.4 million of stock option exercises, which was offset by $13.3 million for the retirement of our Oxford loan.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2019, which represent material expected or contractually committed future obligations.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7"/>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4"/>
        </w:trPr>
        <w:tc>
          <w:tcPr>
            <w:tcW w:w="40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7"/>
              <w:spacing w:after="0" w:line="145"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40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1 Year</w:t>
            </w:r>
          </w:p>
        </w:tc>
        <w:tc>
          <w:tcPr>
            <w:tcW w:w="120" w:type="dxa"/>
            <w:vAlign w:val="bottom"/>
          </w:tcPr>
          <w:p>
            <w:pPr>
              <w:spacing w:after="0"/>
              <w:rPr>
                <w:sz w:val="15"/>
                <w:szCs w:val="15"/>
                <w:color w:val="auto"/>
              </w:rPr>
            </w:pPr>
          </w:p>
        </w:tc>
        <w:tc>
          <w:tcPr>
            <w:tcW w:w="8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1 to 3 Years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3 to 5 Years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56"/>
        </w:trPr>
        <w:tc>
          <w:tcPr>
            <w:tcW w:w="40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4"/>
          </w:tcPr>
          <w:p>
            <w:pPr>
              <w:jc w:val="center"/>
              <w:spacing w:after="0" w:line="155" w:lineRule="exact"/>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Debt obligations, including interest </w:t>
            </w:r>
            <w:r>
              <w:rPr>
                <w:rFonts w:ascii="Times New Roman" w:cs="Times New Roman" w:eastAsia="Times New Roman" w:hAnsi="Times New Roman"/>
                <w:sz w:val="16"/>
                <w:szCs w:val="16"/>
                <w:color w:val="auto"/>
              </w:rPr>
              <w:t>(1)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46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30,605</w:t>
            </w:r>
          </w:p>
        </w:tc>
        <w:tc>
          <w:tcPr>
            <w:tcW w:w="10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FF0FC"/>
            </w:tcBorders>
          </w:tcPr>
          <w:p>
            <w:pPr>
              <w:spacing w:after="0"/>
              <w:rPr>
                <w:sz w:val="19"/>
                <w:szCs w:val="19"/>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16,997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32,008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209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51" w:lineRule="exact"/>
        <w:rPr>
          <w:sz w:val="20"/>
          <w:szCs w:val="20"/>
          <w:color w:val="auto"/>
        </w:rPr>
      </w:pPr>
    </w:p>
    <w:p>
      <w:pPr>
        <w:ind w:left="520" w:right="80" w:hanging="512"/>
        <w:spacing w:after="0" w:line="255" w:lineRule="auto"/>
        <w:tabs>
          <w:tab w:leader="none" w:pos="520" w:val="left"/>
        </w:tabs>
        <w:numPr>
          <w:ilvl w:val="0"/>
          <w:numId w:val="1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Represents our loan with Solar as well as our Related Party Convertible Promissory Notes and Unsecured Subordinated Promissory Notes and our anticipated repayment schedule for the loans. Pursuant to our loan agreement with Solar, the loan will mature in May 2022. The loan with Solar accrues interest at prime plus 7.95% per annum. The outstanding principal balance on the Solar loan was $21.3 million as of September 30, 2019, which includes a final payment of $1.3 million to Solar on the maturity of the loan. The Related Party Convertible Promissory Notes accrue interest at 8.0% per annum. The outstanding principal balance plus accrued interest matures on August 28, 2020, unless converted into common stock of the Company prior to maturity. The Unsecured Subordinated Promissory Notes accrue interest at 8% per annum. The outstanding principal balance plus accrued interest matures on November 30, 2019.</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contractual obligations listed in the table above, in March 2018, we received U.S. FDA 510(k) clearance to expand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technology to include an implantation functionality. Based on manufacturing changes associated with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 we determined that certain components procured or expected to be procured by Evolve Manufacturing Technologies, Inc., our single third-party manufacturer, who assemble the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Systems, will be in excess of expected demand or usage. Additionally, in the fourth quarter of 2018, the Company recorded a charge related to other excess purchase commitments from another vendor based on cost reduction changes in 2019. As a result, we recorded a loss contingency accrual of $0.5 million and included in “Other accrued liabilities” on the condensed consolidated balance sheets as of September 30, 2019.</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 finance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Preparation of these statements requires management to make judgments and estimates. Some accounting policies have a significant impact on amounts reported in these financial statements. A summary of significant accounting policies and a description of accounting policies that are considered critical may be found in our 2018 Annual Report on Form 10-K for the year ended December 31, 2018, in the Notes to the Consolidated Financial Statements (Note 1) and the Critical Accounting Policies and Estimates section in Management’s Discussion and Analysis of Financial Condition and Results of Operations. Except for the change in our revenue accounting policy, as discussed in Note 2, there have been no changes in these significant accounting policies during the nine months ended September 30, 2019.</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Under the JOBS Act, emerging growth companies can delay adopting new or revised accounting standards issued after the enactment of the JOBS Act until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 and currency exchange rate fluctuations.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cash and cash equivalents are held in cash deposits and money market funds. Due to the short-term nature of these instruments, we do not believe that we have any material exposure to changes in the fair value of our investment portfolio because of changes in interest rates. Declines in interest rates, however, would reduce our future interest income.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related to our debt obligations which are subject to variable interest rates. As of September 30, 2019, a 100-basis point increase in interest rates on our debt subject to variable interest rate fluctuations would increase our interest expense $0.2 million annually.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sales contracts are primarily denominated in U.S. dollars and, therefore, substantially all of our revenue is not subject to foreign currency risk. However, a strengthening of the U.S. Dollar could increase the real cost of our products to our customers outside of the U.S., which could adversely affect our financial condition and operating results. In addition, a portion of our operating expenses are incurred outside the U.S. and are denominated in foreign currencies and are subject to fluctuations due to changes in foreign currency exchange rates, particularly changes in the British Pound Sterling, Euro, Hong Kong Dollar, and South Korean Won. Additionally, fluctuations in foreign currency exchange rates may cause us to recognize transaction gains and losses in our statement of operations. A 10% increase or decrease in current exchange rates would not have a material effect on our financial results. To date, foreign currency transaction gains and losses have not been material to our consolidated financial statements, and we have not engaged in any foreign currency hedging transactions.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did not identify any changes in our internal control over financial reporting in connection with the evaluation required by Rule 13a-15(d) and 15d-15(d) of the Exchange Act during the quarter ended September 30, 2019,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 on the effectiveness of internal control.</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 LEGAL PROCEEDINGS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31F20"/>
        </w:rPr>
        <w:t xml:space="preserve">On May 23, 2018, a putative shareholder class action complaint was filed in Superior Court of the State of California, County of San Mateo (the “Superior Court”), captioned Wong v. Restoration Robotics, Inc., et al., No. 18CIV02609. On June 21, 2018 and June 28, 2018, two putative class action complaints were filed in the United States District Court for the Northern District of California, captioned Guerrini v. Restoration Robotics, Inc., et al., No. 5:18-cv-03712-EJD and Yzeiraj v. Restoration Robotics, Inc., et al., No. 5:18-cv-03883-BLF, respectively. On July 24, 2018, the U.S. Northern District Court related the Guerrini and Yzeiraj actions and reassigned the Yzeiraj action to Judge Edward J. Davila. The Wong and Guerrini complaints name us as defendants, and certain of our current and former executive officers and directors, certain of our venture capital investors and the underwriters in our IPO. The Yzeiraj complaint names us as defendants and certain of our current and former executive officers and directors. The Wong complaint asserts claims under Sections 11, 12(a)(2) and 15 of the Securities Act of 1933, or the Securities Act. The Guerrini and Yzeiraj complaints assert claims under Sections 11 and 15 of the Securities Act.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The complaints seek unspecified monetary damages, other equitable relief and attorneys’ fees and costs. </w:t>
      </w:r>
      <w:r>
        <w:rPr>
          <w:rFonts w:ascii="Times New Roman" w:cs="Times New Roman" w:eastAsia="Times New Roman" w:hAnsi="Times New Roman"/>
          <w:sz w:val="18"/>
          <w:szCs w:val="18"/>
          <w:color w:val="000000"/>
        </w:rPr>
        <w:t>In addition, on June 11, 2019, a putative shareholder class action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complaint was filed in Superior Court of the State of California, County of San Mateo, captioned Li v. Restoration Robotics, Inc., et al., No. 19CIV08173. The Li complaint asserts claims under Sections 11, 12(a)(2) and 15 of the Securities Act of 1933, or the Securities Act and is based on the same set of facts as the Wong complaint. The Li complaint seeks unspecified monetary damages, other equitable relief and attorneys’ fees and costs.</w:t>
      </w:r>
    </w:p>
    <w:p>
      <w:pPr>
        <w:spacing w:after="0" w:line="19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 xml:space="preserve">On August 8, 2018, we, along with certain of our current and former executive officers and directors, filed a motion to dismiss the Wong complaint based on the forum selection clause designating the federal district courts as the exclusive forum for claims arising under the Securities Act contained in our Amended and Restated Certificate of Incorporation, and which asked the court in the alternative to stay the Wong action. Also, on August 8, 2018, the venture capital investor and underwriters’ defendants in the Wong action filed demurrers to the Wong complaint, and we, along with certain of our current and former executive officers and directors, joined in the venture capital investor defendants’ demurrer. A hearing on our motion to dismiss and the demurrers to the Wong complaint was held on October 24, 2018. </w:t>
      </w:r>
      <w:r>
        <w:rPr>
          <w:rFonts w:ascii="Times New Roman" w:cs="Times New Roman" w:eastAsia="Times New Roman" w:hAnsi="Times New Roman"/>
          <w:sz w:val="18"/>
          <w:szCs w:val="18"/>
          <w:color w:val="000000"/>
        </w:rPr>
        <w:t>On October 25, 2018, the Court ordered the defendants’ demurrers to the complaint sustained with leave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amend and granted an extension of time for plaintiff to serve a First Amended Complaint until further order of the Court. On January 31, 2019, the Court stayed the case and stayed any decision on the Company’s motion to dismiss on forum selection grounds pending resolution of an appeal of Sciabacucchi v. Salzberg, a case addressing similar issues in Delaware. On August 12, 2019, the Court consolidated the Wong and Li actions, and lifted the stay imposed on January 31, 2019 to allow further briefing on the Company’s motion to dismiss. A further hearing on the motion to dismiss was held on September 17, 2019.</w:t>
      </w:r>
    </w:p>
    <w:p>
      <w:pPr>
        <w:spacing w:after="0" w:line="18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 xml:space="preserve">On October 2, 2018, the U.S. Northern District Court granted a Motion for Consolidation of Related Actions, Appointment as Lead Plaintiff and Approval of Lead Counsel filed by Plaintiff Edgardo Guerrini, which consolidated the Guerrini and Yzeiraj actions under the caption In re Restoration Robotics, Inc. Securities Litigation, Case No. 5:18-cv-03712-EJD. </w:t>
      </w:r>
      <w:r>
        <w:rPr>
          <w:rFonts w:ascii="Times New Roman" w:cs="Times New Roman" w:eastAsia="Times New Roman" w:hAnsi="Times New Roman"/>
          <w:sz w:val="18"/>
          <w:szCs w:val="18"/>
          <w:color w:val="000000"/>
        </w:rPr>
        <w:t>On November 30, 2018, Lead Plaintiff Edgardo Guerrini filed a Consolidated Amended Complaint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violations of federal securities laws asserting the same claims, against the same defendants, as his original complaint but adding certain allegations in support of those claims. On January 29, 2019, the Company, along with certain of its current and former executive officers and directors, filed a motion to dismiss the Consolidated Amended Complaint for failure to state a claim under Federal Rule of Civil Procedure 12(b)(6). The venture capital defendants and underwriter defendants filed joinders to the Company’s motion to dismiss on the same day. On October 18, 2019, the District Court granted in part and denied in part our motion to dismiss.</w:t>
      </w:r>
    </w:p>
    <w:p>
      <w:pPr>
        <w:spacing w:after="0" w:line="185"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July 11, 2019, a verified shareholder derivative complaint was filed in the United States District Court for the Northern District of California, captioned Mason v. Rhodes, No. 5:19-cv-03997-NC. The complaint alleges that certain of our current and former executive officers and directors breached their fiduciary duties, have been unjustly enriched and violated Section 14(a) of the Securities Exchange Act of 1934 in connection with our IPO and our 2018 proxy statement. The complaint seeks unspecified damages, declaratory relief, other equitable relief and attorneys’ fees and costs. On August 21, 2019, the District Court related the Mason action with the federal class action, In re Restoration Robotics, Inc. Sec. Litig., and reassigned the Mason action to Judge Edward J. Davila. Also, on August 21, 2019, the District Court granted the parties’ joint stipulation to stay the Mason action during the pendency of the federal class action, In re Restoration Robotics, Inc. Sec. Litig., No. 5:18-cv-03712-EJD.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September 24, 2019, a complaint was filed in the United States District Court for the Northern District of California, captioned Bushansky v. Restoration Robotics, Inc., et al., No. 5:19-cv-06004-MMC. The complaint alleges, among other things, that defendants violated Sections 14(a) and 20(a) of the Securities Exchange Act of 1934 and Securities and Exchange Commission Rule 14d-9. The complaint alleges that the proxy statement filed with the United States Securities and Exchange Commission by Restoration Robotics on September 10, 2019 in connection with the proposed transaction whereby Restoration Robotics would merge with Venus Concept Ltd. omitted or misrepresented material information. The complaint seeks, among other things, injunctive relief, unspecified damages, and attorneys’ fees and costs. On November 6, 2019, the plaintiff voluntarily dismissed the Bushansky action with prejudice as to his individual claims and without prejudice as to the claims of the putative class.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231F20"/>
        </w:rPr>
        <w:t>We believe that these lawsuits are without merit and we intend to vigorously defend against these claims.</w:t>
      </w:r>
    </w:p>
    <w:p>
      <w:pPr>
        <w:spacing w:after="0" w:line="22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Further, we may from time to time continue to be involved in various legal proceedings of a character normally incident to the ordinary course of our business, which we do not deem to be material to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1A. RISK FACTORS</w:t>
      </w:r>
    </w:p>
    <w:p>
      <w:pPr>
        <w:spacing w:after="0" w:line="11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231F20"/>
        </w:rPr>
        <w:t>Our operations and financial results are subject to various risk and uncertainties, including those described below,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 described below and the other information in this Quarterly Report on Form 10-Q, including our unaudited condensed consolidated financial statements and the related notes thereto, and “Management’s Discussion and Analysis of Financial Condition and Results of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 and Our Business</w:t>
      </w:r>
    </w:p>
    <w:p>
      <w:pPr>
        <w:spacing w:after="0" w:line="121" w:lineRule="exact"/>
        <w:rPr>
          <w:sz w:val="20"/>
          <w:szCs w:val="20"/>
          <w:color w:val="auto"/>
        </w:rPr>
      </w:pPr>
    </w:p>
    <w:p>
      <w:pPr>
        <w:jc w:val="both"/>
        <w:ind w:right="60"/>
        <w:spacing w:after="0" w:line="313" w:lineRule="auto"/>
        <w:rPr>
          <w:sz w:val="20"/>
          <w:szCs w:val="20"/>
          <w:color w:val="auto"/>
        </w:rPr>
      </w:pPr>
      <w:r>
        <w:rPr>
          <w:rFonts w:ascii="Times New Roman" w:cs="Times New Roman" w:eastAsia="Times New Roman" w:hAnsi="Times New Roman"/>
          <w:sz w:val="17"/>
          <w:szCs w:val="17"/>
          <w:color w:val="231F20"/>
        </w:rPr>
        <w:t>On November 7, 2019, we completed our merger transaction with Venus and Merger Sub. See the Current Report on Form 8-K that we filed with the SEC on November 7, 2019 for additional information. The risk factors set forth below relate to our business immediately following the consummation of the Merger.</w:t>
      </w:r>
    </w:p>
    <w:p>
      <w:pPr>
        <w:spacing w:after="0" w:line="13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For additional information and a summary of the material risk associated with the Merger, the combined companies and Venus Concepts’ business, please see the “Risk Factors” section contained in our Registration Statement on Form S-4, as amended, filed with the SEC on September 9,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Business</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commercial history and we have incurred significant losses since our inception. We anticipate that we will continue to incur losses for the foreseeable future, which, together with our limited operating history, makes it difficult to assess our future viability.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have a limited commercial history and have focused primarily on research and development, product design and engineering, establishing supply and manufacturing relationships, seeking regulatory clearances and approvals to market the ARTAS® and ARTAS® iX System, and selling and marketing. We have incurred losses in each year since our inception in 2002. Our net losses were approximately $24.5 million for the nine months ended September 30, 2019 and $28.7 million for the year ended December 31, 2018. As of September 30, 2019, we had an accumulated deficit of $217.7 million. We will continue to incur significant expenses for the foreseeable future as we expand our sales and marketing, research and development, and clinical and regulatory activities. We may never generate enough revenue to achieve or sustain profitability. Even if we do achieve profitability, we may not be able to sustain or increase profitability. Furthermore, because of our limited operating history and because the market for aesthetic products is rapidly evolving, we have limited insight into the trends or competitive products that may emerge and affect our business. Before investing, you should consider an investment in our common stock considering the risks, uncertainties, and difficulties frequently encountered by early-stage medical technology companies in rapidly evolving markets such as ours. We may not be able to successfully address any or all of these risks, and the failure to adequately do so could cause our business, results of operations, and financial condition to suffer.</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correctly estimate or control our future operating expenses, which could lead to cash shortfalls.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231F20"/>
        </w:rPr>
        <w:t>Our operating expenses may fluctuate significantly in the future because of a variety of factors, many of which are outside of our control. These factors include:</w:t>
      </w:r>
    </w:p>
    <w:p>
      <w:pPr>
        <w:spacing w:after="0" w:line="54"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of growing our ongoing commercialization and sales and marketing activities;</w:t>
      </w:r>
    </w:p>
    <w:p>
      <w:pPr>
        <w:spacing w:after="0" w:line="117"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of manufacturing and maintaining enough inventories of our products to meet anticipated demand and inventory write-offs related to obsolete products or components;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of enhancing the existing functionality and development of new functionalities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8" w:name="page39"/>
    <w:bookmarkEnd w:id="38"/>
    <w:p>
      <w:pPr>
        <w:ind w:left="1040" w:right="20" w:hanging="519"/>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costs of preparing, filing, prosecuting, defending, and enforcing patent claims and other patent related costs, including litigation costs and the results of such litigation;</w:t>
      </w:r>
    </w:p>
    <w:p>
      <w:pPr>
        <w:spacing w:after="0" w:line="53" w:lineRule="exact"/>
        <w:rPr>
          <w:rFonts w:ascii="Times New Roman" w:cs="Times New Roman" w:eastAsia="Times New Roman" w:hAnsi="Times New Roman"/>
          <w:sz w:val="18"/>
          <w:szCs w:val="18"/>
          <w:color w:val="231F20"/>
        </w:rPr>
      </w:pPr>
    </w:p>
    <w:p>
      <w:pPr>
        <w:ind w:left="1040" w:right="180" w:hanging="519"/>
        <w:spacing w:after="0" w:line="282" w:lineRule="auto"/>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variability of ARTAS procedures being performed between periods if particular high-volume practitioners perform a smaller number of procedures in each period as a result of the concentration of procedures performed by certain practitioners;</w:t>
      </w:r>
    </w:p>
    <w:p>
      <w:pPr>
        <w:spacing w:after="0" w:line="53"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product liability or other lawsuits and the costs associated with defending them or the results of such lawsuits;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conducting business and maintaining subsidiaries in foreign jurisdictions;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in jurisdictions where the </w:t>
      </w:r>
      <w:r>
        <w:rPr>
          <w:rFonts w:ascii="Times New Roman" w:cs="Times New Roman" w:eastAsia="Times New Roman" w:hAnsi="Times New Roman"/>
          <w:sz w:val="18"/>
          <w:szCs w:val="18"/>
          <w:color w:val="231F20"/>
        </w:rPr>
        <w:t>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iX System is not approved delaying their purchase, and not purchasing an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until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is approved or cleared for use in their market;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to attract and retain personnel with the skills required for effective operations;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costs associated with being a public company.</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Our budgeted expense levels are based in part on our expectations concerning future revenue from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sales, servicing and procedure-based fees. We may be unable to reduce our expenditures in a timely manner to compensate for any unexpected shortfalls in revenue. Accordingly, a significant shortfall in market acceptance or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and procedures could have an immediate and material adverse impact on our business and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It is difficult to forecast our future performance and our financial results may fluctuate unpredictably.</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Our limited commercial history and the rapid evolution of the markets for medical technologies and aesthetic products make it difficult for us to predict our future performance. Several factors, many of which are outside of our control, may contribute to fluctuations in our financial results, such as:</w:t>
      </w:r>
    </w:p>
    <w:p>
      <w:pPr>
        <w:spacing w:after="0" w:line="54"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physician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procedure usage may vary from quarter to quarter;</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in jurisdictions where the </w:t>
      </w:r>
      <w:r>
        <w:rPr>
          <w:rFonts w:ascii="Times New Roman" w:cs="Times New Roman" w:eastAsia="Times New Roman" w:hAnsi="Times New Roman"/>
          <w:sz w:val="18"/>
          <w:szCs w:val="18"/>
          <w:color w:val="231F20"/>
        </w:rPr>
        <w:t>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iX System is not approved delaying their purchase, and not purchasing an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System,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until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is approved or cleared for use in their market</w:t>
      </w:r>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inability of physicians to obtain the necessary financing to purchase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the length of our sales process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new functionalities and system updates, such as the robotic implantation functionality in the new ARTAS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iX System;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performance of our international distributors;</w:t>
      </w:r>
    </w:p>
    <w:p>
      <w:pPr>
        <w:spacing w:after="0" w:line="117"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positive or negative media coverage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the procedures or products of our competitors, or our industry generally;</w:t>
      </w:r>
    </w:p>
    <w:p>
      <w:pPr>
        <w:spacing w:after="0" w:line="53"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maintain our current, or obtain further, regulatory clearances or approvals such as the regulatory clearances and approvals necessary to market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outside the U.S.;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or failure of, product and component deliveries by our third-party manufacturers or suppliers;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seasonal or other variations in patient demand for aesthetic procedures;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introduction of new aesthetic procedures or products that compete with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accounting rules that may cause restatement of our consolidated financial statements or have other adverse effects;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adverse changes in the economy that reduce patient demand for elective aesthetic procedures.</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445" w:right="419" w:bottom="1440" w:gutter="0" w:footer="0" w:header="0"/>
        </w:sectPr>
      </w:pPr>
    </w:p>
    <w:bookmarkStart w:id="39" w:name="page40"/>
    <w:bookmarkEnd w:id="39"/>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The long sales cycle, low unit volume for sales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iX System and the historic seasonality of our industry, each may contribute to substantial fluctuations in our operating results and stock price and make it difficult to compare our results of operations to prior periods and predict future financial results.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sell a relatively small number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at a relatively high price, with each sale of an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typically involving a significant amount of time. Because of the relatively small number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we expect to sell in any period, each sale of a system could represent a significant percentage of our revenue for a period. Furthermore, due to the significant amount of time it can take to finalize the sale of a system, it is likely that a sale could be recognized in a subsequent period which could have a material effect on our results from quarter to quarter and increase the volatility of quarterly results. In addition, our industry is characterized by seasonally lower demand during the third quarter of the calendar year, generally when both physicians and prospective patients take summer vacation. As a result of these factors, future fluctuations in quarterly results could cause our revenue and cash flows to be below analyst and investor expectations, which could cause decline in our stock price. Due to future fluctuations in revenue and costs, as well as other potential fluctuations, you should not rely upon our operating results in any period as an indication of future performance. If we do not sell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as anticipated, our operating results will vary significantly from our expectations. In addition, selling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requires significant marketing effort and expenditure in advance of the receipt of revenue and our efforts may not result in a sale.</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recurring losses from operations and negative cash flows have raised substantial doubt regarding our ability to continue as a going concern.</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 xml:space="preserve">Our independent registered public accounting firm included an explanatory paragraph in its report on our consolidated financial statements as of, and for the year ended, December 31, 2018 that our recurring losses from operations and negative cash flows raise substantial doubt about our ability to continue as a going concern. </w:t>
      </w:r>
      <w:r>
        <w:rPr>
          <w:rFonts w:ascii="Times New Roman" w:cs="Times New Roman" w:eastAsia="Times New Roman" w:hAnsi="Times New Roman"/>
          <w:sz w:val="18"/>
          <w:szCs w:val="18"/>
          <w:color w:val="000000"/>
        </w:rPr>
        <w:t>As of the filing date of this Quarterly Report, we believe our current cash and cash equivalents will not be sufficient to fund our operations for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the next twelve months. </w:t>
      </w:r>
      <w:r>
        <w:rPr>
          <w:rFonts w:ascii="Times New Roman" w:cs="Times New Roman" w:eastAsia="Times New Roman" w:hAnsi="Times New Roman"/>
          <w:sz w:val="18"/>
          <w:szCs w:val="18"/>
          <w:color w:val="231F20"/>
        </w:rPr>
        <w:t>Our ability to continue as a going concern will require us to obtain additional financing to fund our operations. The perception of our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ability to continue as a going concern may make it more difficult for us to obtain financing for the continuation of our operations and could result in the loss of confidence by investors, suppliers and employees.</w:t>
      </w:r>
    </w:p>
    <w:p>
      <w:pPr>
        <w:spacing w:after="0" w:line="29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will require substantial additional financing to achieve our goals, and a failure to obtain this necessary capital when needed on acceptable terms, or at all, could force us to delay, limit, reduce or terminate our product development, commercialization and other operations or efforts.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Since our inception, we have invested a significant portion of our efforts and financial resources in research and development and sales and marketing activities. Research and development, clinical trials, product engineering, ongoing product upgrades and other enhancements such as software-updates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seeking regulatory clearances and approvals to market future products will require substantial funds to complete. As of September 30, 2019, we had capital resources consisting of cash and cash equivalents of $8.9 million. We believe that we will continue to expend substantial resources for the foreseeable future in connection with the ongoing commercializing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increasing our sales and marketing efforts, and continuing research and development and product enhancements activities.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We believe our existing cash and cash equivalents and cash expected to be generated from the sale of our products will not be enough for us to fund our planned operations for the next twelve months. Therefore, we will need additional capital to fund our future operations. In addition, our operating plans may change as a result of many factors some of which may be unknown to us, and we may need to seek additional funds sooner than planned, through public or private equity or debt financings or other sources, such as strategic collaborations. Such financing may result in dilution to stockholders, imposition of burdensome debt covenants and repayment obligations, the licensing of rights to our technology or other restrictions that may affect our business. In addition, we may seek additional capital due to favorable market conditions or strategic considerations even if we believe we have enough funds for our current or future operating plans.</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Additional funds may not be available when we need them, on terms that are acceptable to us, or at all. If adequate funds are not available to us on a timely basis, we may be required to:</w:t>
      </w:r>
    </w:p>
    <w:p>
      <w:pPr>
        <w:spacing w:after="0" w:line="54" w:lineRule="exact"/>
        <w:rPr>
          <w:sz w:val="20"/>
          <w:szCs w:val="20"/>
          <w:color w:val="auto"/>
        </w:rPr>
      </w:pPr>
    </w:p>
    <w:p>
      <w:pPr>
        <w:ind w:left="1040" w:right="600" w:hanging="519"/>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or curtail our efforts to develop enhancements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including any clinical trials that may be required to market such enhancements;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or curtail our plans to increase and expand our sales and marketing efforts; or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or curtail our plans to enhance our customer support and marketing activities.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0" w:name="page41"/>
    <w:bookmarkEnd w:id="40"/>
    <w:p>
      <w:pPr>
        <w:ind w:right="160"/>
        <w:spacing w:after="0" w:line="261" w:lineRule="auto"/>
        <w:rPr>
          <w:sz w:val="20"/>
          <w:szCs w:val="20"/>
          <w:color w:val="auto"/>
        </w:rPr>
      </w:pPr>
      <w:r>
        <w:rPr>
          <w:rFonts w:ascii="Times New Roman" w:cs="Times New Roman" w:eastAsia="Times New Roman" w:hAnsi="Times New Roman"/>
          <w:sz w:val="18"/>
          <w:szCs w:val="18"/>
          <w:color w:val="231F20"/>
        </w:rPr>
        <w:t>We are restricted by covenants in the Solar Agreement. These covenants restrict, among other things, our ability to incur additional debt without Solar’s consent, which may limit our ability to obtain additional funds. In addition, the Solar Agreement contains certain minimum liquidity and minimum revenue covenants, which, if we fail to maintain or achieve, will result in a default under the agreement and the requirement for us to repay all outstanding principal amounts and accrued interest repay all amounts outstanding</w:t>
      </w:r>
    </w:p>
    <w:p>
      <w:pPr>
        <w:spacing w:after="0" w:line="284"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are dependent upon the success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 which has a limited commercial history. If we are unsuccessful in developing the market for robotic hair restoration or the market acceptance for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 fails to grow significantly, our business and future prospects will be harmed.</w:t>
      </w:r>
    </w:p>
    <w:p>
      <w:pPr>
        <w:spacing w:after="0" w:line="6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We commenced commercial sales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for hair follicle dissection in the U.S. in 2011 and expect that the revenue we generate from both system sales and servicing as well as recurring procedure-based fees will account for all our revenue for the foreseeable future. Accordingly, our success depends on the acceptance among physicians and patients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as the preferred system for performing hair restoration surgery.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by physicians is significantly dependent on our ability to convince physicians of the benefits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to their practices and, accordingly, develop the market for robotic-assisted hair restoration surgery. Acceptance of the ARTAS procedure by patients is equally important as patient demand will influence physicians to offer the ARTAS procedure, and the degree of market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by physicians and patients is unproven. We believe that market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will depend on many factors, including:</w:t>
      </w:r>
    </w:p>
    <w:p>
      <w:pPr>
        <w:spacing w:after="0" w:line="77" w:lineRule="exact"/>
        <w:rPr>
          <w:sz w:val="20"/>
          <w:szCs w:val="20"/>
          <w:color w:val="auto"/>
        </w:rPr>
      </w:pPr>
    </w:p>
    <w:p>
      <w:pPr>
        <w:ind w:left="1040" w:right="720" w:hanging="519"/>
        <w:spacing w:after="0" w:line="282"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perceived advantages or disadvantages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compared to other hair restoration products and treatments;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safety and efficacy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relative to other hair restoration products and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price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relative to other hair restoration products and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success in expanding our sales and marketing organization;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effectiveness of our marketing, advertising, and commercialization initiatives;</w:t>
      </w:r>
    </w:p>
    <w:p>
      <w:pPr>
        <w:spacing w:after="0" w:line="114"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success in adding new functionalities to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enhancing existing functions;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obtain regulatory clearance to market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for additional treatment indications in the U.S.</w:t>
      </w:r>
    </w:p>
    <w:p>
      <w:pPr>
        <w:spacing w:after="0" w:line="22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231F20"/>
        </w:rPr>
        <w:t>Further,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which was launched in June 2018, includes our recently approved robotic implantation functionality. As this functionality is new, it is possible that it could include defaults, “bugs” or present other technical issues which could prompt potential physician customers to delay their purchase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or could prompt physicians that have purchased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to either return or not utilize the system.</w:t>
      </w:r>
    </w:p>
    <w:p>
      <w:pPr>
        <w:spacing w:after="0" w:line="176"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231F20"/>
        </w:rPr>
        <w:t>We cannot assure you that the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System or ARTAS</w:t>
      </w:r>
      <w:r>
        <w:rPr>
          <w:rFonts w:ascii="Times New Roman" w:cs="Times New Roman" w:eastAsia="Times New Roman" w:hAnsi="Times New Roman"/>
          <w:sz w:val="14"/>
          <w:szCs w:val="14"/>
          <w:color w:val="231F20"/>
        </w:rPr>
        <w:t>®</w:t>
      </w:r>
      <w:r>
        <w:rPr>
          <w:rFonts w:ascii="Times New Roman" w:cs="Times New Roman" w:eastAsia="Times New Roman" w:hAnsi="Times New Roman"/>
          <w:sz w:val="17"/>
          <w:szCs w:val="17"/>
          <w:color w:val="231F20"/>
        </w:rPr>
        <w:t xml:space="preserve"> iX System will achieve broad market acceptance among physicians and patients. Because we expect to derive substantially all our revenue for the foreseeable future from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and ARTAS</w:t>
      </w:r>
      <w:r>
        <w:rPr>
          <w:rFonts w:ascii="Times New Roman" w:cs="Times New Roman" w:eastAsia="Times New Roman" w:hAnsi="Times New Roman"/>
          <w:sz w:val="14"/>
          <w:szCs w:val="14"/>
          <w:color w:val="231F20"/>
        </w:rPr>
        <w:t>®</w:t>
      </w:r>
      <w:r>
        <w:rPr>
          <w:rFonts w:ascii="Times New Roman" w:cs="Times New Roman" w:eastAsia="Times New Roman" w:hAnsi="Times New Roman"/>
          <w:sz w:val="17"/>
          <w:szCs w:val="17"/>
          <w:color w:val="231F20"/>
        </w:rPr>
        <w:t xml:space="preserve"> iX Systems sales, servicing and procedure-based fees, any failure of this product to satisfy physician or patient demand or to achieve meaningful market acceptance will harm our business and future prospects.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there is not sufficient patient demand for ARTAS procedures, our financial results and future prospects will be harmed.</w:t>
      </w:r>
    </w:p>
    <w:p>
      <w:pPr>
        <w:spacing w:after="0" w:line="12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231F20"/>
        </w:rPr>
        <w:t>The ARTAS procedure is an elective aesthetic procedure, the cost of which must be borne by the patient and is not covered by or reimbursable through government or private health insurance. The decision to undergo the ARTAS procedure is thus driven by patient demand, which may be influenced by a number of factors, such as:</w:t>
      </w:r>
    </w:p>
    <w:p>
      <w:pPr>
        <w:spacing w:after="0" w:line="68" w:lineRule="exact"/>
        <w:rPr>
          <w:sz w:val="20"/>
          <w:szCs w:val="20"/>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our sales and marketing programs;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to which our physician customers recommend the ARTAS procedures to their patients;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success in attracting consumers who have not previously undergone hair restoration treatment;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extent to which the ARTAS procedure satisfies patient expectations;</w:t>
      </w:r>
    </w:p>
    <w:p>
      <w:pPr>
        <w:spacing w:after="0" w:line="117" w:lineRule="exact"/>
        <w:rPr>
          <w:rFonts w:ascii="Times New Roman" w:cs="Times New Roman" w:eastAsia="Times New Roman" w:hAnsi="Times New Roman"/>
          <w:sz w:val="18"/>
          <w:szCs w:val="18"/>
          <w:color w:val="auto"/>
        </w:rPr>
      </w:pPr>
    </w:p>
    <w:p>
      <w:pPr>
        <w:ind w:left="1040" w:right="760" w:hanging="519"/>
        <w:spacing w:after="0" w:line="282"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properly train our physician customers in the 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so that their patients do not experience excessive discomfort during treatment or adverse side effects;</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1" w:name="page42"/>
    <w:bookmarkEnd w:id="41"/>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cost, safety, and effectiveness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versus other aesthetic treatments;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consumer sentiment about the benefits and risks of aesthetic procedures generally and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in particular;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success of any direct-to-consumer marketing efforts we may initiate;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general consumer confidence, which may be impacted by economic and political conditions outside of our control.</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Our financial performance will be materially harmed in the event we cannot generate significant patient demand for procedures performed with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depends in part upon patient satisfaction with the effectiveness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and ARTAS® iX Systems.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In order to generate repeat and referral business, patients must be satisfied with the effectiveness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If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procedure is not done correctly, and or the patient suffers from complications and other adverse effects, the patient may not be satisfied with the benefits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Furthermore, if the transplanted hair follicles do not grow or survive the transplant, the patient will likely not view the procedure as having a satisfactory outcome. If patients are not satisfied with the aesthetic benefits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or feel that it is too expensive for the results obtained, our reputation and future sales will suffer.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success depends on growing physician adoption and use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Our ability to increase the number of physicians willing to make a significant capital expenditure to purchase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make it a significant part of their practices, depends on the success of our sales and marketing programs. We must be able to demonstrate that the cost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the revenue that a physician can derive from performing ARTAS procedures are compelling when compared to the costs and revenue associated with alternative aesthetic treatments the physician can offer. In addition, we believe our marketing programs, including clinical and practice development support, will be critical to increasing utilization and awareness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but these programs require physician commitment and involvement to succeed. If we are unable to increase physician adoption and 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our financial performance will be adversely affected.</w:t>
      </w:r>
    </w:p>
    <w:p>
      <w:pPr>
        <w:spacing w:after="0" w:line="293"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inability to effectively compete with competitive hair restoration treatments or procedures may prevent us from achieving significant market penetration or improving our operating results.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The medical technology and aesthetic product markets are highly competitive and dynamic and are characterized by rapid and substantial technological development and product innovations. We designed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to assist physicians in performing follicular unit extraction surgery.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and ARTAS procedures could be limited by other products and technologies. Competition to address hair loss comes from various sources, including:</w:t>
      </w:r>
    </w:p>
    <w:p>
      <w:pPr>
        <w:spacing w:after="0" w:line="72" w:lineRule="exact"/>
        <w:rPr>
          <w:sz w:val="20"/>
          <w:szCs w:val="20"/>
          <w:color w:val="auto"/>
        </w:rPr>
      </w:pPr>
    </w:p>
    <w:p>
      <w:pPr>
        <w:ind w:left="1040" w:right="240" w:hanging="519"/>
        <w:spacing w:after="0" w:line="282"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therapeutic options including Rogaine, which is applied topically, and Propecia, which is ingested, both of which have been approved by the FDA;</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non-surgical options, such as wigs, hair-loss concealer sprays and similar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surgical alternatives, including hair transplantation surgery using the strip surgery method or using hand-held devices.</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231F20"/>
        </w:rPr>
        <w:t>Surgical alternatives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may be able to compete more effectively than the ARTAS procedure in established practices with trained staff and workflows built around performing these surgical alternatives. Practices experienced in offering strip surgery or follicular unit extractions using hand-held devices may be reluctant to incorporate or convert their practices to offer ARTAS procedures due to the effort involved to make such changes.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31F20"/>
        </w:rPr>
        <w:t>Many options may be able to provide satisfactory results for male hair loss, generally at a lower cost to the patient than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As a result, if patients choose these competitive alternatives, our results of operation could be adversely affected.</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231F20"/>
        </w:rPr>
        <w:t>We also face competition from other aesthetic devices that physicians may consider adding to their practice in lieu of building a hair restoration practice, for instance CoolSculpting, which is utilized for body contouring or cosmetic fat reduction. As a result, if physicians choose these competitive products over building a hair restoration practice with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our results of operation could be adversely affected.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2" w:name="page43"/>
    <w:bookmarkEnd w:id="42"/>
    <w:p>
      <w:pPr>
        <w:jc w:val="both"/>
        <w:ind w:right="160"/>
        <w:spacing w:after="0" w:line="266" w:lineRule="auto"/>
        <w:rPr>
          <w:sz w:val="20"/>
          <w:szCs w:val="20"/>
          <w:color w:val="auto"/>
        </w:rPr>
      </w:pPr>
      <w:r>
        <w:rPr>
          <w:rFonts w:ascii="Times New Roman" w:cs="Times New Roman" w:eastAsia="Times New Roman" w:hAnsi="Times New Roman"/>
          <w:sz w:val="18"/>
          <w:szCs w:val="18"/>
          <w:color w:val="231F20"/>
        </w:rPr>
        <w:t>Some of our competitors have a broad range of product offerings, large direct sales forces, and long-term customer relationships with our target physicians, which could inhibit our market penetration efforts. Our potential physician customers also may need to recoup the cost of expensive products that they have already purchased from our competitors, and thus they may decide to delay purchasing, or not to purchase,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Many of our competitors are large, experienced companies that have substantially greater resources and brand recognition than we do. Competition could result in price-cutting, reduced profit margins, and limited market share, any of which would harm our business, financial condition,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establish or strengthen our brand.</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We believe that establishing and strengthening the Restoration Robotics and ARTAS brand is critical to achieving widespread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particularly because of the highly competitive nature of the market for aesthetic treatments and procedures to address male hair loss. Promoting and positioning our brand will depend largely on the success of our marketing efforts and our ability to provide physicians with a reliable product to assist them in performing hair restoration surgery. Given the established nature of our competitors, and our limited commercialization in the U.S., it is likely that our future marketing efforts will require us to incur significant additional expenses. These brand promotion activities may not yield increased sales and, even if they do, any sales increases may not offset the expenses we incur to promote our brand. If we fail to successfully promote and maintain our brand, or if we incur substantial expenses in an unsuccessful attempt to promote and maintain our brand, our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may not be accepted by physicians, which would adversely affect our business, results of operations and financial condition.</w:t>
      </w:r>
    </w:p>
    <w:p>
      <w:pPr>
        <w:spacing w:after="0" w:line="2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have limited experience with our direct sales and marketing force and any failure to build and manage our direct sales and marketing force effectively could have a material adverse effect on our business.</w:t>
      </w:r>
    </w:p>
    <w:p>
      <w:pPr>
        <w:spacing w:after="0" w:line="51"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231F20"/>
        </w:rPr>
        <w:t>We rely on a direct sales force to sell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Systems in the U.S. and certain markets outside the U.S. In order to meet our anticipated sales objectives, we expect to grow our direct sales and marketing organization significantly over the next several years and intend to opportunistically build a direct sales and marketing force in certain international markets where we do not have a direct sales force. There are significant risks involved in building and managing our sales and marketing organization, including risks related to our ability to:</w:t>
      </w:r>
    </w:p>
    <w:p>
      <w:pPr>
        <w:spacing w:after="0" w:line="72"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hire qualified individuals as needed;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generate sufficient leads within our target physician group for our sales force;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provide adequate training for the effective sale and marketing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retain and motivate our direct sales and marketing professionals;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effectively oversee geographically dispersed sales and marketing teams.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Our failure to adequately address these risks could have a material adverse effect on our ability to increase sales and 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which would cause our revenue to be lower than expected and harm our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To market and sell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and/or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iX System in certain markets outside of the U.S., we depend on third-party distributors.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We depend on third-party distributors to sell, market, and service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in certain markets outside of the U.S. and to train our physician customers in such markets. Furthermore, we may need to engage additional third-party distributors to expand into new markets outside of the U.S. where we do not have a direct sales force. We are subject to a number of risks associated with our dependence on these third-parties, including:</w:t>
      </w:r>
    </w:p>
    <w:p>
      <w:pPr>
        <w:spacing w:after="0" w:line="68" w:lineRule="exact"/>
        <w:rPr>
          <w:sz w:val="20"/>
          <w:szCs w:val="20"/>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lack of day-to-day control over the activities of third-party distributors;</w:t>
      </w:r>
    </w:p>
    <w:p>
      <w:pPr>
        <w:spacing w:after="0" w:line="117" w:lineRule="exact"/>
        <w:rPr>
          <w:rFonts w:ascii="Times New Roman" w:cs="Times New Roman" w:eastAsia="Times New Roman" w:hAnsi="Times New Roman"/>
          <w:sz w:val="18"/>
          <w:szCs w:val="18"/>
          <w:color w:val="auto"/>
        </w:rPr>
      </w:pPr>
    </w:p>
    <w:p>
      <w:pPr>
        <w:ind w:left="1040" w:right="54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distributors may not commit the necessary resources to market, sell, train, support and service our systems to the level of our expectations;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distributors may emphasize the sale of third-party products over our products;</w:t>
      </w:r>
    </w:p>
    <w:p>
      <w:pPr>
        <w:spacing w:after="0" w:line="117" w:lineRule="exact"/>
        <w:rPr>
          <w:rFonts w:ascii="Times New Roman" w:cs="Times New Roman" w:eastAsia="Times New Roman" w:hAnsi="Times New Roman"/>
          <w:sz w:val="18"/>
          <w:szCs w:val="18"/>
          <w:color w:val="auto"/>
        </w:rPr>
      </w:pPr>
    </w:p>
    <w:p>
      <w:pPr>
        <w:ind w:left="1040" w:right="480" w:hanging="519"/>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distributors may not be as selective as we would be in choosing physicians to purchase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as effective in training physicians in marketing and patient selection;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3" w:name="page44"/>
    <w:bookmarkEnd w:id="43"/>
    <w:p>
      <w:pPr>
        <w:ind w:left="1040" w:right="60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distributors may violate applicable laws and regulations which may expose us to potential liability or limit our ability to sell products in certain markets</w:t>
      </w:r>
    </w:p>
    <w:p>
      <w:pPr>
        <w:spacing w:after="0" w:line="53" w:lineRule="exact"/>
        <w:rPr>
          <w:rFonts w:ascii="Times New Roman" w:cs="Times New Roman" w:eastAsia="Times New Roman" w:hAnsi="Times New Roman"/>
          <w:sz w:val="18"/>
          <w:szCs w:val="18"/>
          <w:color w:val="auto"/>
        </w:rPr>
      </w:pPr>
    </w:p>
    <w:p>
      <w:pPr>
        <w:ind w:left="1040" w:right="12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third-party distributors may terminate their arrangements with us on limited, or no, notice or may change the terms of these arrangements in a manner unfavorable to us; and</w:t>
      </w:r>
    </w:p>
    <w:p>
      <w:pPr>
        <w:spacing w:after="0" w:line="53" w:lineRule="exact"/>
        <w:rPr>
          <w:rFonts w:ascii="Times New Roman" w:cs="Times New Roman" w:eastAsia="Times New Roman" w:hAnsi="Times New Roman"/>
          <w:sz w:val="18"/>
          <w:szCs w:val="18"/>
          <w:color w:val="auto"/>
        </w:rPr>
      </w:pPr>
    </w:p>
    <w:p>
      <w:pPr>
        <w:ind w:left="1040" w:right="560" w:hanging="519"/>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disagreements with our distributors that could require or result in costly and time-consuming litigation or arbitration which we could be required to conduct in jurisdictions with which we are not familiar.</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231F20"/>
        </w:rPr>
        <w:t>If we fail to establish and maintain satisfactory relationships with our third-party distributors, our revenue and market share may not grow as anticipated, and we could be subject to unexpected costs which would harm our results of operations and financial condition.</w:t>
      </w:r>
    </w:p>
    <w:p>
      <w:pPr>
        <w:spacing w:after="0" w:line="266"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To successfully market and sell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and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iX System in markets outside of the U.S., we must address many international business risks with which we have limited experience.</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Sales in markets outside of the U.S. accounted for approximately 40% of our revenue for the year ended December 31, 2018 and 43% of our revenue for the nine months ended September 30, 2019 and 2018, respectively. We believe that a significant percentage of our business will continue to come from sales in markets outside of the U.S. through increased penetration in countries where we market and sell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or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However, international sales are subject to a number of risks, including:</w:t>
      </w:r>
    </w:p>
    <w:p>
      <w:pPr>
        <w:spacing w:after="0" w:line="72" w:lineRule="exact"/>
        <w:rPr>
          <w:sz w:val="20"/>
          <w:szCs w:val="20"/>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difficulties in staffing and managing our international operations;</w:t>
      </w:r>
    </w:p>
    <w:p>
      <w:pPr>
        <w:spacing w:after="0" w:line="117"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competition as a result of more products and procedures receiving regulatory approval or otherwise free to market in international markets;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longer accounts receivable payment cycles and difficulties in collecting accounts receivable;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reduced or varied protection for intellectual property rights in some countries;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export restrictions, trade regulations, and foreign tax laws;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fluctuations in currency exchange rates;</w:t>
      </w:r>
    </w:p>
    <w:p>
      <w:pPr>
        <w:spacing w:after="0" w:line="117" w:lineRule="exact"/>
        <w:rPr>
          <w:rFonts w:ascii="Times New Roman" w:cs="Times New Roman" w:eastAsia="Times New Roman" w:hAnsi="Times New Roman"/>
          <w:sz w:val="18"/>
          <w:szCs w:val="18"/>
          <w:color w:val="auto"/>
        </w:rPr>
      </w:pPr>
    </w:p>
    <w:p>
      <w:pPr>
        <w:ind w:left="1040" w:right="18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foreign certification and regulatory clearance or approval requirements, including receiving regulatory approval and clearance for the robotic implantation functionality included in our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difficulties in developing effective marketing campaigns in unfamiliar foreign countries;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customs clearance and shipping delays;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political, social, and economic instability abroad, terrorist attacks, and security concerns in general;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preference for locally produced products;</w:t>
      </w:r>
    </w:p>
    <w:p>
      <w:pPr>
        <w:spacing w:after="0" w:line="117"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potentially adverse tax consequences, including the complexities of foreign value-added tax systems, tax inefficiencies related to our corporate structure, and restrictions on the repatriation of earnings;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burdens of complying with a wide variety of foreign laws and different legal standards;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financial accounting and reporting burdens and complexities.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If one or more of these risks were realized, our results of operations and financial condition could be adversely affected.</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231F20"/>
        </w:rPr>
        <w:t>We expect that our revenue from international markets may decrease in the near term as we have received regulatory approval or clearance for the implantation function outside of the U.S., which may result in purchasing delays in international markets as customers await the availability of that function. In addition, the number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previously sold to distributors that have not yet been placed with an end user has increased in recent periods, which, in combination with the launch of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may further exaggerate delays in international system sales.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44" w:name="page45"/>
    <w:bookmarkEnd w:id="44"/>
    <w:p>
      <w:pPr>
        <w:jc w:val="both"/>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While traditional hair transplantation surgery has been available for many years,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has only been commercially available since 2011. As a result, we have a limited track record compared to traditional hair transplantation surgery and the safety and efficacy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is not yet supported by long-term clinical data, which could limit sales, and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could prove to be less safe or effective than initially thought.</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that we market in the U.S. is regulated as a medical device by the U.S. Food and Drug Administration, or the FDA, and has received premarket clearance under Section 510(k) of the U.S. Federal Food, Drug and Cosmetic Act, or FDCA.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This process is typically shorter and generally requires the submission of less supporting documentation than the FDA’s PMA process and does not always require long-term clinical studies.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Hair transplantation surgery has been a treatment option for hair restoration for many years, while we only began commercializing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in 2011. Consequently, we lack the breadth of published long-term clinical data supporting the safety and efficacy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the benefits it offers that might have been generated in connection with other hair restoration techniques. As a result, physicians may be slow to adopt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we may not have comparative data that our competitors have or are generating, and we may be subject to greater regulatory and product liability risks. Furthermore, future patient studies or clinical experience may indicate that treatment with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does not improve patient outcomes compared to other hair restoration techniques. Such results would slow the adoption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by physicians, would significantly reduce our ability to achieve expected sales and could prevent us from achieving and maintaining profitability.</w:t>
      </w:r>
    </w:p>
    <w:p>
      <w:pPr>
        <w:spacing w:after="0" w:line="18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We have limited complication or patient success rate data with respect to treatment using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If future patient studies or clinical testing do not support our belief that our system offers a more advantageous treatment for hair restoration, market acceptance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could fail to increase or could decrease and our business could be harmed. Moreover, if future results and experience indicate that our implant products cause unexpected or serious complications or other unforeseen negative effects, we could be subject to mandatory product recalls, suspension or withdrawal of FDA or other governmental clearance or approval or, CE Certificates of Conformity, significant legal liability or harm to our business reputation. Furthermore, if patients that receive traditional hair transplantation surgery, such as strip surgery, were to experience unexpected or serious complications or other unforeseen effects, the market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may be adversely affected, even if such effects are not applicable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231F20"/>
        </w:rPr>
        <w:t>If we choose to, or are required to, conduct additional studies, such studies or experience could, slow the market adoption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by physicians, significantly reduce our ability to achieve expected revenue and prevent us from becoming profitable.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were the subject of purported class action lawsuits, and additional litigation may be brought against us in the future.</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May and June 2018, a number of purported stockholder class action complaints were filed against us, the members of our board of directors (and affiliated venture funds), as well as certain of our current and former officers and the underwriters in our IPO. The complaints all allege, among other things, that our Registration Statement filed with the SEC on September 1, 2017 and the Prospectus filed with the SEC on October 13, 2017 in connection with our IPO were inaccurate and misleading, contained untrue statements of material facts, omitted to state other facts necessary to make the statements made not misleading and omitted to state material facts required to be stated therein. In addition, in July 2019, a shareholder derivative complaint was filed which alleges that certain of our current and former executive officers and directors breached their fiduciary duties, have been unjustly enriched and violated Section 14(a) of the Exchange Act in connection with our IPO and our 2018 proxy statement. The complaints seek unspecified money damages, other equitable relief and attorneys’ fees and costs. While we believe these claims to be without merit, we cannot assure you that additional claims alleging the same or similar facts will not be filed. Any litigation could result in substantial costs and a diversion of management’s attention and resources.</w:t>
      </w:r>
    </w:p>
    <w:p>
      <w:pPr>
        <w:spacing w:after="0" w:line="29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rely on a single third-party manufacturer for the manufacturing of the reusable procedure kits, disposable procedure kits and spare procedures kits used with the ARTAS</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System and the ARTAS</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iX System.</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NPI Solutions, Inc., or NPI, produces reusable procedure kits, disposable procedure kits and spare kits used with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If the operations of NPI are interrupted or if it is unable or unwilling to meet our delivery requirements due to capacity limitations or other constraints, we may be limited in our ability to fulfill new customer kit orders required for use with existing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Any change to another contract manufacturer would likely entail significant delay, require us to devote substantial time and resources, and could involve a period in which our products could not be produced in a timely or consistently high-quality manner, any of which could harm our reputation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45" w:name="page46"/>
    <w:bookmarkEnd w:id="45"/>
    <w:p>
      <w:pPr>
        <w:spacing w:after="0" w:line="258" w:lineRule="auto"/>
        <w:rPr>
          <w:sz w:val="20"/>
          <w:szCs w:val="20"/>
          <w:color w:val="auto"/>
        </w:rPr>
      </w:pPr>
      <w:r>
        <w:rPr>
          <w:rFonts w:ascii="Times New Roman" w:cs="Times New Roman" w:eastAsia="Times New Roman" w:hAnsi="Times New Roman"/>
          <w:sz w:val="18"/>
          <w:szCs w:val="18"/>
          <w:color w:val="231F20"/>
        </w:rPr>
        <w:t>We have a manufacturing agreement for consumables with NPI for the supply of consumable products, including reusable procedure kits, disposable procedure kits and spare procedure kits used with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pursuant to both of which we make purchases on a purchase order basis. The agreement is effective for an initial term of two years and will continue to automatically renew for additional twelve-month periods, subject to either party’s right to terminate the agreement upon 180 days advance notice during the initial term if our quarterly forecasted demand falls below 75% of our historical forecasted demand for the same period in the previous year or upon 120 days’ advance notice after the initial term.</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addition, our reliance on NPI involves a number of other risks, including, among other things, that:</w:t>
      </w:r>
    </w:p>
    <w:p>
      <w:pPr>
        <w:spacing w:after="0" w:line="117" w:lineRule="exact"/>
        <w:rPr>
          <w:sz w:val="20"/>
          <w:szCs w:val="20"/>
          <w:color w:val="auto"/>
        </w:rPr>
      </w:pPr>
    </w:p>
    <w:p>
      <w:pPr>
        <w:ind w:left="1040" w:right="360" w:hanging="519"/>
        <w:spacing w:after="0" w:line="261" w:lineRule="auto"/>
        <w:tabs>
          <w:tab w:leader="none" w:pos="10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various procedure kits may not be manufactured in accordance with agreed upon specifications or in compliance with regulatory requirements, or its manufacturing facilities may not be able to maintain compliance with regulatory requirements, which could negatively affect the safety or efficacy of our procedure kits, cause delays in shipments of our procedure kits, or require us to recall procedure kits previously delivered to customers;</w:t>
      </w:r>
    </w:p>
    <w:p>
      <w:pPr>
        <w:spacing w:after="0" w:line="71" w:lineRule="exact"/>
        <w:rPr>
          <w:rFonts w:ascii="Times New Roman" w:cs="Times New Roman" w:eastAsia="Times New Roman" w:hAnsi="Times New Roman"/>
          <w:sz w:val="18"/>
          <w:szCs w:val="18"/>
          <w:color w:val="231F20"/>
        </w:rPr>
      </w:pPr>
    </w:p>
    <w:p>
      <w:pPr>
        <w:ind w:left="1040" w:right="20" w:hanging="519"/>
        <w:spacing w:after="0" w:line="282" w:lineRule="auto"/>
        <w:tabs>
          <w:tab w:leader="none" w:pos="10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not be able to timely respond to unanticipated changes in customer orders, and if orders do not match forecasts, we may have excess or inadequate inventory of materials and components;</w:t>
      </w:r>
    </w:p>
    <w:p>
      <w:pPr>
        <w:spacing w:after="0" w:line="53"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be subject to price fluctuations when a supply contract is renegotiated or if our existing contract is not renewed;</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NPI may wish to discontinue manufacturing and supplying products to us for risk management reasons; and</w:t>
      </w:r>
    </w:p>
    <w:p>
      <w:pPr>
        <w:spacing w:after="0" w:line="117" w:lineRule="exact"/>
        <w:rPr>
          <w:rFonts w:ascii="Times New Roman" w:cs="Times New Roman" w:eastAsia="Times New Roman" w:hAnsi="Times New Roman"/>
          <w:sz w:val="18"/>
          <w:szCs w:val="18"/>
          <w:color w:val="231F20"/>
        </w:rPr>
      </w:pPr>
    </w:p>
    <w:p>
      <w:pPr>
        <w:ind w:left="1040" w:right="280" w:hanging="519"/>
        <w:spacing w:after="0" w:line="282" w:lineRule="auto"/>
        <w:tabs>
          <w:tab w:leader="none" w:pos="1040"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NPI may encounter financial or other hardships unrelated to our demand for products, which could inhibit its ability to fulfill our orders and meet our requirements.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If any of these risks materialize, it could significantly increase our costs, our ability to generate net sales would be impaired, market acceptance of our products could be adversely affected, and customers may instead purchase or use our competitors’ products, which could have a materially adverse effect on our business, financial condition and results of operations.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Furthermore, if we are required to change the manufacturing of our various procedure kits, we will be required to verify that the new manufacturer maintains facilities, procedures and operations that comply with our quality and applicable regulatory requirements, which could further impede our ability to manufacture the procedure kits in a timely manner. Transitioning to a new supplier could be time-consuming and expensive, may result in interruptions in our operations and product delivery. The occurrence of these events could harm our ability to meet the demand for our products in a timely or cost-effective manner.</w:t>
      </w:r>
    </w:p>
    <w:p>
      <w:pPr>
        <w:spacing w:after="0" w:line="184"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231F20"/>
        </w:rPr>
        <w:t>We cannot assure you that we will be able to secure alternative equipment and materials and utilize such equipment and materials without experiencing interruptions in our workflow. If we should encounter delays or difficulties in securing, reconfiguring or revalidating the equipment and components we require for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including the related consumables, our reputation, business, financial condition and results of operations could be negatively impacted.</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NPI is unable to manufacture the reusable procedure kits, disposable procedure kits and spare procedures kits used with the ARTAS</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System and the ARTAS</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iX System in high-quality commercial quantities successfully and consistently to meet demand, our growth will be limited.</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231F20"/>
        </w:rPr>
        <w:t>To manufacture our reusable procedure kits, disposable procedure kits and spare procedure kits in the quantities that we believe will be required to meet anticipated market demand, NPI will need to increase manufacturing capacity, which will involve significant challenges. In addition, the development of commercial-scale manufacturing capabilities will require us and NPI to invest substantial additional funds and hire and retain the technical personnel who have the necessary manufacturing experience. Neither we nor NPI may successfully complete any required increase to existing manufacturing processes in a timely manner, or at all.</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If NPI is unable to produce the reusable procedure kits, disposable procedure kits and spare kits in sufficient quantities to meet anticipated customer demand, our revenue, business, and financial prospects would be harmed. The limited experience NPI has in producing larger quantities of the procedure kits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procedures and further affect our results of operations.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6" w:name="page47"/>
    <w:bookmarkEnd w:id="46"/>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are unable to manufacture our next generation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called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iX System in high-quality commercial quantities successfully and consistently to meet demand, our growth will be limited, and our reputation could be harmed.</w:t>
      </w:r>
    </w:p>
    <w:p>
      <w:pPr>
        <w:spacing w:after="0" w:line="5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231F20"/>
        </w:rPr>
        <w:t>To manufacture our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 the quantities that we believe will be required to meet anticipated market demand, we will need to develop and maintain sufficient manufacturing capacity, which will involve significant challenges. Historically, we have not manufactured any of our other products (e.g.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in-house or without the contract manufacturer involvement. Over the next 12 months, we will manufacture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without a third-party contract manufacturer’s involvement. The development of commercial-scale manufacturing capabilities will require us (or our contract manufacturer for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if we decide to utilize one on a long-term basis) to invest substantial additional funds and hire and retain the technical personnel who have the necessary manufacturing experience. Neither we nor a third-party manufacturer, if one is utilized, may successfully complete any required increase to existing manufacturing processes in a timely manner, or at all.</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231F20"/>
        </w:rPr>
        <w:t>If we or a contract manufacturer, if one is utilized, are unable to produce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 sufficient quantities to meet anticipated customer demand, our revenue, business, financial prospects, and reputation would be harmed. The limited experience we or a third-party manufacturer, if one is utilized, in producing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may also result in quality issues, and possibly result in product recalls. Manufacturing delays related to quality control could harm our reputation and decrease our revenue. Any recall could be expensive and generate negative publicity, which could impair our ability to market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procedures and further affect our results of operations.</w:t>
      </w:r>
    </w:p>
    <w:p>
      <w:pPr>
        <w:spacing w:after="0" w:line="288"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 xml:space="preserve">Both our manufacturing of the ARTAX </w:t>
      </w:r>
      <w:r>
        <w:rPr>
          <w:rFonts w:ascii="Times New Roman" w:cs="Times New Roman" w:eastAsia="Times New Roman" w:hAnsi="Times New Roman"/>
          <w:sz w:val="15"/>
          <w:szCs w:val="15"/>
          <w:b w:val="1"/>
          <w:bCs w:val="1"/>
          <w:i w:val="1"/>
          <w:iCs w:val="1"/>
          <w:color w:val="231F20"/>
        </w:rPr>
        <w:t>®</w:t>
      </w:r>
      <w:r>
        <w:rPr>
          <w:rFonts w:ascii="Times New Roman" w:cs="Times New Roman" w:eastAsia="Times New Roman" w:hAnsi="Times New Roman"/>
          <w:sz w:val="18"/>
          <w:szCs w:val="18"/>
          <w:b w:val="1"/>
          <w:bCs w:val="1"/>
          <w:i w:val="1"/>
          <w:iCs w:val="1"/>
          <w:color w:val="231F20"/>
        </w:rPr>
        <w:t xml:space="preserve"> iX System and NPI’s manufacturing of the procedure kits are dependent upon third-party suppliers and, in some cases, sole suppliers, for the majority of our components, subassemblies and materials, making us vulnerable to supply shortages and price fluctuations, which could harm our business.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and NPI, as the case may be, rely on several sole source suppliers, including Kuka Robotics, Inc., FLIR Integrated Imaging Solutions Inc. and 3D-CAM International Corporation, for certain components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reusable procedure kits, disposable procedure kits and spare procedure kits. These sole suppliers, and any of our other suppliers, may be unwilling or unable to supply components of these systems to us or NPI reliably and at the levels we anticipate or are required by the market. For us to be successful, our suppliers must be able to provide products and components in substantial quantities, in compliance with regulatory requirements, in accordance with agreed upon specifications, at acceptable costs and on a timely basis. An interruption in our commercial operations could occur if we encounter delays or difficulties in securing these components, and if we cannot then obtain an acceptable substitute. If we are required to transition to new third-party suppliers for certain components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or our procedure kits, we believe that there are only a few such suppliers that can supply the necessary components. A supply interruption, price fluctuation or an increase in demand beyond our current suppliers’ capabilities could harm our ability to manufacture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NPI’s ability to manufacture our procedure kits until new sources of supply are identified and qualified. In addition, the use of components or materials furnished by these alternative suppliers could require us to alter our operations.</w:t>
      </w:r>
    </w:p>
    <w:p>
      <w:pPr>
        <w:spacing w:after="0" w:line="19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31F20"/>
        </w:rPr>
        <w:t>Our reliance on these suppliers subjects us to a number of risks that could harm our reputation, business, and financial condition, including, among other things:</w:t>
      </w:r>
    </w:p>
    <w:p>
      <w:pPr>
        <w:spacing w:after="0" w:line="54" w:lineRule="exact"/>
        <w:rPr>
          <w:sz w:val="20"/>
          <w:szCs w:val="20"/>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interruption of supply resulting from modifications to or discontinuation of a supplier’s operations;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product shipments resulting from uncorrected defects, reliability issues, or a supplier’s variation in a component;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lack of long-term supply arrangements for key components with our suppliers;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to obtain adequate supply in a timely manner, or to obtain adequate supply on commercially reasonable terms;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difficulty and cost associated with locating and qualifying alternative suppliers for our components in a timely manner;</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production delays related to the evaluation and testing of products from alternative suppliers, and corresponding regulatory qualifications;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 in delivery due to our suppliers prioritizing other customer orders over ours;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damage to our reputation caused by defective components produced by our suppliers;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increased cost of our warranty program due to product repair or replacement based upon defects in components produced by our suppliers;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fluctuation in delivery by our suppliers due to changes in demand from us or their other customers.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47" w:name="page48"/>
    <w:bookmarkEnd w:id="47"/>
    <w:p>
      <w:pPr>
        <w:jc w:val="both"/>
        <w:spacing w:after="0" w:line="266" w:lineRule="auto"/>
        <w:rPr>
          <w:sz w:val="20"/>
          <w:szCs w:val="20"/>
          <w:color w:val="auto"/>
        </w:rPr>
      </w:pPr>
      <w:r>
        <w:rPr>
          <w:rFonts w:ascii="Times New Roman" w:cs="Times New Roman" w:eastAsia="Times New Roman" w:hAnsi="Times New Roman"/>
          <w:sz w:val="18"/>
          <w:szCs w:val="18"/>
          <w:color w:val="231F20"/>
        </w:rPr>
        <w:t>Where practicable, we are seeking, or intending to seek, second-source manufacturers for certain of our components. However, we cannot provide assurance that we will be successful in establishing second-source manufacturers or that the second-source manufacturers will be able to satisfy commercial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w:t>
      </w:r>
    </w:p>
    <w:p>
      <w:pPr>
        <w:spacing w:after="0" w:line="176"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231F20"/>
        </w:rPr>
        <w:t>If any of these risks materialize, costs could significantly increase and our ability to meet demand for our products could be impacted. If we are unable to satisfy commercial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in a timely manner, our ability to generate revenue would be impaired and market acceptance of our products could be adversely affected.</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forecast sales to determine requirements for components and materials used in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 reusable procedure kits, disposable procedure kits, upgrade kits and spare kits and if our forecasts are incorrect, we may experience delays in shipments or increased inventory costs.</w:t>
      </w:r>
    </w:p>
    <w:p>
      <w:pPr>
        <w:spacing w:after="0" w:line="6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231F20"/>
        </w:rPr>
        <w:t>We keep limited finished products on hand. To manage our operations, we forecast anticipated product orders and material requirements to predict our inventory needs and enter into purchase orders on the basis of these requirements. Several components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require significant order lead time. Our limited historical commercial experience and anticipated growth may not provide us with enough data to consistently and accurately predict future demand. If our business expands and our demand for components and materials increases beyond our estimates, our manufacturers and suppliers may be unable to meet our demand. In addition, if we underestimate our component and material requirements, we may have inadequate inventory, which could interrupt, delay, or prevent delivery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or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related products to our customers. In contrast, if we overestimate our requirements, we may have excess inventory, which would increase use of our working capital. Any of these occurrences would negatively affect our financial condition and the level of satisfaction our physician customers have with our business.</w:t>
      </w:r>
    </w:p>
    <w:p>
      <w:pPr>
        <w:spacing w:after="0" w:line="289"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Even though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 are marketed to physicians, there exists a potential for misuse by the operator of the systems by physicians, non-physicians or individuals who are not sufficiently trained, which could harm our reputation and our business.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We and our independent distributors market and sell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to physicians. Under state law in the U.S., our physician customers can generally allow nurse practitioners, technicians, and other non-physicians to perform the ARTAS procedures under their direct supervision. Similarly, in markets outside of the U.S., physicians can allow non-physicians to perform the ARTAS procedures under their supervision. Although we and our distributors provide training on the use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we do not supervise the procedures performed with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nor can we be assured that direct physician supervision of procedures occurs according to our recommendations. The potential misuse of the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by physicians and non-physicians may result in adverse treatment outcomes, which could harm our reputation and expose us to costly product liability litigation.</w:t>
      </w:r>
    </w:p>
    <w:p>
      <w:pPr>
        <w:spacing w:after="0" w:line="1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231F20"/>
        </w:rPr>
        <w:t>We and our distributors offer product training sessions, but neither we nor our distributors require purchasers or operators of our products to attend training sessions. The lack of required training for operators of our product and the use of our products by non-physicians may result in product misuse and adverse treatment outcomes, which could harm our reputation and expose us to costly product liability litigation.</w:t>
      </w:r>
    </w:p>
    <w:p>
      <w:pPr>
        <w:spacing w:after="0" w:line="28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Product liability suits could be brought against us for defective design, labeling, material, or workmanship, or misuse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and could result in expensive and time-consuming litigation, payment of substantial damages, an increase in our insurance rates and substantial harm to our reputation.</w:t>
      </w:r>
    </w:p>
    <w:p>
      <w:pPr>
        <w:spacing w:after="0" w:line="6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If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 iX System are defectively designed, manufactured, or labeled, contains defective components, or is misused, we may become subject to substantial and costly litigation by our physician customers or their patients. Misuse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or failure to adhere to operating guidelines can cause skin damage and underlying tissue damage and, if our operating guidelines are found to be inadequate, we may be subject to liability. Furthermore, if a patient is injured in an unexpected manner or suffers unanticipated adverse events after undergoing the ARTAS procedure, even if the procedure was performed in accordance with our operating guidelines, we may be subject to product liability claims. Claims could also be asserted under state consumer protection acts. If we cannot successfully defend ourselves against product liability claims, we may incur substantial liabilities. Even successful defense would require significant financial and management resources. Regardless of the merits or eventual outcome, liability claims may result in:</w:t>
      </w:r>
    </w:p>
    <w:p>
      <w:pPr>
        <w:spacing w:after="0" w:line="77" w:lineRule="exact"/>
        <w:rPr>
          <w:sz w:val="20"/>
          <w:szCs w:val="20"/>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decreased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or any future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damage to our reputation;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costs to defend the related litigation;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8" w:name="page49"/>
    <w:bookmarkEnd w:id="48"/>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diversion of management’s time and our resources;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substantial monetary awards to physician customers, patients or clinical trial participants;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regulatory investigations, 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loss of revenue;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inability to commercialize any future products.</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Our inability to obtain and maintain sufficient product liability insurance at an acceptable cost and scope of coverage to protect against potential product liability claims could inhibit commercialization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As of September 30, 2019, we carry product liability insurance in the amount of $4.0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funds to pay such amounts. Moreover, in the future, we may not be able to maintain insurance coverage at a reasonable cost or in sufficient amounts to protect us against losses.</w:t>
      </w:r>
    </w:p>
    <w:p>
      <w:pPr>
        <w:spacing w:after="0" w:line="289"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clinical trial process required to obtain regulatory clearances or approvals is lengthy and expensive with uncertain outcomes and could result in delays in new product introductions.</w:t>
      </w:r>
    </w:p>
    <w:p>
      <w:pPr>
        <w:spacing w:after="0" w:line="5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In order to obtain 510(k) clearance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we were required to conduct a clinical trial, and we expect to conduct clinical trials in support of marketing authorization for future products and product enhancements. Conducting clinical trials is a complex and expensive process, can take many years, and outcomes are inherently uncertain. We may suffer significant setbacks in clinical trials, even after earlier clinical trials showed promising results, and failure can occur at any time during the clinical trial process. Any of our products may malfunction or may produce undesirable adverse effects that could cause us or regulatory authorities to interrupt, delay or halt clinical trials. We, the FDA, or another regulatory authority may suspend or terminate clinical trials at any time to avoid exposing trial participants to unacceptable health risks.</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Successful results of pre-clinical studies are not necessarily indicative of future clinical trial results, and predecessor clinical trial results may not be replicated in subsequent clinical trials. Additionally, the FDA may disagree with our interpretation of the data from our pre-clinical studies and clinical trials, or may find the clinical trial design, conduct or results inadequate to prove safety or efficacy, and may require us to pursue additional pre-clinical studies or clinical trials, which could further delay the clearance or approval of our products. The data we collect from our pre-clinical studies and clinical trials may not be sufficient to support FDA clearance or approval, and if we are unable to demonstrate the safety and efficacy of our future products in our clinical trials, we will be unable to obtain regulatory clearance or approval to market our products.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In addition, we may estimate and publicly announce the anticipated timing of the accomplishment of various clinical, regulatory and other product development goals, which are often referred to as milestones. These milestones could include the obtainment of the right to affix the CE Mark in the European Union; the submission to the FDA of an investigational device exemption, or IDE, application to commence a pivotal clinical trial for a new product; the enrollment of patients in clinical trials; the release of data from clinical trials; and other clinical and regulatory events. The actual timing of these milestones could vary dramatically compared to our estimates, in some cases for reasons beyond our control. We cannot assure you that we will meet our projected milestones and if we do not meet these milestones as publicly announced, the commercialization of our products may be delayed and, as a result, our stock price may decline.</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231F20"/>
        </w:rPr>
        <w:t>Delays in the commencement or completion of clinical testing could significantly affect our product development costs. We do not know whether planned clinical trials will begin on time, need to be redesigned, enroll an adequate number of patients in a timely manner or be completed on schedule, if at all. The commencement and completion of clinical trials can be delayed or terminated for a number of reasons, including delays or failures related to:</w:t>
      </w:r>
    </w:p>
    <w:p>
      <w:pPr>
        <w:spacing w:after="0" w:line="68" w:lineRule="exact"/>
        <w:rPr>
          <w:sz w:val="20"/>
          <w:szCs w:val="20"/>
          <w:color w:val="auto"/>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FDA or comparable foreign regulatory authorities disagreeing as to the design or implementation of our clinical studies;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regulatory approval to commence a clinical trial;</w:t>
      </w:r>
    </w:p>
    <w:p>
      <w:pPr>
        <w:spacing w:after="0" w:line="117" w:lineRule="exact"/>
        <w:rPr>
          <w:rFonts w:ascii="Times New Roman" w:cs="Times New Roman" w:eastAsia="Times New Roman" w:hAnsi="Times New Roman"/>
          <w:sz w:val="18"/>
          <w:szCs w:val="18"/>
          <w:color w:val="231F20"/>
        </w:rPr>
      </w:pPr>
    </w:p>
    <w:p>
      <w:pPr>
        <w:ind w:left="1040" w:right="280" w:hanging="519"/>
        <w:spacing w:after="0" w:line="282" w:lineRule="auto"/>
        <w:tabs>
          <w:tab w:leader="none" w:pos="10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reaching agreement on acceptable terms with prospective clinical research organizations, or CROs, and trial sites, the terms of which can be subject to extensive negotiation and may vary significantly among different CROs and trial sites;</w:t>
      </w:r>
    </w:p>
    <w:p>
      <w:pPr>
        <w:spacing w:after="0" w:line="53"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manufacturing sufficient quantities of a product for use in clinical trials;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9" w:name="page50"/>
    <w:bookmarkEnd w:id="49"/>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obtaining institutional review board, or IRB, or ethics committees’ approval to conduct a clinical trial at each prospective site;</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recruiting and enrolling patients and maintaining their participation in clinical trials;</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having clinical sites observe trial protocol or continue to participate in a trial;</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patient safety concerns that arise during the course of a clinical trial;</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addressing any conflicts with new or existing laws or regulations; and</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3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adding a sufficient number of clinical trial sites.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Patient enrollment in clinical trials and completion of patient follow-up depend on many factors, including the size of the patient population, the nature of the trial protocol, the proximity of patients to clinical sites, the eligibility criteria for the clinical trial, patient compliance, competing clinical trials and clinicians’ and patients’ perceptions as to the potential advantages of the product being studied in relation to other available therapies, including any new treatments that may be cleared or approved for the indications we are investigating. For example, patients may be discouraged from enrolling in our clinical trials if the trial protocol requires them to undergo extensive post-treatment procedures or follow-up to assess the safety and efficacy of a product, or they may be persuaded to participate in contemporaneous clinical trials of a competitor’s product. In addition, patients participating in our clinical trials may drop out before completion of the trial or suffer adverse medical events unrelated to our products. Delays in patient enrollment or failure of patients to continue to participate in a clinical trial may delay commencement or completion of the clinical trial, cause an increase in the costs of the clinical trial and delays, or result in the failure of the clinical trial.</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We could also encounter delays if the FDA concluded that our financial relationships with our principal investigators resulted in a perceived or actual conflict of interest that may have affected the interpretation of a study, the integrity of the data generated at the applicable clinical trial site or the utility of the clinical trial itself. Principal investigators for our clinical trials may serve as scientific advisors or consultants to us from time to time and receive cash compensation and/or stock options in connection with such services. If these relationships and any related compensation to or ownership interest by the clinical investigator carrying out the study result in perceived or actual conflicts of interest, or the FDA concludes that the financial relationship may have affected interpretation of the study, the integrity of the data generated at the applicable clinical trial site may be questioned and the utility of the clinical trial itself may be jeopardized, which could result in the delay or rejection of our marketing application by the FDA. Any such delay or rejection could prevent us from commercializing any of our products in development.</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31F20"/>
        </w:rPr>
        <w:t>Furthermore, clinical trials may also be delayed because of ambiguous or negative interim results. In addition, a clinical trial may be suspended or terminated by us, the FDA, the IRB overseeing the clinical trial at issue, the Data Safety Monitoring Board for such trial, any of our clinical trial sites with respect to that site, or other regulatory authorities due to several factors, including:</w:t>
      </w:r>
    </w:p>
    <w:p>
      <w:pPr>
        <w:spacing w:after="0" w:line="68" w:lineRule="exact"/>
        <w:rPr>
          <w:sz w:val="20"/>
          <w:szCs w:val="20"/>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conduct the clinical trial in accordance with applicable regulatory requirements or our clinical protocols;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inspection of the clinical trial operations or trial sites by the FDA or other regulatory authorities resulting in the imposition of a clinical hold;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inability of a clinical investigator or clinical trial site to continue to participate in the clinical trial;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unforeseen safety issues or adverse side effects;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failure to demonstrate a benefit from using the product;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lack of adequate funding to continue the clinical trial.</w:t>
      </w:r>
    </w:p>
    <w:p>
      <w:pPr>
        <w:spacing w:after="0" w:line="2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Additionally, changes in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experience delays in completion of, or if we terminate, any of our clinical trials, the commercial prospects for our products may be harmed and our ability to generate product revenue from these products will be delayed or not realized at all. In addition, any delays in completing our clinical trials will increase our costs, slow down our product development and approval process and jeopardize our ability to commence product sales and generate revenue. Any of these occurrences may significantly harm our business, financial condition and prospects significantly. In addition, many of the factors that cause, or lead to, a delay in the commencement or completion of a clinical trial may also ultimately lead to the denial of regulatory approval of the subject product.</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0" w:name="page51"/>
    <w:bookmarkEnd w:id="50"/>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business could be adversely affected if we are unable to extend the cleared uses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and ARTAS® iX System or successfully pursue the development, regulatory clearance or approval and commercialization of future products.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231F20"/>
        </w:rPr>
        <w:t>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iX System for hair follicle dissection, which has been cleared for use in the U.S. only for dissecting hair follicles from the scalp in men diagnosed with AGA who have black or brown straight hair, recipient site making for the follicle transplantation sites and, in our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robotic implantation in which hair follicles are robotically transplanted, which recently has been approved for commercial marketing in the U.S., are our only products. Our business could be adversely affected if we are unable to extend the cleared uses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or successfully pursue the development, regulatory clearance or approval and commercialization of future products. In the future, we may also become dependent on other products that we may develop or acquire. The clinical and commercial success of our products will depend on several factors, including the following:</w:t>
      </w:r>
    </w:p>
    <w:p>
      <w:pPr>
        <w:spacing w:after="0" w:line="81" w:lineRule="exact"/>
        <w:rPr>
          <w:sz w:val="20"/>
          <w:szCs w:val="20"/>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to raise any additional required capital on acceptable terms, or at all;</w:t>
      </w:r>
    </w:p>
    <w:p>
      <w:pPr>
        <w:spacing w:after="0" w:line="117"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timely completion of our nonclinical studies and clinical trials, which may be significantly slower, or cost more than we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whether we are required by the FDA or similar foreign regulatory agencies to conduct additional clinical trials or other studies beyond those planned to support the clearance or approval and commercialization of any future indications or products;</w:t>
      </w:r>
    </w:p>
    <w:p>
      <w:pPr>
        <w:spacing w:after="0" w:line="53" w:lineRule="exact"/>
        <w:rPr>
          <w:rFonts w:ascii="Times New Roman" w:cs="Times New Roman" w:eastAsia="Times New Roman" w:hAnsi="Times New Roman"/>
          <w:sz w:val="18"/>
          <w:szCs w:val="18"/>
          <w:color w:val="auto"/>
        </w:rPr>
      </w:pPr>
    </w:p>
    <w:p>
      <w:pPr>
        <w:ind w:left="1040" w:right="26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demonstrate to the satisfaction of the FDA and similar foreign regulatory authorities the safety, efficacy and acceptable risk to benefit profile of any future indications or products;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prevalence, duration and severity of potential side effects or other safety issues experienced with our future approved products, if any;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timely receipt of necessary marketing approvals or clearances from the FDA and foreign regulatory authorities;</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achieving and maintaining, and, where applicable, ensuring that our third-party contractors achieve and maintain, compliance with our contractual obligations and with all regulatory requirements applicable to any future products or additional approved indications, if any;</w:t>
      </w:r>
    </w:p>
    <w:p>
      <w:pPr>
        <w:spacing w:after="0" w:line="53" w:lineRule="exact"/>
        <w:rPr>
          <w:rFonts w:ascii="Times New Roman" w:cs="Times New Roman" w:eastAsia="Times New Roman" w:hAnsi="Times New Roman"/>
          <w:sz w:val="18"/>
          <w:szCs w:val="18"/>
          <w:color w:val="auto"/>
        </w:rPr>
      </w:pPr>
    </w:p>
    <w:p>
      <w:pPr>
        <w:ind w:left="1040" w:right="200" w:hanging="519"/>
        <w:spacing w:after="0" w:line="282" w:lineRule="auto"/>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acceptance by physicians and patients of the benefits, safety and efficacy of any future products, if approved or cleared, including relative to alternative and competing treatments;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establish and enforce intellectual property rights in and to our products or any future indications or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ability to avoid third-party patent interference, intellectual property challenges or intellectual property infringement claims.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231F20"/>
        </w:rPr>
        <w:t>Even if regulatory approvals or clearances are obtained, we may never be able to successfully commercialize any future indications or products. Accordingly, we cannot provide assurances that we will be able to generate sufficient revenue through the sale of any future products to continue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We will need to increase the size of our organization, and we may experience difficulties in managing growth.</w:t>
      </w:r>
    </w:p>
    <w:p>
      <w:pPr>
        <w:spacing w:after="0" w:line="12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231F20"/>
        </w:rPr>
        <w:t>As of September 30, 2019, we had 90 employees, with 35 employees in sales and marketing, 24 employees in customer support, 18 employees in research and development, including clinical, regulatory and certain quality control functions, five employees in manufacturing operations and eight employees in general management and administration. We will need to continue to expand our sales, marketing, managerial, operational, finance and administrative resources for the ongoing commercialization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and continue our development activities of any future products.</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Our existing management, personnel, systems and facilities may not be adequate to support our future growth. Our need to effectively execute our growth strategy requires that we:</w:t>
      </w:r>
    </w:p>
    <w:p>
      <w:pPr>
        <w:spacing w:after="0" w:line="54" w:lineRule="exact"/>
        <w:rPr>
          <w:sz w:val="20"/>
          <w:szCs w:val="20"/>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identify, recruit, retain, incentivize and integrate additional employees, including sales personnel;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manage our internal development and operational efforts effectively while carrying out our contractual obligations to third parties;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continue to improve our operational, financial and management controls, reports systems and procedures.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fail to attract and retain senior management and key personnel, we may be unable to successfully grow our business.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231F20"/>
        </w:rPr>
        <w:t>Our success depends in part on our continued ability to attract, retain and motivate highly qualified management, clinical and other personnel. We are highly dependent upon our senior management, particularly our President and Chief Executive Officer, our management team and other key personnel. The loss of services of any of these individuals could delay or prevent enhancement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the expansion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to new indications, or the development of any future products. Although we have entered into employment agreements with our senior management team, these agreements do not provide for a fixed term of service.</w:t>
      </w:r>
    </w:p>
    <w:p>
      <w:pPr>
        <w:spacing w:after="0" w:line="18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231F20"/>
        </w:rPr>
        <w:t>Competition for qualified personnel in the medical device field is intense due to the limited number of individuals who possess the skills and experience required by our industry. We will need to hire additional personnel and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spacing w:after="0" w:line="28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Because we have opted to take advantage of the JOBS Act provision which allows us to delay implementing new accounting standards, our consolidated financial statements may not be directly comparable to other public companies.</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31F20"/>
        </w:rPr>
        <w:t>Pursuant to the Jumpstart Our Business Startups Act of 2012, or the JOBS Act, emerging growth companies can delay adopting new or revised accounting standards issued after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Because we have elected to take advantage of this provision of the JOBS Act, our consolidated financial statements and the reported results of operations contained therein may not be directly comparable to other public companies.</w:t>
      </w:r>
    </w:p>
    <w:p>
      <w:pPr>
        <w:spacing w:after="0" w:line="292"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incur significant costs because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incur significant legal, accounting and other expenses as a public company, including costs resulting from public company reporting obligations under the Securities Exchange Act of 1934, as amended, and regulations regarding corporate governance practices. The listing requirements of The Nasdaq Global Market and the rules of the Securities and Exchange Commission, or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continue to increase our legal and financial compliance costs and will make some activities more time-consuming and costlier.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8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We are subject to Section 404 of The Sarbanes-Oxley Act of 2002, or Section 404, and the related rules of the SEC, which generally require our management and independent registered public accounting firm to report on the effectiveness of our internal control over financial reporting. During the course of our review and testing, we may identify deficiencies and be unable to remediate them before we must provide the required reports.</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If we have a material weakness in our internal controls over financial reporting, we may not detect errors on a timely basis and our consolidated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market price of our stock to decline. In addition, as a public company we are required to file accurate and timely quarterly and annual reports with the SEC under the Securities Exchange Act of 1934, as amended. Any failure to report our financial results on an accurate and timely basis could result in sanctions, lawsuits, delisting of our shares from The Nasdaq Global Market or other adverse consequences that would materially harm to our business and cause the market price of our common stock to decline.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57" w:right="279" w:bottom="1440" w:gutter="0" w:footer="0" w:header="0"/>
        </w:sectPr>
      </w:pPr>
    </w:p>
    <w:bookmarkStart w:id="52" w:name="page53"/>
    <w:bookmarkEnd w:id="52"/>
    <w:p>
      <w:pPr>
        <w:spacing w:after="0" w:line="255" w:lineRule="auto"/>
        <w:rPr>
          <w:sz w:val="20"/>
          <w:szCs w:val="20"/>
          <w:color w:val="auto"/>
        </w:rPr>
      </w:pPr>
      <w:r>
        <w:rPr>
          <w:rFonts w:ascii="Times New Roman" w:cs="Times New Roman" w:eastAsia="Times New Roman" w:hAnsi="Times New Roman"/>
          <w:sz w:val="18"/>
          <w:szCs w:val="18"/>
          <w:color w:val="231F20"/>
        </w:rPr>
        <w:t>Further, for so long as we remain an emerging growth company as defined in the JOBS Act, we intend to take advantage of certain exemptions from various reporting requirements that 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our independent registered public accounting firm will be engaged to provide an attestation report on the effectiveness of our internal control over financial reporting. We will remain an emerging growth company until the earlier of (1) the last day of the fiscal year (a)following the fifth anniversary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Unfavorable global economic conditions could adversely affect our business, financial condition or results of operations.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Our results of operations could be adversely affected by general conditions in the global economy and in the global financial markets. Furthermore, the market for aesthetic medical procedures may be particularly vulnerable to unfavorable economic conditions. In particular, the ARTAS procedures will not receive coverage and reimbursement and, as a result, demand for this product will be tied to discretionary spending levels of our targeted patient population. The recent global financial crisis caused extreme volatility and disruptions in the capital and credit markets. A severe or prolonged economic downturn, such as the recent global financial crisis, could result in a variety of risks to our business, including weakened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ARTAS procedures or any future products, if approved, and our ability to raise additional capital when needed on acceptable terms, if at all. A weak or declining economy could also strain our manufacturers or suppliers, possibly resulting in supply disruption, or cause our customers to delay making payments for our services. Any of the foregoing could harm our business and we cannot anticipate all of the ways in which the economic climate and financial market conditions could adversely impact our business.</w:t>
      </w:r>
    </w:p>
    <w:p>
      <w:pPr>
        <w:spacing w:after="0" w:line="293"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or the third parties upon whom we depend may be adversely affected by earthquakes or other natural disasters and our business continuity and disaster recovery plans may not adequately protect us from a serious disaster.</w:t>
      </w:r>
    </w:p>
    <w:p>
      <w:pPr>
        <w:spacing w:after="0" w:line="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231F20"/>
        </w:rPr>
        <w:t>Our corporate headquarters and other facilities are located in San Jose, California, which in the past has experienced both severe earthquakes and floods. We do not carry earthquake or flood insurance. Earthquakes or other natural disasters could severely disrupt our operations, and have a material adverse effect on our business, results of operations, financial condition and prospects.</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231F20"/>
        </w:rPr>
        <w:t>If a natural disaster, power outage or other event occurred that prevented us from using all or a significant portion of our headquarters, that damaged critical infrastructure, such as our ARTAS enterprise system, enterprise financial systems and records, manufacturing resource planning and enterprise quality systems, or that otherwise disrupted operations, it may be difficult or, in certain cases, impossible, for us to continue our business for a substantial period of time. The disaster recovery and business continuity plan we have in place are limited and are unlikely to prove adequate in the event of a serious disaster or similar event. We may incur substantial expenses because of the limited nature of our disaster recovery and business continuity plans, which, particularly when taken together with our lack of earthquake or flood insurance, could have a material adverse effect on our business.</w:t>
      </w:r>
    </w:p>
    <w:p>
      <w:pPr>
        <w:spacing w:after="0" w:line="18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231F20"/>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266"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Significant disruptions of information technology systems or breaches of data security could materially adversely affect our business, results of operations and financial condition.</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established physical, electronic, and organizational measures to safeguard and secure our systems to prevent a data compromise, and rely on commercially available systems, software, tools, and monitoring to provide security for our information technology systems and the processing, transmission and storage of digital information. We have also outsourced elements of our information technology infrastructure, and as a result a few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3" w:name="page54"/>
    <w:bookmarkEnd w:id="53"/>
    <w:p>
      <w:pPr>
        <w:spacing w:after="0" w:line="253" w:lineRule="auto"/>
        <w:rPr>
          <w:sz w:val="20"/>
          <w:szCs w:val="20"/>
          <w:color w:val="auto"/>
        </w:rPr>
      </w:pPr>
      <w:r>
        <w:rPr>
          <w:rFonts w:ascii="Times New Roman" w:cs="Times New Roman" w:eastAsia="Times New Roman" w:hAnsi="Times New Roman"/>
          <w:sz w:val="18"/>
          <w:szCs w:val="18"/>
          <w:color w:val="231F20"/>
        </w:rPr>
        <w:t>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and security vulnerabilities could be significant, and while we have implemented security measures to protect our data security and information technology systems, our efforts to address these problems may not be successful, and these problems could result in unexpected interruptions, delays, cessation of service and other harm to our business and our competitive position. If such an event were to occur and cause interruptions in our operations, it could result in a material disruption of our product development programs. Moreover, 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and state privacy and security laws, if applicable, including the Health Insurance Portability and Accountability Act of 1996, or HIPAA, as amended by the Health Information Technology for Clinical Health Act of 2009, or HITECH, and its implementing rules and regulations, as well as regulations promulgated by the Federal Trade Commission and state breach notification laws. We would also be exposed to a risk of loss or litigation and potential liability, which could materially adversely affect our business, results of operations and financial condition.</w:t>
      </w:r>
    </w:p>
    <w:p>
      <w:pPr>
        <w:spacing w:after="0" w:line="29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employees and independent contractors, including consultants, manufacturers, distributors,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We are exposed to the risk that our employees and independent contractors, including consultants, manufacturers, distributors,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individual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Intellectual Property</w:t>
      </w:r>
    </w:p>
    <w:p>
      <w:pPr>
        <w:spacing w:after="0" w:line="11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We may in the future become involved in lawsuits to defend ourselves against intellectual property disputes, which could be expensive and time consuming, and ultimately unsuccessful, and could result in the diversion of significant resources, and hinder our ability to commercialize our existing or future products.</w:t>
      </w:r>
    </w:p>
    <w:p>
      <w:pPr>
        <w:spacing w:after="0" w:line="6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231F20"/>
        </w:rPr>
        <w:t>Our success depends in part on not infringing the patents or violating the other proprietary rights of others. Intellectual property disputes can be costly to defend and may cause our business, operating results and financial condition to suffer. Significant litigation regarding patent rights occurs in the medical industry. Whether merited or not, it is possible that U.S. and foreign patents and pending patent applications controlled by third parties may be alleged to cover our products. We may also face allegations that our employees have misappropriated the intellectual property rights of their former employers or other third parties. Our competitors in both the U.S.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sell, and/or export our products. Our competitors may have one or more patents for which they can threaten and/or initiate patent infringement actions against us and/or any of our third-party suppliers. Our ability to defend ourselves and/or our third-party suppliers may be limited by our financial and human resources, the availability of reasonable defenses, and the ultimate acceptance of our defenses by the courts or juries. Furthermore, if such patents are successfully asserted against us, this may result in an adverse impact on our business, including injunctions, damages, and/or attorneys’ fees. From time to time and in the ordinary course of business, we may develop noninfringement and/or invalidity positions with respect to third-party patents, which may or not be ultimately adjudicated as successful by a judge or jury if such patents were asserted against us.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4" w:name="page55"/>
    <w:bookmarkEnd w:id="54"/>
    <w:p>
      <w:pPr>
        <w:ind w:right="40"/>
        <w:spacing w:after="0" w:line="258" w:lineRule="auto"/>
        <w:rPr>
          <w:sz w:val="20"/>
          <w:szCs w:val="20"/>
          <w:color w:val="auto"/>
        </w:rPr>
      </w:pPr>
      <w:r>
        <w:rPr>
          <w:rFonts w:ascii="Times New Roman" w:cs="Times New Roman" w:eastAsia="Times New Roman" w:hAnsi="Times New Roman"/>
          <w:sz w:val="18"/>
          <w:szCs w:val="18"/>
          <w:color w:val="231F20"/>
        </w:rPr>
        <w:t>We may receive in the future, particularly as a public company, communications from patent holders, including non-practicing entities, alleging infringement of patents or other intellectual property rights or misappropriation of trade secrets, or offering licenses to such intellectual property. Any claims that we assert against perceived infringers could also provoke these parties to assert counterclaims against us alleging that we infringe their intellectual property rights. At any given time, we may be involved as either a plaintiff or a defendant in a number of patent infringement actions, the outcomes of which may not be known for prolonged periods of time.</w:t>
      </w:r>
    </w:p>
    <w:p>
      <w:pPr>
        <w:spacing w:after="0" w:line="18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231F20"/>
        </w:rPr>
        <w:t>The large number of patents, the rapid rate of new patent applications and issuances, the complexities of the technologies involved, and the uncertainty of litigation significantly increase the risks related to any patent litigation. Any potential intellectual property litigation also could force us to do one or more of the following:</w:t>
      </w:r>
    </w:p>
    <w:p>
      <w:pPr>
        <w:spacing w:after="0" w:line="68" w:lineRule="exact"/>
        <w:rPr>
          <w:sz w:val="20"/>
          <w:szCs w:val="20"/>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stop selling, making, using, or exporting products that use the disputed intellectual property;</w:t>
      </w:r>
    </w:p>
    <w:p>
      <w:pPr>
        <w:spacing w:after="0" w:line="117"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obtain a license from the intellectual property owner to continue selling, making, exporting, or using products, which license may require substantial royalty payments and may not be available on reasonable terms, or at all;</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incur significant legal expenses;</w:t>
      </w:r>
    </w:p>
    <w:p>
      <w:pPr>
        <w:spacing w:after="0" w:line="117" w:lineRule="exact"/>
        <w:rPr>
          <w:rFonts w:ascii="Times New Roman" w:cs="Times New Roman" w:eastAsia="Times New Roman" w:hAnsi="Times New Roman"/>
          <w:sz w:val="18"/>
          <w:szCs w:val="18"/>
          <w:color w:val="auto"/>
        </w:rPr>
      </w:pPr>
    </w:p>
    <w:p>
      <w:pPr>
        <w:ind w:left="1040" w:right="38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 substantial damages or royalties to the party whose intellectual property rights we may be found to be infringing, potentially including treble damages if the court finds that the infringement was willful;</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a license is available from a third-party, we may have to pay substantial royalties, upfront fees or grant cross-licenses to intellectual property rights for our products and services;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pay the attorney fees and costs of litigation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find non-infringing substitute products, which could be costly and create significant delay due to the need for FDA regulatory clearance;</w:t>
      </w:r>
    </w:p>
    <w:p>
      <w:pPr>
        <w:spacing w:after="0" w:line="117" w:lineRule="exact"/>
        <w:rPr>
          <w:rFonts w:ascii="Times New Roman" w:cs="Times New Roman" w:eastAsia="Times New Roman" w:hAnsi="Times New Roman"/>
          <w:sz w:val="18"/>
          <w:szCs w:val="18"/>
          <w:color w:val="auto"/>
        </w:rPr>
      </w:pPr>
    </w:p>
    <w:p>
      <w:pPr>
        <w:ind w:left="1040" w:right="520" w:hanging="519"/>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find alternative supplies for infringing products or processes, which could be costly and create significant delay due to the need for FDA regulatory clearance; and/or</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redesign those products or processes that infringe any third-party intellectual property, which could be costly, disruptive, and/or infeasible.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From time to time, we may be subject to legal proceedings and claims in the ordinary course of business with respect to intellectual property.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our common stock. Finally, any uncertainties resulting from the initiation and continuation of any litigation could have a material adverse effect on our ability to raise the funds necessary to continue our operations.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231F20"/>
        </w:rPr>
        <w:t>If any of the foregoing occurs, we may have to withdraw existing products from the market or may be unable to commercialize one or more of our products, all of which could have a material adverse effect on our business, results of operations and financial condition. Any litigation or claim against us, even those without merit, may cause us to incur substantial costs, and could place a significant strain on our financial resources, divert the attention of management from our core business and harm our reputation. Furthermore, as the number of participants in the robotic hair restoration surgery market grows, the possibility of intellectual property infringement claims against us increases.</w:t>
      </w:r>
    </w:p>
    <w:p>
      <w:pPr>
        <w:spacing w:after="0" w:line="18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In addition, we may indemnify our customers, suppliers and international distributors against claims relating to the infringement of the intellectual property rights of third parties relating to our products, methods, and/or manufacturing processes. Third parties may assert infringement claims against our customers, suppliers, or distributors. These claims may require us to initiate or defend protracted and costly litigation on behalf of our customers, suppliers or distributors, regardless of the merits of these claims. If any of these claims succeed, we may be forced to pay damages on behalf of our customers, suppliers, or distributors or may be required to obtain licenses for the products they use. If we cannot obtain all necessary licenses on commercially reasonable terms, our customers may be forced to stop using our products, or our suppliers may be forced to stop providing us with products.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231F20"/>
        </w:rPr>
        <w:t>Similarly, interference or derivation proceedings provoked by third parties or brought by the United Stated Patent and Trademark Office, or USPTO, or any foreign patent authority may be necessary to determine the priority of inventions or other matters of inventorship with respect to our patents or patent applications. We may also become involved in other proceedings, such as re-examination or opposition proceedings, before the USPTO or its foreign counterparts relating to our intellectual property or the intellectual property rights of others. An unfavorable outcome in any such proceedings could require us to cease using the related technology or to attempt to license rights to it from the prevailing party or could cause us to lose valuable intellectual property rights. Our business could be harmed if the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For example, we jointly develop intellectual property with certain parties, and disagreements may therefore arise as to the ownership of the intellectual property developed pursuant to these relationships. If we are unable to resolve these disputes, we could lose valuable intellectual property rights.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Changes in patent law could diminish the value of patents in general, thereby impairing our ability to protect our existing and future products.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231F20"/>
        </w:rPr>
        <w:t>Recent patent reform legislation could increase the uncertainties and costs surrounding the prosecution of our patent applications and the enforcement or defense of our issued patents. On September 16, 2011, the Leahy- Smith America Invents Act, or the Leahy-Smith Act, was signed into law. The Leahy-Smith Act includes a number of significant changes to U.S. patent law. These include provisions that affect the way patent applications are prosecuted, redefine prior art, may affect patent litigation, and switched the U.S. patent system from a “first-to-invent” system to a “first-to-file” system.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in particular, the first-to-file provisions, only became effective on March 16,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231F20"/>
        </w:rPr>
        <w:t xml:space="preserve">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U.S. are interpreted. For example, the U.S. Supreme Court has ruled on several patent cases in recent years, such as </w:t>
      </w:r>
      <w:r>
        <w:rPr>
          <w:rFonts w:ascii="Times New Roman" w:cs="Times New Roman" w:eastAsia="Times New Roman" w:hAnsi="Times New Roman"/>
          <w:sz w:val="18"/>
          <w:szCs w:val="18"/>
          <w:i w:val="1"/>
          <w:iCs w:val="1"/>
          <w:color w:val="231F20"/>
        </w:rPr>
        <w:t>Association for Molecular Pathology v. Myriad Genetics, Inc.</w:t>
      </w:r>
      <w:r>
        <w:rPr>
          <w:rFonts w:ascii="Times New Roman" w:cs="Times New Roman" w:eastAsia="Times New Roman" w:hAnsi="Times New Roman"/>
          <w:sz w:val="18"/>
          <w:szCs w:val="18"/>
          <w:color w:val="231F20"/>
        </w:rPr>
        <w:t xml:space="preserve"> (Myriad I), </w:t>
      </w:r>
      <w:r>
        <w:rPr>
          <w:rFonts w:ascii="Times New Roman" w:cs="Times New Roman" w:eastAsia="Times New Roman" w:hAnsi="Times New Roman"/>
          <w:sz w:val="18"/>
          <w:szCs w:val="18"/>
          <w:i w:val="1"/>
          <w:iCs w:val="1"/>
          <w:color w:val="231F20"/>
        </w:rPr>
        <w:t>Mayo Collaborative Services v. Prometheus Laboratories,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Inc., </w:t>
      </w:r>
      <w:r>
        <w:rPr>
          <w:rFonts w:ascii="Times New Roman" w:cs="Times New Roman" w:eastAsia="Times New Roman" w:hAnsi="Times New Roman"/>
          <w:sz w:val="18"/>
          <w:szCs w:val="18"/>
          <w:color w:val="231F20"/>
        </w:rPr>
        <w:t>and</w:t>
      </w:r>
      <w:r>
        <w:rPr>
          <w:rFonts w:ascii="Times New Roman" w:cs="Times New Roman" w:eastAsia="Times New Roman" w:hAnsi="Times New Roman"/>
          <w:sz w:val="18"/>
          <w:szCs w:val="18"/>
          <w:i w:val="1"/>
          <w:iCs w:val="1"/>
          <w:color w:val="231F20"/>
        </w:rPr>
        <w:t xml:space="preserve"> Alice Corporation Pty. Ltd. v. CLS Bank International, </w:t>
      </w:r>
      <w:r>
        <w:rPr>
          <w:rFonts w:ascii="Times New Roman" w:cs="Times New Roman" w:eastAsia="Times New Roman" w:hAnsi="Times New Roman"/>
          <w:sz w:val="18"/>
          <w:szCs w:val="18"/>
          <w:color w:val="231F20"/>
        </w:rPr>
        <w:t>either narrowing the scope of patent protection available in certain circumstances or weakening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rights of patent owners in certain situations.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29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231F20"/>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products or procedures, we may not be able to stop a competitor from marketing products that are the same as or similar to our own, which would have a material adverse effect on our business.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231F20"/>
        </w:rPr>
        <w:t>We may not be able to adequately protect our intellectual property rights throughout the world.</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Filing, prosecuting and defending patents on our products in all countries throughout the world would be prohibitively expensive. The requirements for patentability may differ in certain countries, particularly developing countries, and the breadth of patent claims allowed can be inconsistent. In addition, the laws of some foreign countries may not protect our intellectual property rights to the same extent as laws in the U.S. Consequently, we may not be able to prevent third parties from practicing our inventions in all countries outside the U.S. Competitors may use our technologies in jurisdictions where we have not obtained patent protection to develop their own products and, furthermore, may export otherwise infringing products to territories in which we have patent protection that may not be sufficient to terminate infringing activities.</w:t>
      </w:r>
    </w:p>
    <w:p>
      <w:pPr>
        <w:spacing w:after="0" w:line="18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231F20"/>
        </w:rPr>
        <w:t>We do not have patent rights in certain foreign countries in which a market may exist. Moreover, in foreign jurisdictions where we do have patent rights, proceedings to enforce such rights could result in substantial costs and divert our efforts and attention from other aspects of our business, could put our patents at risk of being invalidated or interpreted narrowly, and our patent applications at risk of not issuing. Additionally, such proceedings could provoke third parties to assert claims against us. We may not prevail in any lawsuits that we initiate, and the damages or other remedies awarded, if any, may not be commercially meaningful. Thus, we may not be able to stop a competitor from marketing and selling in foreign countries products that are the same as or similar to our products, and our competitive position in the international market would be harmed.</w:t>
      </w:r>
    </w:p>
    <w:p>
      <w:pPr>
        <w:spacing w:after="0" w:line="29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depend on certain technologies that are licensed to us. We do not control these technologies and any loss of our rights to them could prevent us from selling our products.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We are dependent on licenses from HSC Development LLC and James A. Harris, M.D. for some of our key technologies. We do not own the patents that underlie these licenses. Our rights to use the technology we license are subject to the negotiation of, continuation of and compliance with the terms of those licenses. In some cases, we do not control the prosecution, maintenance, or filing of the patents to which we hold licenses, or the enforcement of these patents against third parties. These patents and patent applications are not written by us or our attorneys, and we did not have control over the drafting and prosecution. Our licensors might not have given the same attention to the drafting and prosecution of these patents and applications as we would have if we had been the owners of the patents and applications and had control over the drafting and prosecution. We cannot be certain that drafting and/or prosecution of the licensed patents and patent applications by the licensors have been or will be conducted in compliance with applicable laws and regulations or will result in valid and enforceable patents and other intellectual property rights.</w:t>
      </w:r>
    </w:p>
    <w:p>
      <w:pPr>
        <w:spacing w:after="0" w:line="28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5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231F20"/>
        </w:rPr>
        <w:t>Certain provisions in our intellectual property agreements may be susceptible to multiple interpretations. 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31F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284"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We could in the future be subject to claims that we or our employees have inadvertently or otherwise used or disclosed alleged trade secrets or other proprietary information of former employers or competitors. Although we have procedures in place that seek to prevent our employees and consultants from using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 to those claims fails, in addition to paying monetary damages, a court could prohibit us from using technologies or functionalities that are essential to our products, if such technologies or functionalities are found to incorporate or be derived from the trade secrets or other proprietary information of the former employers. An inability to incorporate technologies or functionalities that are important or essential to our products would have a material adverse effect on our business and may prevent us from selling our products or from practicing our processes. In addition, we may lose valuable intellectual property rights or personnel. Moreover, any such litigation or the threat thereof may adversely affect our ability to hire employees or contract with independent sales representatives. A loss of key personnel or their work product could hamper or prevent our ability to commercialize our products, which could have an adverse effect on our business, results of operations and financial condition.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57" w:name="page58"/>
    <w:bookmarkEnd w:id="57"/>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231F20"/>
        </w:rPr>
        <w:t>We hold various trademarks for our products and services. Many of these trademarks are registered with the USPTO and corresponding government agencies in numerous other countries, and we hold trademark applications for these marks in a number of foreign countries, although the laws of many countries may not protect our trademark rights to the same extent as the laws of the U.S. Actions taken by us to establish and protect our trademarks might not prevent imitation of our products or services, infringement of our trademark rights by unauthorized parties or other challenges to our ownership or validity of our trademarks. If any of these events occur, we may not be able to protect and enforce our rights in these trademarks, which we need in order to build name recognition with potential partners or customers in our markets of interest. In addition, unauthorized third-parties may have registered trademarks similar and identical to our trademarks in foreign jurisdictions or may in the future file for registration of such trademarks. If they succeed in registering or developing common law rights in such trademarks, and if we were not successful in challenging such third-party rights, we may not be able to use such trademarks to market our products and services in those countries. If we are unable to register our trademarks, enforce our trademarks, or bar a third-party from registering or using a trademark, our ability to establish name recognition based on our trademarks and compete effectively in our markets of interest may be adversely affected.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are unable to protect the confidentiality of our trade secrets, our business and competitive position may be harmed.</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231F20"/>
        </w:rPr>
        <w:t>In addition to patent and trademark protection,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consultants and vendors, or our former or current employees. We also enter into confidentiality and invention or patent assignment agreements with our employees and consultants. Despite these efforts, however, any of these parties may breach the agreements and disclose our trade secrets and other unpatented or unregistered proprietary information, and once disclosed, we are likely to lose trade secret protection.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U.S. are less willing or unwilling to enforce trade secret protection.</w:t>
      </w:r>
    </w:p>
    <w:p>
      <w:pPr>
        <w:spacing w:after="0" w:line="18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231F20"/>
        </w:rPr>
        <w:t>Furthermore, our competitors may independently develop knowledge, methods and know-how similar, equivalent, or superior to our proprietary technology. Competitors could purchase our products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In addition, our key employees, consultants, suppliers or other individuals with access to our proprietary technology and know-how may incorporate that technology and know-how into projects and inventions developed independently or with third parties. As a result, disputes may arise regarding the ownership of the proprietary rights to such technology or know-how, and any such dispute may not be resolved in our favor. If any of our trade secrets were to be lawfully obtained or independently developed by a competitor, we would have no right to prevent them, or those to whom they communicate it, from using that technology or information to compete with us and our competitive position could be adversely affected. If our intellectual property is not adequately protected so as to protect our market against competitors’ products and methods, our competitive position could be adversely affected, as could our business.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Government Regulation</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and ARTAS® iX Systems and our operations are subject to extensive government regulation and oversight both in the U.S. and abroad, and our failure to comply with applicable requirements could harm our business.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231F20"/>
        </w:rPr>
        <w:t>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related products and services are regulated as medical devices subject to extensive regulation in the U.S. and elsewhere, including by the FDA and its foreign counterparts. The FDA and foreign regulatory agencies regulate, among other things, with respect to medical devices:</w:t>
      </w:r>
    </w:p>
    <w:p>
      <w:pPr>
        <w:spacing w:after="0" w:line="68" w:lineRule="exact"/>
        <w:rPr>
          <w:sz w:val="20"/>
          <w:szCs w:val="20"/>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design, development and manufacturing;</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testing, labeling, content and language of instructions for use and storage;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trials;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safety;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marketing, sales and distribution;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premarket clearance and approval;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record keeping procedures;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advertising and promotion;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7" w:right="239" w:bottom="1440" w:gutter="0" w:footer="0" w:header="0"/>
        </w:sectPr>
      </w:pPr>
    </w:p>
    <w:bookmarkStart w:id="58" w:name="page59"/>
    <w:bookmarkEnd w:id="58"/>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recalls and field safety corrective actions;</w:t>
      </w:r>
    </w:p>
    <w:p>
      <w:pPr>
        <w:spacing w:after="0" w:line="117"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post-market surveillance, including reporting of deaths or serious injuries and malfunctions that, if they were to recur, could lead to death or serious injury;</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post-market approval studies;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product import and export.</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231F20"/>
        </w:rPr>
        <w:t>The regulations to which we are subject are complex and have tended to become more stringent over time. Regulatory changes could result in restrictions on our ability to carry on or expand our operations, higher than anticipated costs or lower than anticipated sales.</w:t>
      </w:r>
    </w:p>
    <w:p>
      <w:pPr>
        <w:spacing w:after="0" w:line="16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231F20"/>
        </w:rPr>
        <w:t>In the U.S., before we can market a new medical device, or a new use of, new claim for or significant modification to an existing product, we must first receive either clearance under Section 510(k) of the FDCA or approval of a PMA application from the FDA, unless an exemption applies. In the 510(k) clearance process, before a device may be marketed, the FDA must determine that a proposed device is “substantially equivalent” to a legally-marketed “predicate” device, which includes a device that has been previously cleared through the 510(k) process, a device that was legally marketed prior to May 28, 1976 (pre-amendments device), a device that was originally on the U.S. market pursuant to an approved premarket approval, or PMA, application and later down-classified, or a 510(k)-exempt device.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PMA process,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 sustaining, life-supporting or implantable devices.</w:t>
      </w:r>
    </w:p>
    <w:p>
      <w:pPr>
        <w:spacing w:after="0" w:line="19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231F20"/>
        </w:rPr>
        <w:t>Modifications to products that are approved through a PMA application generally require FDA approval. Similarly, certain modifications made to products cleared through a 510(k) may require a new 510(k) clearance. Both the PMA approval and the 510(k)-clearance process can be expensive, lengthy and uncertain. The FDA’s 510(k) clearance process usually takes from three to 12 months but can last longer. The process of obtaining a PMA is much costlier and more uncertain than the 510(k)-clearance process and generally takes from one to three years, or even longer, from the time the application is filed with the FDA. In addition, a PMA generally requires, and the 510(k)-clearance process sometimes requires, the performance of one or more clinical trials. Despite the time, effort and cost, we cannot assure you that any particular device will be approved or cleared by the FDA. Any delay or failure to obtain necessary regulatory approvals could harm our business.</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31F20"/>
        </w:rPr>
        <w:t>In the U.S., we have obtained 510(k) premarket clearance from the FDA to market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for harvesting hair follicles from the scalp in men diagnosed with AGA who have black or brown straight hair. An element of our strategy is to continue to add new functionalities and enhance existing functionalities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We expect that certain modifications we may make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may require new 510(k) clearance; however, future modifications may be subject to the substantially more costly, time-consuming and uncertain PMA process. If the FDA requires us to go through a lengthier, more rigorous examination for future products or modifications to existing products than we had expected, product introductions or modifications could be delayed or canceled, which could cause our sales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FDA can delay, limit or deny clearance or approval of a device for many reasons, including:</w:t>
      </w:r>
    </w:p>
    <w:p>
      <w:pPr>
        <w:spacing w:after="0" w:line="117" w:lineRule="exact"/>
        <w:rPr>
          <w:sz w:val="20"/>
          <w:szCs w:val="20"/>
          <w:color w:val="auto"/>
        </w:rPr>
      </w:pPr>
    </w:p>
    <w:p>
      <w:pPr>
        <w:ind w:left="1040" w:right="600" w:hanging="519"/>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be able to demonstrate to the FDA’s satisfaction that the product or modification is substantially equivalent to the proposed predicate device or safe and effective for its intended use;</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data from our pre-clinical studies and clinical trials may be insufficient to support clearance or approval, where required;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manufacturing process or facilities we use may not meet applicable requirements.</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The FDA’s and other regulatory authorities’ policies may change, and additional government regulations may be enacted that could prevent, limit or delay regulatory approval of our products. For example, in December 2016, the 21st Century Cures Act, or Cures Act, was signed into law. The Cures Act, among other things, is intended to modernize the regulation of medical devices and spur innovation, but its ultimate implementation remains unclear. If we are slow or unable to adapt to changes in existing requirements or the adoption of new requirements or policies, or if we are not able to maintain regulatory compliance, we may fail to obtain any marketing clearances or approvals, lose any marketing clearance or approval that we may have obtained, and we may not achieve or sustain profitability.</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9" w:name="page60"/>
    <w:bookmarkEnd w:id="59"/>
    <w:p>
      <w:pPr>
        <w:spacing w:after="0" w:line="268" w:lineRule="auto"/>
        <w:rPr>
          <w:sz w:val="20"/>
          <w:szCs w:val="20"/>
          <w:color w:val="auto"/>
        </w:rPr>
      </w:pPr>
      <w:r>
        <w:rPr>
          <w:rFonts w:ascii="Times New Roman" w:cs="Times New Roman" w:eastAsia="Times New Roman" w:hAnsi="Times New Roman"/>
          <w:sz w:val="17"/>
          <w:szCs w:val="17"/>
          <w:color w:val="231F20"/>
        </w:rPr>
        <w:t>We also cannot predict the likelihood, nature or extent of government regulation that may arise from future legislation or administrative action, either in the U.S. or abroad. For example, certain policies of the Trump administration may impact our business and industry. Namely, the Trump administration has taken several executive actions, including the issuance of several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requiring that for each notice of proposed rulemaking or final regulation to be issued in fiscal year 2017, the agency must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231F20"/>
        </w:rPr>
        <w:t>Even after we have obtained the proper regulatory clearance or approval to market a product, we have ongoing responsibilities under FDA regulations. The failure to comply with applicable regulations could jeopardize our ability to sell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and result in enforcement actions such as:</w:t>
      </w:r>
    </w:p>
    <w:p>
      <w:pPr>
        <w:spacing w:after="0" w:line="68" w:lineRule="exact"/>
        <w:rPr>
          <w:sz w:val="20"/>
          <w:szCs w:val="20"/>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warning letters;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injunctions;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civil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termination of distribution;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recalls or seizures of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delays in the introduction of products into the market;</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total or partial suspension of production;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grant future clearances or approvals;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withdrawals or suspensions of current clearances or approvals, resulting in prohibitions on sales of our product or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in the most serious cases, criminal penalties.</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231F20"/>
        </w:rPr>
        <w:t>Any of these sanctions could result in higher than anticipated costs or lower than anticipated sales and harm our reputation, business, financial condition and results of operations.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extensive governmental regulation in foreign jurisdictions, such as Europe, and our failure to comply with applicable requirements could cause our business to suffer.</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We must maintain regulatory approval in foreign jurisdictions in which we plan to market and sell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231F20"/>
        </w:rPr>
        <w:t>In the European Economic Area or EEA, manufacturers of medical devices need to comply with the Essential Requirements laid down in Annex II to the EU Medical Devices Directive (Council Directive 93/42/EEC).</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31F20"/>
        </w:rPr>
        <w:t>Compliance with these requirements is a prerequisite to be able to affix the CE mark to medical devices, without which they cannot be marketed or sold in the EEA. To demonstrate compliance with the Essential Requirements and obtain the right to affix the CE Mark, manufacturers of medical devices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 Requirements, a conformity assessment procedure requires the intervention of a Notified Body, which is an organization designated by a competent authority of an EEA country to conduct conformity assessments.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231F20"/>
        </w:rPr>
        <w:t>Depending on the relevant conformity assessment procedure, the Notified Body would audit and examine the Technical File and the quality system for the manufacture, design and final inspection of our devices. The Notified Body issues a CE Certificate of Conformity following successful completion of a conformity assessment procedure conducted in relation to the medical device and its manufacturer and their conformity with the Essential Requirements. This Certificate entitles the manufacturer to affix the CE mark to its medical devices after having prepared and signed a related EC Declaration of Conformity.</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As a rule, demonstration of conformity of medical devices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studies conducted on the devices being assessed, (2) scientific literature from similar devices whose equivalence with the assessed device can be demonstrated or (3) both clinical studies and scientific literature. With respect to active implantable medical devices or Class III devices, the manufacturer must conduct clinical studies to obtain the required clinical data, unless reliance on existing clinical data from equivalent devices can be justified. The conduct of clinical studies in the EEA is governed by detailed regulatory obligations. These may include the requirement of prior authorization by the competent authorities of the country in which the study takes place and the requirement to obtain a positive opinion from a competent Ethics Committee. This process can be expensive and time-consuming.</w:t>
      </w:r>
    </w:p>
    <w:p>
      <w:pPr>
        <w:spacing w:after="0" w:line="19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231F20"/>
        </w:rPr>
        <w:t>On April 5, 2017, the European Parliament passed the Medical Devices Regulation, which repeals and replaces the EU Medical Devices Directive. Unlike directives, which must be implemented into the national laws of the EEA member States, the regulations would be directly applicable, i.e., without the need for adoption of EEA member State laws implementing them, in all EEA member States and are intended to eliminate current differences in the regulation of medical devices among EEA member States. The Medical Devices Regulation, among other things, is intended to establish a uniform, transparent, predictable and sustainable regulatory framework across the EEA for medical devices and in vitro diagnostic devices and ensure a high level of safety and health while supporting innovation.</w:t>
      </w:r>
    </w:p>
    <w:p>
      <w:pPr>
        <w:spacing w:after="0" w:line="18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31F20"/>
        </w:rPr>
        <w:t>The Medical Devices Regulation will however only become applicable three years after publication. Once applicable, the new regulations will among other things:</w:t>
      </w:r>
    </w:p>
    <w:p>
      <w:pPr>
        <w:spacing w:after="0" w:line="54" w:lineRule="exact"/>
        <w:rPr>
          <w:sz w:val="20"/>
          <w:szCs w:val="20"/>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strengthen the rules on placing devices on the market and reinforce surveillance once they are available;</w:t>
      </w:r>
    </w:p>
    <w:p>
      <w:pPr>
        <w:spacing w:after="0" w:line="117" w:lineRule="exact"/>
        <w:rPr>
          <w:rFonts w:ascii="Times New Roman" w:cs="Times New Roman" w:eastAsia="Times New Roman" w:hAnsi="Times New Roman"/>
          <w:sz w:val="18"/>
          <w:szCs w:val="18"/>
          <w:color w:val="auto"/>
        </w:rPr>
      </w:pPr>
    </w:p>
    <w:p>
      <w:pPr>
        <w:ind w:left="1040" w:right="2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establish explicit provisions on manufacturers’ responsibilities for the follow-up of the quality, performance and safety of devices placed on the market;</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improve the traceability of medical devices throughout the supply chain to the end-user or patient through a unique identification number;</w:t>
      </w:r>
    </w:p>
    <w:p>
      <w:pPr>
        <w:spacing w:after="0" w:line="117" w:lineRule="exact"/>
        <w:rPr>
          <w:rFonts w:ascii="Times New Roman" w:cs="Times New Roman" w:eastAsia="Times New Roman" w:hAnsi="Times New Roman"/>
          <w:sz w:val="18"/>
          <w:szCs w:val="18"/>
          <w:color w:val="auto"/>
        </w:rPr>
      </w:pPr>
    </w:p>
    <w:p>
      <w:pPr>
        <w:ind w:left="1040" w:right="16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set up a central database to provide patients, healthcare professionals and the public with comprehensive information on products available in the EU; and</w:t>
      </w:r>
    </w:p>
    <w:p>
      <w:pPr>
        <w:spacing w:after="0" w:line="53" w:lineRule="exact"/>
        <w:rPr>
          <w:rFonts w:ascii="Times New Roman" w:cs="Times New Roman" w:eastAsia="Times New Roman" w:hAnsi="Times New Roman"/>
          <w:sz w:val="18"/>
          <w:szCs w:val="18"/>
          <w:color w:val="auto"/>
        </w:rPr>
      </w:pPr>
    </w:p>
    <w:p>
      <w:pPr>
        <w:ind w:left="1040" w:right="240" w:hanging="51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strengthen rules for the assessment of certain high-risk devices, such as implants, which may have to undergo an additional check by experts before they are placed on the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These modifications may have an impact on the way we conduct our business in the EEA.</w:t>
      </w:r>
    </w:p>
    <w:p>
      <w:pPr>
        <w:spacing w:after="0" w:line="329"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governmental regulation and other legal obligations, particularly related to privacy, data protection and information security. Our actual or perceived failure to comply with such obligations could harm our business.</w:t>
      </w:r>
    </w:p>
    <w:p>
      <w:pPr>
        <w:spacing w:after="0" w:line="5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diverse laws and regulations relating to data privacy and security, including, in the United States, the federal Health Insurance Portability and Accountability Act of 1996, or HIPAA, and, in the European Union (EU) and shortly in the European Economic Area (EEA), Regulation 2016/679, known as the General Data Protection Regulation, or GDPR. New global privacy rules are being enacted and existing ones are being updated and strengthened. Complying with these numerous, complex and often changing regulations is expensive and difficult, and failure to comply with any privacy laws or data security laws or any security incident or breach involving the misappropriation, loss or other unauthorized use or disclosure of sensitive or confidential patient or consumer information, whether by us, one of our business associates or another third-party, could have a material adverse effect on our business, reputation, financial condition and results of operations, including but not limited to: material fines and penalties; damages; litigation; consent orders; and injunctive relief.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1" w:name="page62"/>
    <w:bookmarkEnd w:id="61"/>
    <w:p>
      <w:pPr>
        <w:ind w:right="20"/>
        <w:spacing w:after="0" w:line="255" w:lineRule="auto"/>
        <w:rPr>
          <w:sz w:val="20"/>
          <w:szCs w:val="20"/>
          <w:color w:val="auto"/>
        </w:rPr>
      </w:pPr>
      <w:r>
        <w:rPr>
          <w:rFonts w:ascii="Times New Roman" w:cs="Times New Roman" w:eastAsia="Times New Roman" w:hAnsi="Times New Roman"/>
          <w:sz w:val="18"/>
          <w:szCs w:val="18"/>
          <w:color w:val="auto"/>
        </w:rPr>
        <w:t>Furthermore, these rules are constantly changing; for example, the GDPR came into effect in May this year reforming the European regime.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processing,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If we do not comply with our obligations under the GDPR, we could be exposed to fines of up to the higher of 20,000,000 Euros or up to 4% of our total worldwide annual turnover in the event of a significant breach. In addition, we may be the subject of litigation and/or adverse publicity, which could have material adverse effect on our reputation and business.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also subject to evolving European laws on data export and electronic marketing. The rules on data export will apply when we transfer personal data to group companies or third parties outside of the EEA. For example, in 2015, the Court of Justice of the EU ruled that the U.S.-EU Safe Harbor framework, one compliance method by which companies could transfer personal data regarding citizens of the EU to the United States, was invalid and could no longer be relied upon. The U.S.-EU Safe Harbor framework was replaced with the U.S.-EU Privacy Shield framework, which is now under review and there is currently litigation challenging another EU mechanism for adequate data transfers, the standard contractual clauses. It is uncertain whether the Privacy Shield framework and/or the standard contractual clauses will be similarly invalidated by the European courts. These changes may require us to find alternative bases for the compliant transfer of personal data from the EEA to the U.S and we are monitoring developments in this area. The EU is also in the process of replacing the e-Privacy Directive with a new set of rules taking the form of a regulation, which will be directly implemented in the laws of each European member state, without the need for further enactment. The current draft of the e-Privacy Regulation retains strict op-in for electronic marketing and the penalties for contravention have significantly increased with fining powers to the same levels as GDPR (i.e. the greater of 20,000,000 Euros or 4% of total global annual revenue).</w:t>
      </w:r>
    </w:p>
    <w:p>
      <w:pPr>
        <w:spacing w:after="0" w:line="297"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Modifications to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and any future products that receive 510(k) clearances may require new 510(k) clearances or PMA approvals, and if we make such modifications without seeking new clearances or approvals, the FDA may require us to cease marketing or recall the modified products until clearances or approvals are obtained.</w:t>
      </w:r>
    </w:p>
    <w:p>
      <w:pPr>
        <w:spacing w:after="0" w:line="6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231F20"/>
        </w:rPr>
        <w:t>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 iX Systems have received 510(k) clearances from the FDA. Any modification to a 510(k)-cleared device that could significantly affect its safety or effectiveness, or that would constitute a major change in its intended use, design or manufacture, requires a new 510(k) clearance or, possibly, approval of a PMA. The FDA requires every manufacturer to make this determination in the first instance, but the FDA may review any manufacturer’s decision. The FDA may not agree with our decisions regarding whether new clearances or approvals are necessary. We have made modifications to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in the past and have determined based on our review of the applicable FDA regulations and guidance that in certain instances new 510(k) clearances or PMA approvals were not required. We may make similar modifications or add additional functionalities in the future that we believe do not require a new 510(k) clearance or approval of a PMA. The FDA has issued a guidance document intended to assist manufacturers in determining whether modifications to cleared devices require the submission of a new 510(k), and such guidance has come under scrutiny in recent years, the practical impact of which is unclear. If the FDA disagrees with our determination and requires us to submit new 510(k) notifications or PMA applications for modifications to our previously cleared products for which we have concluded that new clearances or approvals are unnecessary, we may be required to cease marketing or to recall the modified product until we obtain clearance or approval, which could require us to redesign our products, conduct clinical trials to support any modifications, and pay significant regulatory fines or penalties. In addition, the FDA may not approve or clear our products for the indications that are necessary or desirable for successful commercialization or could require clinical trials to support any modifications. Any delay or failure in obtaining required clearances or approvals would adversely affect our ability to introduce new or enhanced products in a timely manner, which in turn would harm our future growth. Any of these actions would harm our operating results.</w:t>
      </w:r>
    </w:p>
    <w:p>
      <w:pPr>
        <w:spacing w:after="0" w:line="30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subject to restrictions on the indications for which we are permitted to market our products, and any violation of those restrictions, or marketing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for off-label uses, could subject us to regulatory enforcement action.</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231F20"/>
        </w:rPr>
        <w:t>The FDA’s 510(k) clearance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specifies the cleared indication for use of the product is dissecting hair follicles from the scalp in men diagnosed with AGA who have black or brown straight hair.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are intended to assist physicians in identifying and extracting hair follicular units from the scalp during hair transplantation.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2" w:name="page63"/>
    <w:bookmarkEnd w:id="62"/>
    <w:p>
      <w:pPr>
        <w:spacing w:after="0" w:line="256" w:lineRule="auto"/>
        <w:rPr>
          <w:sz w:val="20"/>
          <w:szCs w:val="20"/>
          <w:color w:val="auto"/>
        </w:rPr>
      </w:pPr>
      <w:r>
        <w:rPr>
          <w:rFonts w:ascii="Times New Roman" w:cs="Times New Roman" w:eastAsia="Times New Roman" w:hAnsi="Times New Roman"/>
          <w:sz w:val="18"/>
          <w:szCs w:val="18"/>
          <w:color w:val="231F20"/>
        </w:rPr>
        <w:t>We train our marketing and direct sales force to not promote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 iX System for uses outside of the FDA-cleared indications for use, known as “off-label uses.” We cannot, however, prevent a physician from using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off-label when, in the physician’s independent professional medical judgment, he or she deems it appropriate. There may be increased risk of injury to patients if physicians attempt to use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off-label. Furthermore, the 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for indications other than those cleared by the FDA or approved by any foreign regulatory body may not effectively treat such conditions, which could harm our reputation in the marketplace among physicians and patients.</w:t>
      </w:r>
    </w:p>
    <w:p>
      <w:pPr>
        <w:spacing w:after="0" w:line="18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If the FDA or any foreign regulatory body determines that our promotional materials or training constitute promotion of an off-label use, it could request that we modify our training or promotional materials or subject us to regulatory or enforcement actions, including, among other things, the issuance or imposition of an untitled letter, a warning letter, injunction, seizure, refusal to issue new 510(k)s or PMAs, withdrawal of existing 510(k)s or PMAs, refusal to grant export approvals, and civil fines or criminal penalties.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w:t>
      </w:r>
    </w:p>
    <w:p>
      <w:pPr>
        <w:spacing w:after="0" w:line="29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231F20"/>
        </w:rPr>
        <w:t>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may cause or contribute to adverse medical events that we are required to report to the FDA, and if we fail to do so, we would be subject to sanctions that could harm our reputation, business, financial condition and results of operations. The discovery of serious safety issues with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or a recall of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or ARTAS® iX System either voluntarily or at the direction of the FDA or another governmental authority, could have a negative impact on us.</w:t>
      </w:r>
    </w:p>
    <w:p>
      <w:pPr>
        <w:spacing w:after="0" w:line="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are subject to the FDA’s medical device reporting regulations and similar foreign regulations. The FDA’s medical device reporting regulations require us to report to the FDA when we receive or become aware of information that reasonably suggests that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as the case may be. If we fail to comply with our reporting obligations, the FDA could act, including warning letters, untitled letters, administrative actions, criminal prosecution, imposition of civil monetary penalties, revocation of our device clearance, seizure of our products or delay in clearance of future products.</w:t>
      </w:r>
    </w:p>
    <w:p>
      <w:pPr>
        <w:spacing w:after="0" w:line="18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231F20"/>
        </w:rPr>
        <w:t>The FDA and foreign regulatory bodies have the authority to require the recall of commercialized products in the event of material deficiencies or defects in design or manufacture of a product or if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because of an unacceptable risk to health, component failures, malfunctions, manufacturing defects, labeling or design deficiencies, packaging defects or other deficiencies or failures to comply with applicable regulations. We cannot assure you that product defects or other errors will not occur in the future. Recalls involving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could be particularly harmful to our business, financial condition and results of operations because it is our only product.</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231F20"/>
        </w:rPr>
        <w:t>Companies are required to maintain certain records of recalls and corrections, even if they are not reportable to the FDA. We may initiate voluntary withdrawals or corrections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3" w:name="page64"/>
    <w:bookmarkEnd w:id="63"/>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If we or our distributors do not obtain and maintain international regulatory registrations or approvals for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our ability to market and sell the ARTAS</w:t>
      </w:r>
      <w:r>
        <w:rPr>
          <w:rFonts w:ascii="Times New Roman" w:cs="Times New Roman" w:eastAsia="Times New Roman" w:hAnsi="Times New Roman"/>
          <w:sz w:val="15"/>
          <w:szCs w:val="15"/>
          <w:b w:val="1"/>
          <w:bCs w:val="1"/>
          <w:i w:val="1"/>
          <w:iCs w:val="1"/>
          <w:color w:val="000000"/>
        </w:rPr>
        <w:t>®</w:t>
      </w:r>
      <w:r>
        <w:rPr>
          <w:rFonts w:ascii="Times New Roman" w:cs="Times New Roman" w:eastAsia="Times New Roman" w:hAnsi="Times New Roman"/>
          <w:sz w:val="18"/>
          <w:szCs w:val="18"/>
          <w:b w:val="1"/>
          <w:bCs w:val="1"/>
          <w:i w:val="1"/>
          <w:iCs w:val="1"/>
          <w:color w:val="231F20"/>
        </w:rPr>
        <w:t xml:space="preserve"> System outside of the U.S. will be diminished.</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231F20"/>
        </w:rPr>
        <w:t>Sale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outside the U.S. are subject to foreign regulatory requirements that vary widely from country to country. In addition, the FDA regulates exports of medical devices from the U.S. While the regulations of some countries may not impose barriers to marketing and selling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only require notification, others require that we or our distributors obtain the approval of a specified regulatory body. Complying with foreign regulatory requirements, including obtaining registrations or approvals, can be expensive and time-consuming, and we cannot be certain that we or our distributors will receive regulatory approvals in each country in which we plan to market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that we will be able to do so on a timely basis. The time required to obtain registrations or approvals, if required by other countries, may be longer than that required for FDA clearance, and requirements for such registrations, clearances, or approvals may significantly differ from FDA requirements. If we modify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we or our distributors may need to apply for additional regulatory approvals or other authorizations before we are permitted to sell the modified product. In addition, we may not continue to meet the quality and safety standards required to maintain the authorizations that we or our distributors have received. If we or our distributors are unable to maintain our authorizations in a particular country, we will no longer be able to sell the applicable product in that country, which could harm our business.</w:t>
      </w:r>
    </w:p>
    <w:p>
      <w:pPr>
        <w:spacing w:after="0" w:line="193"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231F20"/>
        </w:rPr>
        <w:t>Regulatory clearance or approval by the FDA does not ensure clearance or approval by regulatory authorities in other countries, and clearance or approval by one or more foreign regulatory authorities does not ensure clearance or approval by regulatory authorities in other foreign countries or by the FDA. However, a failure or delay in obtaining regulatory clearance or approval in one country may have a negative effect on the regulatory process in others.</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must manufacture our products in accordance with federal and state regulations, and we could be forced to recall our installed systems or terminate production if we fail to comply with these regulations.</w:t>
      </w:r>
    </w:p>
    <w:p>
      <w:pPr>
        <w:spacing w:after="0" w:line="51"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7"/>
          <w:szCs w:val="17"/>
          <w:color w:val="231F20"/>
        </w:rPr>
        <w:t>The methods used in, and the facilities used for, the manufacture of the ARTAS</w:t>
      </w:r>
      <w:r>
        <w:rPr>
          <w:rFonts w:ascii="Times New Roman" w:cs="Times New Roman" w:eastAsia="Times New Roman" w:hAnsi="Times New Roman"/>
          <w:sz w:val="14"/>
          <w:szCs w:val="14"/>
          <w:color w:val="000000"/>
        </w:rPr>
        <w:t>®</w:t>
      </w:r>
      <w:r>
        <w:rPr>
          <w:rFonts w:ascii="Times New Roman" w:cs="Times New Roman" w:eastAsia="Times New Roman" w:hAnsi="Times New Roman"/>
          <w:sz w:val="17"/>
          <w:szCs w:val="17"/>
          <w:color w:val="231F20"/>
        </w:rPr>
        <w:t xml:space="preserve"> and ARTAS</w:t>
      </w:r>
      <w:r>
        <w:rPr>
          <w:rFonts w:ascii="Times New Roman" w:cs="Times New Roman" w:eastAsia="Times New Roman" w:hAnsi="Times New Roman"/>
          <w:sz w:val="14"/>
          <w:szCs w:val="14"/>
          <w:color w:val="231F20"/>
        </w:rPr>
        <w:t>®</w:t>
      </w:r>
      <w:r>
        <w:rPr>
          <w:rFonts w:ascii="Times New Roman" w:cs="Times New Roman" w:eastAsia="Times New Roman" w:hAnsi="Times New Roman"/>
          <w:sz w:val="17"/>
          <w:szCs w:val="17"/>
          <w:color w:val="231F20"/>
        </w:rPr>
        <w:t xml:space="preserve"> iX Systems and related products must comply with the FDA’s Quality System Regulation, or QSR, which is a complex regulatory scheme that covers the procedures and documentation of the design, testing, production, process controls, quality assurance, labeling, packaging, handling, storage, distribution, installation, servicing and shipping of medical devices.</w:t>
      </w:r>
    </w:p>
    <w:p>
      <w:pPr>
        <w:spacing w:after="0" w:line="15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231F20"/>
        </w:rPr>
        <w:t>Furthermore, we are required to verify that our suppliers maintain facilities, procedures and operations that comply with our quality and applicable regulatory requirements. The FDA enforces the QSR through periodic announced or unannounced inspections of medical device manufacturing facilities, which may include the facilities of subcontractors.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are also subject to similar state regulations and various laws and regulations of foreign countries governing manufacturing.</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231F20"/>
        </w:rPr>
        <w:t>We cannot guarantee that we or any subcontractors will take the necessary steps to comply with applicable regulations, which could cause delays in the delivery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In addition, failure to comply with applicable FDA requirements or later discovery of previously unknown problems with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 or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 manufacturing processes could result in, among other things:</w:t>
      </w:r>
    </w:p>
    <w:p>
      <w:pPr>
        <w:spacing w:after="0" w:line="68" w:lineRule="exact"/>
        <w:rPr>
          <w:sz w:val="20"/>
          <w:szCs w:val="20"/>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warning letters or untitled letters;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fines, injunctions or civil penalties;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suspension or withdrawal of approvals or clearances;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seizures or recalls of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total or partial suspension of production or distribution;</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administrative or judicially imposed sanctions;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FDA’s refusal to grant pending or future clearances or approvals for our products;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clinical holds;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criminal prosecution to us or our employees.</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231F20"/>
        </w:rPr>
        <w:t>Any of these actions could significantly and negatively impact supply of our products. If any of these events occurs, our reputation could be harmed, we could be exposed to product liability claims and we could lose customers and suffer reduced revenue and increased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4" w:name="page65"/>
    <w:bookmarkEnd w:id="64"/>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may be subject to various federal and state laws pertaining to healthcare fraud and abuse, and any violations by us of such laws could result in fines or other penalties.</w:t>
      </w:r>
    </w:p>
    <w:p>
      <w:pPr>
        <w:spacing w:after="0" w:line="5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231F20"/>
        </w:rPr>
        <w:t>While procedures utilizing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and ARTAS</w:t>
      </w:r>
      <w:r>
        <w:rPr>
          <w:rFonts w:ascii="Times New Roman" w:cs="Times New Roman" w:eastAsia="Times New Roman" w:hAnsi="Times New Roman"/>
          <w:sz w:val="15"/>
          <w:szCs w:val="15"/>
          <w:color w:val="231F20"/>
        </w:rPr>
        <w:t>®</w:t>
      </w:r>
      <w:r>
        <w:rPr>
          <w:rFonts w:ascii="Times New Roman" w:cs="Times New Roman" w:eastAsia="Times New Roman" w:hAnsi="Times New Roman"/>
          <w:sz w:val="18"/>
          <w:szCs w:val="18"/>
          <w:color w:val="231F20"/>
        </w:rPr>
        <w:t xml:space="preserve"> iX Systems are not currently covered or reimbursed by any third-party payor, our commercial, research and other financial relationships with healthcare providers and others may be subject to various federal and state laws intended to prevent healthcare fraud and abuse. Such laws include the U.S. federal Anti-Kickback Statute and similar laws that apply to state healthcare programs, private payors and self-pay patients; the U.S. federal civil and criminal false claims laws, such as the civil False Claims Act, and civil monetary penalties laws; state and federal data privacy and security laws and regulations; state and federal physician payment transparency laws; and state and federal consumer protection and unfair competition laws.</w:t>
      </w:r>
    </w:p>
    <w:p>
      <w:pPr>
        <w:spacing w:after="0" w:line="188"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231F20"/>
        </w:rPr>
        <w:t>Further, these laws may impact any sales, marketing and education programs we currently have or may develop in the future and the way we implement any of those programs. Penalties for violations of these laws can include exclusion from federal healthcare programs and substantial civil and criminal penalties.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Recently enacted and future legislation may increase the difficulty and cost for us to sell our products.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In the U.S. and some non-U.S. jurisdictions, there have been, and we expect there will continue to be, a number of legislative and regulatory changes and proposed changes regarding the healthcare system that could, among other things, restrict or regulate post-approval activities and affect our ability to profitably sell our products. For example, in March 2010, the Patient Protection and Affordable Care Act, as amended by the Health Care and Education Reconciliation Act, collectively the Affordable Care Act, was enacted. The Affordable Care Act, imposed, among other things, an annual excise tax of 2.3% on any entity that manufactures or imports medical devices offered for sale in the U.S., which, due to subsequent legislative amendments, has been suspended from January 1, 2016 to December 31, 2019, and, absent further legislative action, will be reinstated starting January 1, 2020. It is uncertain the extent to which any challenges, amendments and attempts to repeal and replace the Affordable Care Act in the future may impact our business or financial condition. We expect that the Affordable Care Act, as well as other healthcare reform measures that may be adopted in the future, may potentially increase our costs to sell our product and decrease our profitability.</w:t>
      </w:r>
    </w:p>
    <w:p>
      <w:pPr>
        <w:spacing w:after="0" w:line="293"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U.S. tax legislation and future changes to applicable U.S. or foreign tax laws and regulations may have a material adverse effect on our business, financial condition and results of operations.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subject to income and other taxes in the U.S. and foreign jurisdictions. Changes in laws and policy relating to taxes or trade may have an adverse effect on our business, financial condition and results of operations. For example, the U.S. government recently enacted significant tax reform, and certain provisions of the new law may adversely affect us. Changes include, but are not limited to, a federal corporate tax rate decrease from 35% to 21% for tax years beginning after December 31, 2017, the transition of U.S. international taxation from a worldwide tax system to a more generally territorial system, and a one-time transition tax on the mandatory deemed repatriation of foreign earnings. The legislation is unclear in many respects and could be subject to potential amendments and technical corrections and will be subject to interpretations and implementing regulations by the Treasury and Internal Revenue Service, any of which could mitigate or increase certain adverse effects of the legislation. In addition, it is unclear how these U.S. federal income tax changes will affect state and local taxation. Generally, future changes in applicable U.S. or foreign tax laws and regulations, or their interpretation and application could have an adverse effect on our business, financial conditions and results of operations.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Risks Related to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stock price may be volatile, and you may not be able to resell shares of our common stock at or above the price you paid.</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231F20"/>
        </w:rPr>
        <w:t>The market price of our common stock could be highly volatile and could be subject to wide fluctuations in response to various factors, some of which are beyond our control. These factors include those discussed in this “Risk Factors” section and others such as:</w:t>
      </w:r>
    </w:p>
    <w:p>
      <w:pPr>
        <w:spacing w:after="0" w:line="54" w:lineRule="exact"/>
        <w:rPr>
          <w:sz w:val="20"/>
          <w:szCs w:val="20"/>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any failure to integrate with Venus Concept following the completion of the Merger;</w:t>
      </w:r>
    </w:p>
    <w:p>
      <w:pPr>
        <w:spacing w:after="0" w:line="117" w:lineRule="exact"/>
        <w:rPr>
          <w:rFonts w:ascii="Times New Roman" w:cs="Times New Roman" w:eastAsia="Times New Roman" w:hAnsi="Times New Roman"/>
          <w:sz w:val="18"/>
          <w:szCs w:val="18"/>
          <w:color w:val="231F20"/>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continued growth in demand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and ARTAS procedures;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commercialization, marketing and manufacturing capabilities;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continuing productivity and effectiveness of our commercial infrastructure and salesforce;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performance;</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intentions and our ability to establish collaborations and/or partnerships;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timing or likelihood of regulatory filings and approvals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for expanded indications and functionality;</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commercialization, marketing and manufacturing capabilities;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7" w:right="259" w:bottom="1440" w:gutter="0" w:footer="0" w:header="0"/>
        </w:sectPr>
      </w:pPr>
    </w:p>
    <w:bookmarkStart w:id="65" w:name="page66"/>
    <w:bookmarkEnd w:id="65"/>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expectations regarding the potential market size and the size of the patient populations for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effective pricing of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services and procedures;</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implementation of our business model and strategic plans for our business and technology;</w:t>
      </w:r>
    </w:p>
    <w:p>
      <w:pPr>
        <w:spacing w:after="0" w:line="117" w:lineRule="exact"/>
        <w:rPr>
          <w:rFonts w:ascii="Times New Roman" w:cs="Times New Roman" w:eastAsia="Times New Roman" w:hAnsi="Times New Roman"/>
          <w:sz w:val="18"/>
          <w:szCs w:val="18"/>
          <w:color w:val="auto"/>
        </w:rPr>
      </w:pPr>
    </w:p>
    <w:p>
      <w:pPr>
        <w:ind w:left="1040" w:right="220" w:hanging="519"/>
        <w:spacing w:after="0" w:line="282"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scope of protection we can establish and maintain for intellectual property rights covering the ARTAS</w:t>
      </w:r>
      <w:r>
        <w:rPr>
          <w:rFonts w:ascii="Times New Roman" w:cs="Times New Roman" w:eastAsia="Times New Roman" w:hAnsi="Times New Roman"/>
          <w:sz w:val="15"/>
          <w:szCs w:val="15"/>
          <w:color w:val="000000"/>
        </w:rPr>
        <w:t>®</w:t>
      </w:r>
      <w:r>
        <w:rPr>
          <w:rFonts w:ascii="Times New Roman" w:cs="Times New Roman" w:eastAsia="Times New Roman" w:hAnsi="Times New Roman"/>
          <w:sz w:val="18"/>
          <w:szCs w:val="18"/>
          <w:color w:val="231F20"/>
        </w:rPr>
        <w:t xml:space="preserve"> Systems, along with any product enhancements;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estimates of our expenses, future revenue, capital requirements, our needs for additional financing and our ability to obtain additional capital;</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performance; and</w:t>
      </w:r>
    </w:p>
    <w:p>
      <w:pPr>
        <w:spacing w:after="0" w:line="11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developments and projections relating to our competitors and our industry, including competing therapies and procedures.</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231F20"/>
        </w:rPr>
        <w:t xml:space="preserve">In addition, the stock markets in general, and the markets for medical device and aesthetic stocks in particular, have experienced extreme volatility that may have been unrelated to the operating performance of the issuer. These broad market fluctuations may adversely affect the market price or liquidity of our common stock. In the past, when the market price of a stock has been volatile, holders of that stock have sometimes instituted securities class action litigation against the issuer. </w:t>
      </w:r>
      <w:r>
        <w:rPr>
          <w:rFonts w:ascii="Times New Roman" w:cs="Times New Roman" w:eastAsia="Times New Roman" w:hAnsi="Times New Roman"/>
          <w:sz w:val="18"/>
          <w:szCs w:val="18"/>
          <w:color w:val="000000"/>
        </w:rPr>
        <w:t>Recently, several securities class action complaints have been filed against us, certain of our current and former executive officers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directors, certain of our investors and certain underwriters in our IPO. These complaints allege violations of Sections 11, 12(a)(2) and 15 of the Securities Act due to allegedly false and misleading statements made in connection with our IPO. While we believe that these lawsuits are without merit and we intend to vigorously defend against these claims, we could incur substantial costs in defending these lawsuits and the attention of our management could be diverted from the operation of our business. Further, if more of our stockholders were to bring additional lawsuits on similar or unrelated grounds, we could incur substantial costs defending these additional lawsuits and the attention of our management would be further diverted from the operation of our business.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An active market for our common stock may not be maintained.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231F20"/>
        </w:rPr>
        <w:t>Prior to our IPO, there had been no public market for shares of our common stock. Our stock only recently began trading on the Nasdaq Global Market, but we can provide no assurance that we will be able to maintain an active trading market on the Nasdaq Global Market or any other exchange in the future. If an active market for our common stock does not develop or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If securities or industry analysts issue an adverse or misleading opinion regarding our stock, our stock price and trading volume could decline.</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231F20"/>
        </w:rPr>
        <w:t>The trading market for our common stock is influenced by the research and reports that industry or securities analysts publish about us or our business. We currently have very limited research coverage by securities and industry analysts. If no additional securities or industry analysts commence coverage of us, the market price or trading volume of our stock could be negatively impacted. If any of the analysts who cover us issue an adverse or misleading opinion regarding us, our business model, our intellectual property or our stock performance,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2"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are an “emerging growth company” and as a result of the reduced disclosure and governance requirements applicable to emerging growth companies, our common stock may be less attractive to investors.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231F20"/>
        </w:rPr>
        <w:t>We are an “emerging growth company,” as defined in the JOBS Act, and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stockholder approval of any golden parachute payments not previously approved and delayed adoption of new or revised accounting standards issued subsequent to the enactment of the JOBS Act until such time as those standards apply to private companies.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$700.0 million as of the prior June 30th, and (2) the date on which we have issued more than $1.0 billion in non-convertible debt during the prior three-year period.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231F20"/>
        </w:rPr>
        <w:t>If we sell shares of our common stock in future financings, stockholders may experience immediate dilution and, as a result, our stock price may decline.</w:t>
      </w:r>
    </w:p>
    <w:p>
      <w:pPr>
        <w:spacing w:after="0" w:line="81"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18"/>
          <w:szCs w:val="18"/>
          <w:color w:val="231F20"/>
        </w:rPr>
        <w:t>We may from time to time issue additional shares of common stock at a discount from the current market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Our ability to use our net operating loss carryforwards and certain other tax attributes may be limited.</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231F20"/>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and development tax credits) to offset its post-change income or taxes may be limited. We may have experienced ownership changes in the past and may experience ownership changes in the future and/or subsequent shifts in our stock ownership (some of which shifts are outside our control). As a result, if we earn net taxable income, our ability to use our pre-change NOLs to offset such taxable income could be subject to limitations. Similar provisions of state tax law may also apply. As a result, even if we attain profitability, we may be unable to use a material portion of our NOLs and other tax attributes.</w:t>
      </w:r>
    </w:p>
    <w:p>
      <w:pPr>
        <w:spacing w:after="0" w:line="29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Provisions in our charter documents and under Delaware law could discourage a takeover that stockholders may consider favorable and may lead to entrenchment of management.</w:t>
      </w:r>
    </w:p>
    <w:p>
      <w:pPr>
        <w:spacing w:after="0" w:line="5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amended and restated bylaws contain provisions that could delay or prevent changes in control or changes in our management without the consent of our board of directors. These provisions will include the following:</w:t>
      </w:r>
    </w:p>
    <w:p>
      <w:pPr>
        <w:spacing w:after="0" w:line="54" w:lineRule="exact"/>
        <w:rPr>
          <w:sz w:val="20"/>
          <w:szCs w:val="20"/>
          <w:color w:val="auto"/>
        </w:rPr>
      </w:pPr>
    </w:p>
    <w:p>
      <w:pPr>
        <w:ind w:left="1040" w:right="38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classified board of directors with three-year staggered terms, which may delay the ability of stockholders to change the membership of a majority of our board of directors;</w:t>
      </w:r>
    </w:p>
    <w:p>
      <w:pPr>
        <w:spacing w:after="0" w:line="53"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 cumulative voting in the election of directors, which limits the ability of minority stockholders to elect director candidates;</w:t>
      </w:r>
    </w:p>
    <w:p>
      <w:pPr>
        <w:spacing w:after="0" w:line="117" w:lineRule="exact"/>
        <w:rPr>
          <w:rFonts w:ascii="Times New Roman" w:cs="Times New Roman" w:eastAsia="Times New Roman" w:hAnsi="Times New Roman"/>
          <w:sz w:val="18"/>
          <w:szCs w:val="18"/>
          <w:color w:val="auto"/>
        </w:rPr>
      </w:pPr>
    </w:p>
    <w:p>
      <w:pPr>
        <w:ind w:left="1040" w:right="62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53" w:lineRule="exact"/>
        <w:rPr>
          <w:rFonts w:ascii="Times New Roman" w:cs="Times New Roman" w:eastAsia="Times New Roman" w:hAnsi="Times New Roman"/>
          <w:sz w:val="18"/>
          <w:szCs w:val="18"/>
          <w:color w:val="auto"/>
        </w:rPr>
      </w:pPr>
    </w:p>
    <w:p>
      <w:pPr>
        <w:jc w:val="both"/>
        <w:ind w:left="1040" w:right="240" w:hanging="519"/>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acquirer;</w:t>
      </w:r>
    </w:p>
    <w:p>
      <w:pPr>
        <w:spacing w:after="0" w:line="68"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ability of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required approval of at least 66 2/3% of the shares entitled to vote at an election of directors to adopt, amend or repeal our bylaws or repeal the provisions of our amended and restated certificate of incorporation regarding the election and removal of directors;</w:t>
      </w:r>
    </w:p>
    <w:p>
      <w:pPr>
        <w:spacing w:after="0" w:line="53" w:lineRule="exact"/>
        <w:rPr>
          <w:rFonts w:ascii="Times New Roman" w:cs="Times New Roman" w:eastAsia="Times New Roman" w:hAnsi="Times New Roman"/>
          <w:sz w:val="18"/>
          <w:szCs w:val="18"/>
          <w:color w:val="auto"/>
        </w:rPr>
      </w:pPr>
    </w:p>
    <w:p>
      <w:pPr>
        <w:ind w:left="1040" w:right="460" w:hanging="519"/>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40" w:right="20" w:hanging="519"/>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act, including the removal of directors; and</w:t>
      </w:r>
    </w:p>
    <w:p>
      <w:pPr>
        <w:spacing w:after="0" w:line="68" w:lineRule="exact"/>
        <w:rPr>
          <w:rFonts w:ascii="Times New Roman" w:cs="Times New Roman" w:eastAsia="Times New Roman" w:hAnsi="Times New Roman"/>
          <w:sz w:val="18"/>
          <w:szCs w:val="18"/>
          <w:color w:val="auto"/>
        </w:rPr>
      </w:pPr>
    </w:p>
    <w:p>
      <w:pPr>
        <w:ind w:left="1040" w:right="260" w:hanging="519"/>
        <w:spacing w:after="0" w:line="26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addition, these provisions would apply even if we were to receive an offer that some stockholders may consider beneficial.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44" w:right="279" w:bottom="1440" w:gutter="0" w:footer="0" w:header="0"/>
        </w:sectPr>
      </w:pPr>
    </w:p>
    <w:bookmarkStart w:id="67" w:name="page68"/>
    <w:bookmarkEnd w:id="67"/>
    <w:p>
      <w:pPr>
        <w:spacing w:after="0" w:line="266" w:lineRule="auto"/>
        <w:rPr>
          <w:sz w:val="20"/>
          <w:szCs w:val="20"/>
          <w:color w:val="auto"/>
        </w:rPr>
      </w:pPr>
      <w:r>
        <w:rPr>
          <w:rFonts w:ascii="Times New Roman" w:cs="Times New Roman" w:eastAsia="Times New Roman" w:hAnsi="Times New Roman"/>
          <w:sz w:val="18"/>
          <w:szCs w:val="18"/>
          <w:color w:val="231F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28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231F20"/>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231F20"/>
        </w:rPr>
        <w:t>In addition, as permitted by Section 145 of the Delaware General Corporation Law, our amended and restated bylaws and our indemnification agreements that we have entered into with our directors and officers provide that:</w:t>
      </w:r>
    </w:p>
    <w:p>
      <w:pPr>
        <w:spacing w:after="0" w:line="54" w:lineRule="exact"/>
        <w:rPr>
          <w:sz w:val="20"/>
          <w:szCs w:val="20"/>
          <w:color w:val="auto"/>
        </w:rPr>
      </w:pPr>
    </w:p>
    <w:p>
      <w:pPr>
        <w:ind w:left="1040" w:right="260" w:hanging="519"/>
        <w:spacing w:after="0" w:line="261"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1040" w:right="340" w:hanging="519"/>
        <w:spacing w:after="0" w:line="313" w:lineRule="auto"/>
        <w:tabs>
          <w:tab w:leader="none" w:pos="10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0" w:lineRule="exact"/>
        <w:rPr>
          <w:rFonts w:ascii="Times New Roman" w:cs="Times New Roman" w:eastAsia="Times New Roman" w:hAnsi="Times New Roman"/>
          <w:sz w:val="17"/>
          <w:szCs w:val="17"/>
          <w:color w:val="auto"/>
        </w:rPr>
      </w:pPr>
    </w:p>
    <w:p>
      <w:pPr>
        <w:ind w:left="1040" w:hanging="519"/>
        <w:spacing w:after="0" w:line="266"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8"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1040" w:right="300" w:hanging="519"/>
        <w:spacing w:after="0" w:line="282" w:lineRule="auto"/>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not retroactively amend our amended and restated bylaw provisions to reduce our indemnification obligations to directors, officers, employees and agents.</w:t>
      </w:r>
    </w:p>
    <w:p>
      <w:pPr>
        <w:spacing w:after="0" w:line="26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231F20"/>
        </w:rPr>
        <w:t>Our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231F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any action to interpret, apply, enforce, or determine the validity of our certificate of incorporation or bylaws, or any action asserting a claim against us that is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certificate of incorporation to be inapplicable or unenforceable in an action, we may incur additional costs associated with resolving such action in other jurisdictions, which could adversely affect our business and financial condition.</w:t>
      </w:r>
    </w:p>
    <w:p>
      <w:pPr>
        <w:spacing w:after="0" w:line="28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231F20"/>
        </w:rPr>
        <w:t>We do not intend to pay dividends on our common stock, and, consequently, our stockholders’ ability to achieve a return on their investment will depend on appreciation in the price of our common stock.</w:t>
      </w:r>
    </w:p>
    <w:p>
      <w:pPr>
        <w:spacing w:after="0" w:line="5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231F20"/>
        </w:rPr>
        <w:t>We do not intend to pay any cash dividends on our common stock for the foreseeable future. We intend to invest our future earnings, if any, to fund our growth. Therefore, our stockholders are not likely to receive any dividends on their common stock for the foreseeable future. Since we do not intend to pay dividends, our stockholders’ ability to receive a return on their investment will depend on any future appreciation in the market value of our common stock. There is no guarantee that our common stock will appreciate or even maintain the price at which our stockholders have purchased it.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231F20"/>
        </w:rPr>
        <w:t>ITEM 2. 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Unregistered Sales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There were no unregistered securities issued and sold during the quarter ended September 30, 2019.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Issuer Purchases of Equity Securities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657"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231F20"/>
        </w:rPr>
        <w:t>ITEM 6.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8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 w:type="dxa"/>
            <w:vAlign w:val="bottom"/>
            <w:vMerge w:val="restart"/>
          </w:tcPr>
          <w:p>
            <w:pPr>
              <w:spacing w:after="0"/>
              <w:rPr>
                <w:sz w:val="13"/>
                <w:szCs w:val="13"/>
                <w:color w:val="auto"/>
              </w:rPr>
            </w:pPr>
          </w:p>
        </w:tc>
        <w:tc>
          <w:tcPr>
            <w:tcW w:w="104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vMerge w:val="restart"/>
          </w:tcPr>
          <w:p>
            <w:pPr>
              <w:spacing w:after="0"/>
              <w:rPr>
                <w:sz w:val="13"/>
                <w:szCs w:val="13"/>
                <w:color w:val="auto"/>
              </w:rPr>
            </w:pPr>
          </w:p>
        </w:tc>
        <w:tc>
          <w:tcPr>
            <w:tcW w:w="10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60" w:type="dxa"/>
            <w:vAlign w:val="bottom"/>
            <w:vMerge w:val="restart"/>
          </w:tcPr>
          <w:p>
            <w:pPr>
              <w:spacing w:after="0"/>
              <w:rPr>
                <w:sz w:val="13"/>
                <w:szCs w:val="13"/>
                <w:color w:val="auto"/>
              </w:rPr>
            </w:pPr>
          </w:p>
        </w:tc>
        <w:tc>
          <w:tcPr>
            <w:tcW w:w="10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vMerge w:val="restart"/>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528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1440" w:gutter="0" w:footer="0" w:header="0"/>
        </w:sectPr>
      </w:pP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2.1</w:t>
            </w:r>
          </w:p>
        </w:tc>
        <w:tc>
          <w:tcPr>
            <w:tcW w:w="5280" w:type="dxa"/>
            <w:vAlign w:val="bottom"/>
            <w:gridSpan w:val="20"/>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Second Amendment to the Agreement and Plan of Merger and</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Reorganization, dated October 31, 2019, by and among Restoration</w:t>
              </w:r>
            </w:hyperlink>
          </w:p>
        </w:tc>
      </w:tr>
      <w:tr>
        <w:trPr>
          <w:trHeight w:val="196"/>
        </w:trPr>
        <w:tc>
          <w:tcPr>
            <w:tcW w:w="108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Robotics, Inc., Radiant Merger Sub Ltd. and Venus Concept, Ltd.</w:t>
              </w:r>
            </w:hyperlink>
          </w:p>
        </w:tc>
        <w:tc>
          <w:tcPr>
            <w:tcW w:w="140" w:type="dxa"/>
            <w:vAlign w:val="bottom"/>
            <w:tcBorders>
              <w:top w:val="single" w:sz="8" w:color="0000EE"/>
            </w:tcBorders>
            <w:gridSpan w:val="2"/>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w:t>
            </w:r>
          </w:p>
        </w:tc>
        <w:tc>
          <w:tcPr>
            <w:tcW w:w="5280" w:type="dxa"/>
            <w:vAlign w:val="bottom"/>
            <w:gridSpan w:val="20"/>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Amended and Restated Certificate of Incorporation</w:t>
              </w:r>
            </w:hyperlink>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3.2</w:t>
            </w:r>
          </w:p>
        </w:tc>
        <w:tc>
          <w:tcPr>
            <w:tcW w:w="3700" w:type="dxa"/>
            <w:vAlign w:val="bottom"/>
            <w:tcBorders>
              <w:top w:val="single" w:sz="8" w:color="0000EE"/>
            </w:tcBorders>
            <w:gridSpan w:val="8"/>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Amended and Restated Bylaws</w:t>
              </w:r>
            </w:hyperlink>
          </w:p>
        </w:tc>
        <w:tc>
          <w:tcPr>
            <w:tcW w:w="1580" w:type="dxa"/>
            <w:vAlign w:val="bottom"/>
            <w:gridSpan w:val="12"/>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4.1</w:t>
            </w:r>
          </w:p>
        </w:tc>
        <w:tc>
          <w:tcPr>
            <w:tcW w:w="5280" w:type="dxa"/>
            <w:vAlign w:val="bottom"/>
            <w:gridSpan w:val="20"/>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made to exhibits </w:t>
            </w:r>
            <w:hyperlink r:id="rId91">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through </w:t>
            </w:r>
            <w:hyperlink r:id="rId93">
              <w:r>
                <w:rPr>
                  <w:rFonts w:ascii="Times New Roman" w:cs="Times New Roman" w:eastAsia="Times New Roman" w:hAnsi="Times New Roman"/>
                  <w:sz w:val="18"/>
                  <w:szCs w:val="18"/>
                  <w:color w:val="0000EE"/>
                </w:rPr>
                <w:t>3.2</w:t>
              </w:r>
            </w:hyperlink>
            <w:r>
              <w:rPr>
                <w:rFonts w:ascii="Times New Roman" w:cs="Times New Roman" w:eastAsia="Times New Roman" w:hAnsi="Times New Roman"/>
                <w:sz w:val="18"/>
                <w:szCs w:val="18"/>
                <w:color w:val="auto"/>
              </w:rPr>
              <w:t>.</w:t>
            </w:r>
          </w:p>
        </w:tc>
      </w:tr>
      <w:tr>
        <w:trPr>
          <w:trHeight w:val="20"/>
        </w:trPr>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w:t>
            </w:r>
          </w:p>
        </w:tc>
        <w:tc>
          <w:tcPr>
            <w:tcW w:w="5280" w:type="dxa"/>
            <w:vAlign w:val="bottom"/>
            <w:gridSpan w:val="20"/>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Common Stock Certificate</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10.1</w:t>
            </w:r>
          </w:p>
        </w:tc>
        <w:tc>
          <w:tcPr>
            <w:tcW w:w="49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Fourth Amendment to Loan and Security Agreement dated June 14,</w:t>
              </w:r>
            </w:hyperlink>
          </w:p>
        </w:tc>
        <w:tc>
          <w:tcPr>
            <w:tcW w:w="380" w:type="dxa"/>
            <w:vAlign w:val="bottom"/>
            <w:gridSpan w:val="4"/>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4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2019, by and between the Company and Solar Capital Ltd.</w:t>
              </w:r>
            </w:hyperlink>
          </w:p>
        </w:tc>
        <w:tc>
          <w:tcPr>
            <w:tcW w:w="1040" w:type="dxa"/>
            <w:vAlign w:val="bottom"/>
            <w:gridSpan w:val="11"/>
          </w:tcPr>
          <w:p>
            <w:pPr>
              <w:spacing w:after="0"/>
              <w:rPr>
                <w:sz w:val="17"/>
                <w:szCs w:val="17"/>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31.1</w:t>
            </w:r>
          </w:p>
        </w:tc>
        <w:tc>
          <w:tcPr>
            <w:tcW w:w="5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72">
              <w:r>
                <w:rPr>
                  <w:rFonts w:ascii="Times New Roman" w:cs="Times New Roman" w:eastAsia="Times New Roman" w:hAnsi="Times New Roman"/>
                  <w:sz w:val="18"/>
                  <w:szCs w:val="18"/>
                  <w:color w:val="0000EE"/>
                  <w:w w:val="99"/>
                </w:rPr>
                <w:t>Certification of Principal Executive Officer Pursuant to Rules 13a-14(a)</w:t>
              </w:r>
            </w:hyperlink>
          </w:p>
        </w:tc>
        <w:tc>
          <w:tcPr>
            <w:tcW w:w="80" w:type="dxa"/>
            <w:vAlign w:val="bottom"/>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280" w:type="dxa"/>
            <w:vAlign w:val="bottom"/>
            <w:gridSpan w:val="20"/>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and 15d-14(a) under the Securities Exchange Act of 1934, as Adopted</w:t>
              </w:r>
            </w:hyperlink>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72">
              <w:r>
                <w:rPr>
                  <w:rFonts w:ascii="Times New Roman" w:cs="Times New Roman" w:eastAsia="Times New Roman" w:hAnsi="Times New Roman"/>
                  <w:sz w:val="18"/>
                  <w:szCs w:val="18"/>
                  <w:color w:val="0000EE"/>
                </w:rPr>
                <w:t>Pursuant to Section 302 of the Sarbanes-Oxley Act of 2002.</w:t>
              </w:r>
            </w:hyperlink>
          </w:p>
        </w:tc>
        <w:tc>
          <w:tcPr>
            <w:tcW w:w="2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210"/>
        </w:trPr>
        <w:tc>
          <w:tcPr>
            <w:tcW w:w="10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31.2</w:t>
            </w:r>
          </w:p>
        </w:tc>
        <w:tc>
          <w:tcPr>
            <w:tcW w:w="5280" w:type="dxa"/>
            <w:vAlign w:val="bottom"/>
            <w:gridSpan w:val="20"/>
          </w:tcPr>
          <w:p>
            <w:pPr>
              <w:spacing w:after="0"/>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Certification of Principal Financial Officer Pursuant to Rules 13a-14(a)</w:t>
              </w:r>
            </w:hyperlink>
          </w:p>
        </w:tc>
      </w:tr>
      <w:tr>
        <w:trPr>
          <w:trHeight w:val="196"/>
        </w:trPr>
        <w:tc>
          <w:tcPr>
            <w:tcW w:w="1080" w:type="dxa"/>
            <w:vAlign w:val="bottom"/>
          </w:tcPr>
          <w:p>
            <w:pPr>
              <w:spacing w:after="0"/>
              <w:rPr>
                <w:sz w:val="17"/>
                <w:szCs w:val="17"/>
                <w:color w:val="auto"/>
              </w:rPr>
            </w:pPr>
          </w:p>
        </w:tc>
        <w:tc>
          <w:tcPr>
            <w:tcW w:w="514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and 15d-14(a) under the Securities Exchange Act of 1934, as Adopted</w:t>
              </w:r>
            </w:hyperlink>
          </w:p>
        </w:tc>
        <w:tc>
          <w:tcPr>
            <w:tcW w:w="140" w:type="dxa"/>
            <w:vAlign w:val="bottom"/>
            <w:gridSpan w:val="2"/>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50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73">
              <w:r>
                <w:rPr>
                  <w:rFonts w:ascii="Times New Roman" w:cs="Times New Roman" w:eastAsia="Times New Roman" w:hAnsi="Times New Roman"/>
                  <w:sz w:val="18"/>
                  <w:szCs w:val="18"/>
                  <w:color w:val="0000EE"/>
                </w:rPr>
                <w:t>Pursuant to Section 302 of the Sarbanes-Oxley Act of 2002.</w:t>
              </w:r>
            </w:hyperlink>
          </w:p>
        </w:tc>
        <w:tc>
          <w:tcPr>
            <w:tcW w:w="220" w:type="dxa"/>
            <w:vAlign w:val="bottom"/>
            <w:gridSpan w:val="3"/>
          </w:tcPr>
          <w:p>
            <w:pPr>
              <w:spacing w:after="0"/>
              <w:rPr>
                <w:sz w:val="17"/>
                <w:szCs w:val="17"/>
                <w:color w:val="auto"/>
              </w:rPr>
            </w:pPr>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0" w:type="dxa"/>
            <w:vAlign w:val="bottom"/>
            <w:gridSpan w:val="9"/>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210"/>
        </w:trPr>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32.1*</w:t>
            </w:r>
          </w:p>
        </w:tc>
        <w:tc>
          <w:tcPr>
            <w:tcW w:w="5280" w:type="dxa"/>
            <w:vAlign w:val="bottom"/>
            <w:gridSpan w:val="20"/>
          </w:tcPr>
          <w:p>
            <w:pPr>
              <w:spacing w:after="0"/>
              <w:rPr>
                <w:rFonts w:ascii="Times New Roman" w:cs="Times New Roman" w:eastAsia="Times New Roman" w:hAnsi="Times New Roman"/>
                <w:sz w:val="18"/>
                <w:szCs w:val="18"/>
                <w:color w:val="0000EE"/>
              </w:rPr>
            </w:pPr>
            <w:hyperlink w:anchor="page74">
              <w:r>
                <w:rPr>
                  <w:rFonts w:ascii="Times New Roman" w:cs="Times New Roman" w:eastAsia="Times New Roman" w:hAnsi="Times New Roman"/>
                  <w:sz w:val="18"/>
                  <w:szCs w:val="18"/>
                  <w:color w:val="0000EE"/>
                </w:rPr>
                <w:t>Certification of Principal Executive Officer Pursuant to 18 U.S.C.</w:t>
              </w:r>
            </w:hyperlink>
          </w:p>
        </w:tc>
      </w:tr>
      <w:tr>
        <w:trPr>
          <w:trHeight w:val="20"/>
        </w:trPr>
        <w:tc>
          <w:tcPr>
            <w:tcW w:w="10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780" w:type="dxa"/>
            <w:vAlign w:val="bottom"/>
            <w:gridSpan w:val="11"/>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5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Section 1350, as Adopted Pursuant to Section 906 of the Sarbanes-Oxley</w:t>
              </w:r>
            </w:hyperlink>
          </w:p>
        </w:tc>
      </w:tr>
      <w:tr>
        <w:trPr>
          <w:trHeight w:val="196"/>
        </w:trPr>
        <w:tc>
          <w:tcPr>
            <w:tcW w:w="10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4">
              <w:r>
                <w:rPr>
                  <w:rFonts w:ascii="Times New Roman" w:cs="Times New Roman" w:eastAsia="Times New Roman" w:hAnsi="Times New Roman"/>
                  <w:sz w:val="18"/>
                  <w:szCs w:val="18"/>
                  <w:color w:val="0000EE"/>
                  <w:w w:val="99"/>
                </w:rPr>
                <w:t>Act of 2002.</w:t>
              </w:r>
            </w:hyperlink>
          </w:p>
        </w:tc>
        <w:tc>
          <w:tcPr>
            <w:tcW w:w="4360" w:type="dxa"/>
            <w:vAlign w:val="bottom"/>
            <w:gridSpan w:val="19"/>
          </w:tcPr>
          <w:p>
            <w:pPr>
              <w:spacing w:after="0"/>
              <w:rPr>
                <w:sz w:val="17"/>
                <w:szCs w:val="17"/>
                <w:color w:val="auto"/>
              </w:rPr>
            </w:pPr>
          </w:p>
        </w:tc>
      </w:tr>
      <w:tr>
        <w:trPr>
          <w:trHeight w:val="210"/>
        </w:trPr>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32.2*</w:t>
            </w:r>
          </w:p>
        </w:tc>
        <w:tc>
          <w:tcPr>
            <w:tcW w:w="47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Certification of Principal Financial Officer Pursuant to 18 U.S.C.</w:t>
              </w:r>
            </w:hyperlink>
          </w:p>
        </w:tc>
        <w:tc>
          <w:tcPr>
            <w:tcW w:w="580" w:type="dxa"/>
            <w:vAlign w:val="bottom"/>
            <w:gridSpan w:val="8"/>
          </w:tcPr>
          <w:p>
            <w:pPr>
              <w:spacing w:after="0"/>
              <w:rPr>
                <w:sz w:val="18"/>
                <w:szCs w:val="18"/>
                <w:color w:val="auto"/>
              </w:rPr>
            </w:pPr>
          </w:p>
        </w:tc>
      </w:tr>
      <w:tr>
        <w:trPr>
          <w:trHeight w:val="196"/>
        </w:trPr>
        <w:tc>
          <w:tcPr>
            <w:tcW w:w="1080" w:type="dxa"/>
            <w:vAlign w:val="bottom"/>
          </w:tcPr>
          <w:p>
            <w:pPr>
              <w:spacing w:after="0"/>
              <w:rPr>
                <w:sz w:val="17"/>
                <w:szCs w:val="17"/>
                <w:color w:val="auto"/>
              </w:rPr>
            </w:pPr>
          </w:p>
        </w:tc>
        <w:tc>
          <w:tcPr>
            <w:tcW w:w="5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Section 1350, as Adopted Pursuant to Section 906 of the Sarbanes-Oxley</w:t>
              </w:r>
            </w:hyperlink>
          </w:p>
        </w:tc>
      </w:tr>
      <w:tr>
        <w:trPr>
          <w:trHeight w:val="196"/>
        </w:trPr>
        <w:tc>
          <w:tcPr>
            <w:tcW w:w="1080" w:type="dxa"/>
            <w:vAlign w:val="bottom"/>
          </w:tcPr>
          <w:p>
            <w:pPr>
              <w:spacing w:after="0"/>
              <w:rPr>
                <w:sz w:val="17"/>
                <w:szCs w:val="17"/>
                <w:color w:val="auto"/>
              </w:rPr>
            </w:pPr>
          </w:p>
        </w:tc>
        <w:tc>
          <w:tcPr>
            <w:tcW w:w="9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w:anchor="page75">
              <w:r>
                <w:rPr>
                  <w:rFonts w:ascii="Times New Roman" w:cs="Times New Roman" w:eastAsia="Times New Roman" w:hAnsi="Times New Roman"/>
                  <w:sz w:val="18"/>
                  <w:szCs w:val="18"/>
                  <w:color w:val="0000EE"/>
                  <w:w w:val="99"/>
                </w:rPr>
                <w:t>Act of 2002.</w:t>
              </w:r>
            </w:hyperlink>
          </w:p>
        </w:tc>
        <w:tc>
          <w:tcPr>
            <w:tcW w:w="4360" w:type="dxa"/>
            <w:vAlign w:val="bottom"/>
            <w:gridSpan w:val="19"/>
          </w:tcPr>
          <w:p>
            <w:pPr>
              <w:spacing w:after="0"/>
              <w:rPr>
                <w:sz w:val="17"/>
                <w:szCs w:val="17"/>
                <w:color w:val="auto"/>
              </w:rPr>
            </w:pPr>
          </w:p>
        </w:tc>
      </w:tr>
      <w:tr>
        <w:trPr>
          <w:trHeight w:val="245"/>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8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10-31-19</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2.1</w:t>
            </w:r>
          </w:p>
        </w:tc>
      </w:tr>
      <w:tr>
        <w:trPr>
          <w:trHeight w:val="657"/>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10-17-17</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8-K</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3.2</w:t>
            </w:r>
          </w:p>
        </w:tc>
      </w:tr>
      <w:tr>
        <w:trPr>
          <w:trHeight w:val="45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S-1/A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9-18-17</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80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S-4/A</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7-29-19</w:t>
            </w:r>
          </w:p>
        </w:tc>
        <w:tc>
          <w:tcPr>
            <w:tcW w:w="76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10.37</w:t>
            </w:r>
          </w:p>
        </w:tc>
      </w:tr>
    </w:tbl>
    <w:p>
      <w:pPr>
        <w:spacing w:after="0" w:line="211"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55" w:lineRule="exact"/>
        <w:rPr>
          <w:sz w:val="20"/>
          <w:szCs w:val="20"/>
          <w:color w:val="auto"/>
        </w:rPr>
      </w:pPr>
    </w:p>
    <w:p>
      <w:pPr>
        <w:jc w:val="right"/>
        <w:ind w:right="880"/>
        <w:spacing w:after="0"/>
        <w:rPr>
          <w:sz w:val="20"/>
          <w:szCs w:val="20"/>
          <w:color w:val="auto"/>
        </w:rPr>
      </w:pPr>
      <w:r>
        <w:rPr>
          <w:rFonts w:ascii="Times New Roman" w:cs="Times New Roman" w:eastAsia="Times New Roman" w:hAnsi="Times New Roman"/>
          <w:sz w:val="18"/>
          <w:szCs w:val="18"/>
          <w:color w:val="auto"/>
        </w:rPr>
        <w:t>X</w:t>
      </w:r>
    </w:p>
    <w:p>
      <w:pPr>
        <w:spacing w:after="0" w:line="1980" w:lineRule="exact"/>
        <w:rPr>
          <w:sz w:val="20"/>
          <w:szCs w:val="20"/>
          <w:color w:val="auto"/>
        </w:rPr>
      </w:pPr>
    </w:p>
    <w:p>
      <w:pPr>
        <w:sectPr>
          <w:pgSz w:w="11900" w:h="16838" w:orient="portrait"/>
          <w:cols w:equalWidth="0" w:num="2">
            <w:col w:w="6360" w:space="560"/>
            <w:col w:w="4500"/>
          </w:cols>
          <w:pgMar w:left="240" w:top="333" w:right="239" w:bottom="1440" w:gutter="0" w:footer="0" w:header="0"/>
          <w:type w:val="continuous"/>
        </w:sectPr>
      </w:pPr>
    </w:p>
    <w:p>
      <w:pPr>
        <w:ind w:left="520" w:right="20" w:hanging="512"/>
        <w:spacing w:after="0" w:line="261" w:lineRule="auto"/>
        <w:tabs>
          <w:tab w:leader="none" w:pos="5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SEC and is not to be incorporated by reference into any filing of Restoration Robotics, Inc. under the Securities Act of 1933, as amended, or the Securities Exchange Act of 1934, as amended, whether made before or after the date of this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9690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430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Venus Concept Inc.</w:t>
            </w:r>
          </w:p>
        </w:tc>
        <w:tc>
          <w:tcPr>
            <w:tcW w:w="3360" w:type="dxa"/>
            <w:vAlign w:val="bottom"/>
          </w:tcPr>
          <w:p>
            <w:pPr>
              <w:spacing w:after="0"/>
              <w:rPr>
                <w:sz w:val="20"/>
                <w:szCs w:val="20"/>
                <w:color w:val="auto"/>
              </w:rPr>
            </w:pPr>
          </w:p>
        </w:tc>
      </w:tr>
      <w:tr>
        <w:trPr>
          <w:trHeight w:val="45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430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rPr>
              <w:t>/s/ Domenic Serafino</w:t>
            </w:r>
          </w:p>
        </w:tc>
      </w:tr>
      <w:tr>
        <w:trPr>
          <w:trHeight w:val="214"/>
        </w:trPr>
        <w:tc>
          <w:tcPr>
            <w:tcW w:w="37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Domenic Serafino</w:t>
            </w:r>
          </w:p>
        </w:tc>
      </w:tr>
      <w:tr>
        <w:trPr>
          <w:trHeight w:val="238"/>
        </w:trPr>
        <w:tc>
          <w:tcPr>
            <w:tcW w:w="3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5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2019</w:t>
            </w:r>
          </w:p>
        </w:tc>
        <w:tc>
          <w:tcPr>
            <w:tcW w:w="4300" w:type="dxa"/>
            <w:vAlign w:val="bottom"/>
            <w:gridSpan w:val="2"/>
          </w:tcPr>
          <w:p>
            <w:pPr>
              <w:ind w:left="272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Pr>
          <w:p>
            <w:pPr>
              <w:jc w:val="center"/>
              <w:ind w:right="1130"/>
              <w:spacing w:after="0"/>
              <w:rPr>
                <w:sz w:val="20"/>
                <w:szCs w:val="20"/>
                <w:color w:val="auto"/>
              </w:rPr>
            </w:pPr>
            <w:r>
              <w:rPr>
                <w:rFonts w:ascii="Times New Roman" w:cs="Times New Roman" w:eastAsia="Times New Roman" w:hAnsi="Times New Roman"/>
                <w:sz w:val="18"/>
                <w:szCs w:val="18"/>
                <w:color w:val="auto"/>
                <w:w w:val="99"/>
              </w:rPr>
              <w:t>/s/ Domenic Della Penna</w:t>
            </w:r>
          </w:p>
        </w:tc>
      </w:tr>
      <w:tr>
        <w:trPr>
          <w:trHeight w:val="214"/>
        </w:trPr>
        <w:tc>
          <w:tcPr>
            <w:tcW w:w="37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rPr>
              <w:t>Domenic Della Penna</w:t>
            </w:r>
          </w:p>
        </w:tc>
      </w:tr>
      <w:tr>
        <w:trPr>
          <w:trHeight w:val="238"/>
        </w:trPr>
        <w:tc>
          <w:tcPr>
            <w:tcW w:w="37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360" w:type="dxa"/>
            <w:vAlign w:val="bottom"/>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648"/>
        </w:trPr>
        <w:tc>
          <w:tcPr>
            <w:tcW w:w="3760" w:type="dxa"/>
            <w:vAlign w:val="bottom"/>
          </w:tcPr>
          <w:p>
            <w:pPr>
              <w:spacing w:after="0"/>
              <w:rPr>
                <w:sz w:val="24"/>
                <w:szCs w:val="24"/>
                <w:color w:val="auto"/>
              </w:rPr>
            </w:pPr>
          </w:p>
        </w:tc>
        <w:tc>
          <w:tcPr>
            <w:tcW w:w="310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tcPr>
          <w:p>
            <w:pPr>
              <w:spacing w:after="0"/>
              <w:rPr>
                <w:sz w:val="24"/>
                <w:szCs w:val="24"/>
                <w:color w:val="auto"/>
              </w:rPr>
            </w:pPr>
          </w:p>
        </w:tc>
        <w:tc>
          <w:tcPr>
            <w:tcW w:w="336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PRESIDENT AND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Serafino, certify that:</w:t>
      </w:r>
    </w:p>
    <w:p>
      <w:pPr>
        <w:spacing w:after="0" w:line="225"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Domenic Serafino</w:t>
      </w:r>
    </w:p>
    <w:p>
      <w:pPr>
        <w:spacing w:after="0" w:line="3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34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25"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25"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1040" w:right="18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40" w:right="200" w:hanging="519"/>
        <w:spacing w:after="0" w:line="266"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40" w:right="60" w:hanging="519"/>
        <w:spacing w:after="0" w:line="282" w:lineRule="auto"/>
        <w:tabs>
          <w:tab w:leader="none" w:pos="10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760" w:val="left"/>
          <w:tab w:leader="none" w:pos="78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Domenic Della Penna</w:t>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ectPr>
          <w:pgSz w:w="11900" w:h="16838" w:orient="portrait"/>
          <w:cols w:equalWidth="0" w:num="1">
            <w:col w:w="11420"/>
          </w:cols>
          <w:pgMar w:left="240" w:top="347" w:right="2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Venus Concept Inc. formerly “Restoration Robotics, Inc.” (the “Company”) on Form 10-Q for the period ending September 30, 2019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040" w:hanging="519"/>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77" w:lineRule="exact"/>
        <w:rPr>
          <w:sz w:val="20"/>
          <w:szCs w:val="20"/>
          <w:color w:val="auto"/>
        </w:rPr>
      </w:pPr>
    </w:p>
    <w:p>
      <w:pPr>
        <w:spacing w:after="0"/>
        <w:tabs>
          <w:tab w:leader="none" w:pos="5760" w:val="left"/>
          <w:tab w:leader="none" w:pos="798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Serafino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Domenic Serafino</w:t>
      </w:r>
    </w:p>
    <w:p>
      <w:pPr>
        <w:spacing w:after="0" w:line="3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ectPr>
          <w:pgSz w:w="11900" w:h="16838" w:orient="portrait"/>
          <w:cols w:equalWidth="0" w:num="1">
            <w:col w:w="11420"/>
          </w:cols>
          <w:pgMar w:left="240" w:top="347" w:right="2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Venus Concept Inc. formerly “Restoration Robotics, Inc.” (the “Company”) on Form 10-Q for the period ending September 30, 2019,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040" w:hanging="519"/>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 of operations of the Company.</w:t>
      </w:r>
    </w:p>
    <w:p>
      <w:pPr>
        <w:spacing w:after="0" w:line="277" w:lineRule="exact"/>
        <w:rPr>
          <w:sz w:val="20"/>
          <w:szCs w:val="20"/>
          <w:color w:val="auto"/>
        </w:rPr>
      </w:pPr>
    </w:p>
    <w:p>
      <w:pPr>
        <w:spacing w:after="0"/>
        <w:tabs>
          <w:tab w:leader="none" w:pos="5760" w:val="left"/>
          <w:tab w:leader="none" w:pos="7840" w:val="left"/>
        </w:tabs>
        <w:rPr>
          <w:sz w:val="20"/>
          <w:szCs w:val="20"/>
          <w:color w:val="auto"/>
        </w:rPr>
      </w:pPr>
      <w:r>
        <w:rPr>
          <w:rFonts w:ascii="Times New Roman" w:cs="Times New Roman" w:eastAsia="Times New Roman" w:hAnsi="Times New Roman"/>
          <w:sz w:val="18"/>
          <w:szCs w:val="18"/>
          <w:color w:val="auto"/>
        </w:rPr>
        <w:t>Date: November 14,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17145</wp:posOffset>
            </wp:positionV>
            <wp:extent cx="33616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12"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Domenic Della Penna</w:t>
      </w:r>
    </w:p>
    <w:p>
      <w:pPr>
        <w:spacing w:after="0" w:line="31"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sectPr>
      <w:pgSz w:w="11900" w:h="16838" w:orient="portrait"/>
      <w:cols w:equalWidth="0" w:num="1">
        <w:col w:w="11420"/>
      </w:cols>
      <w:pgMar w:left="240" w:top="3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lowerRoman"/>
      <w:start w:val="2"/>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upperLetter"/>
      <w:start w:val="1"/>
    </w:lvl>
  </w:abstractNum>
  <w:abstractNum w:abstractNumId="5">
    <w:nsid w:val="2901D82"/>
    <w:multiLevelType w:val="hybridMultilevel"/>
    <w:lvl w:ilvl="0">
      <w:lvlJc w:val="left"/>
      <w:lvlText w:val="(%1)"/>
      <w:numFmt w:val="lowerRoman"/>
      <w:start w:val="2"/>
    </w:lvl>
  </w:abstractNum>
  <w:abstractNum w:abstractNumId="6">
    <w:nsid w:val="3A95F874"/>
    <w:multiLevelType w:val="hybridMultilevel"/>
    <w:lvl w:ilvl="0">
      <w:lvlJc w:val="left"/>
      <w:lvlText w:val="(%1)"/>
      <w:numFmt w:val="upperLetter"/>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1."/>
      <w:numFmt w:val="decimal"/>
      <w:start w:val="4"/>
    </w:lvl>
  </w:abstractNum>
  <w:abstractNum w:abstractNumId="9">
    <w:nsid w:val="7C3DBD3D"/>
    <w:multiLevelType w:val="hybridMultilevel"/>
    <w:lvl w:ilvl="0">
      <w:lvlJc w:val="left"/>
      <w:lvlText w:val="%1."/>
      <w:numFmt w:val="decimal"/>
      <w:start w:val="7"/>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lowerRoman"/>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
      <w:numFmt w:val="bullet"/>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90" Type="http://schemas.openxmlformats.org/officeDocument/2006/relationships/hyperlink" Target="http://www.sec.gov/Archives/edgar/data/1409269/000119312519280583/d822525dex21.htm" TargetMode="External"/><Relationship Id="rId91" Type="http://schemas.openxmlformats.org/officeDocument/2006/relationships/hyperlink" Target="http://www.sec.gov/Archives/edgar/data/1409269/000119312517311810/d448597dex31.htm" TargetMode="External"/><Relationship Id="rId92" Type="http://schemas.openxmlformats.org/officeDocument/2006/relationships/hyperlink" Target="http://www.sec.gov/Archives/edgar/data/1409269/000119312519286952/d827576dex32.htm" TargetMode="External"/><Relationship Id="rId93" Type="http://schemas.openxmlformats.org/officeDocument/2006/relationships/hyperlink" Target="http://www.sec.gov/Archives/edgar/data/1409269/000119312517311810/d448597dex32.htm" TargetMode="External"/><Relationship Id="rId94" Type="http://schemas.openxmlformats.org/officeDocument/2006/relationships/hyperlink" Target="http://www.sec.gov/Archives/edgar/data/1409269/000119312517286792/d412930dex42.htm" TargetMode="External"/><Relationship Id="rId95" Type="http://schemas.openxmlformats.org/officeDocument/2006/relationships/hyperlink" Target="http://www.sec.gov/Archives/edgar/data/1409269/000119312519204654/d688648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2019-12-28T01:36:36Z</dcterms:created>
  <dcterms:modified xsi:type="dcterms:W3CDTF">2019-12-28T01:36:36Z</dcterms:modified>
</cp:coreProperties>
</file>